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r>
        <w:rPr>
          <w:rFonts w:hint="eastAsia" w:ascii="黑体" w:hAnsi="黑体" w:eastAsia="黑体" w:cs="黑体"/>
          <w:sz w:val="44"/>
          <w:szCs w:val="44"/>
        </w:rPr>
        <w:t>会字第294号 提案办理结果清单</w:t>
      </w:r>
    </w:p>
    <w:p>
      <w:pPr>
        <w:jc w:val="left"/>
        <w:rPr>
          <w:rFonts w:ascii="黑体" w:hAnsi="黑体" w:eastAsia="黑体" w:cs="黑体"/>
          <w:sz w:val="28"/>
          <w:szCs w:val="28"/>
          <w:u w:val="single"/>
        </w:rPr>
      </w:pPr>
      <w:r>
        <w:rPr>
          <w:rFonts w:hint="eastAsia" w:ascii="黑体" w:hAnsi="黑体" w:eastAsia="黑体" w:cs="黑体"/>
          <w:sz w:val="28"/>
          <w:szCs w:val="28"/>
        </w:rPr>
        <w:t>案由：</w:t>
      </w:r>
      <w:r>
        <w:rPr>
          <w:rFonts w:hint="eastAsia" w:ascii="微软雅黑" w:hAnsi="微软雅黑" w:eastAsia="微软雅黑"/>
          <w:color w:val="000000"/>
          <w:sz w:val="23"/>
          <w:szCs w:val="23"/>
        </w:rPr>
        <w:t>关于疫情后进一步优化中小微企业复工复产营商环境案</w:t>
      </w:r>
      <w:r>
        <w:rPr>
          <w:rFonts w:hint="eastAsia" w:ascii="黑体" w:hAnsi="黑体" w:eastAsia="黑体" w:cs="黑体"/>
          <w:sz w:val="28"/>
          <w:szCs w:val="28"/>
        </w:rPr>
        <w:t xml:space="preserve">         提案人：</w:t>
      </w:r>
      <w:r>
        <w:rPr>
          <w:rFonts w:hint="eastAsia" w:ascii="微软雅黑" w:hAnsi="微软雅黑" w:eastAsia="微软雅黑"/>
          <w:color w:val="000000"/>
          <w:sz w:val="23"/>
          <w:szCs w:val="23"/>
        </w:rPr>
        <w:t>张亦青</w:t>
      </w:r>
    </w:p>
    <w:tbl>
      <w:tblPr>
        <w:tblStyle w:val="5"/>
        <w:tblW w:w="1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3831"/>
        <w:gridCol w:w="3500"/>
        <w:gridCol w:w="2487"/>
        <w:gridCol w:w="2325"/>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91" w:type="dxa"/>
            <w:vMerge w:val="restart"/>
            <w:shd w:val="clear" w:color="auto" w:fill="auto"/>
          </w:tcPr>
          <w:p>
            <w:pPr>
              <w:jc w:val="center"/>
              <w:rPr>
                <w:rFonts w:ascii="黑体" w:hAnsi="黑体" w:eastAsia="黑体" w:cs="黑体"/>
                <w:sz w:val="28"/>
                <w:szCs w:val="28"/>
              </w:rPr>
            </w:pPr>
            <w:r>
              <w:rPr>
                <w:rFonts w:hint="eastAsia" w:ascii="黑体" w:hAnsi="黑体" w:eastAsia="黑体" w:cs="黑体"/>
                <w:sz w:val="28"/>
                <w:szCs w:val="28"/>
              </w:rPr>
              <w:t>序号</w:t>
            </w:r>
          </w:p>
        </w:tc>
        <w:tc>
          <w:tcPr>
            <w:tcW w:w="3831" w:type="dxa"/>
            <w:shd w:val="clear" w:color="auto" w:fill="auto"/>
            <w:vAlign w:val="center"/>
          </w:tcPr>
          <w:p>
            <w:pPr>
              <w:jc w:val="center"/>
              <w:rPr>
                <w:rFonts w:ascii="黑体" w:hAnsi="黑体" w:eastAsia="黑体" w:cs="黑体"/>
                <w:sz w:val="28"/>
                <w:szCs w:val="28"/>
              </w:rPr>
            </w:pPr>
            <w:r>
              <w:rPr>
                <w:rFonts w:hint="eastAsia" w:ascii="黑体" w:hAnsi="黑体" w:eastAsia="黑体" w:cs="黑体"/>
                <w:sz w:val="28"/>
                <w:szCs w:val="28"/>
              </w:rPr>
              <w:t>意见建议清单</w:t>
            </w:r>
          </w:p>
        </w:tc>
        <w:tc>
          <w:tcPr>
            <w:tcW w:w="9658" w:type="dxa"/>
            <w:gridSpan w:val="4"/>
            <w:shd w:val="clear" w:color="auto" w:fill="auto"/>
            <w:vAlign w:val="center"/>
          </w:tcPr>
          <w:p>
            <w:pPr>
              <w:spacing w:line="420" w:lineRule="exact"/>
              <w:jc w:val="center"/>
              <w:rPr>
                <w:rFonts w:ascii="黑体" w:hAnsi="黑体" w:eastAsia="黑体" w:cs="黑体"/>
                <w:sz w:val="28"/>
                <w:szCs w:val="28"/>
              </w:rPr>
            </w:pPr>
            <w:r>
              <w:rPr>
                <w:rFonts w:hint="eastAsia" w:ascii="黑体" w:hAnsi="黑体" w:eastAsia="黑体" w:cs="黑体"/>
                <w:sz w:val="28"/>
                <w:szCs w:val="28"/>
              </w:rPr>
              <w:t>办理落实情况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91" w:type="dxa"/>
            <w:vMerge w:val="continue"/>
            <w:shd w:val="clear" w:color="auto" w:fill="auto"/>
          </w:tcPr>
          <w:p>
            <w:pPr>
              <w:jc w:val="center"/>
              <w:rPr>
                <w:rFonts w:ascii="黑体" w:hAnsi="黑体" w:eastAsia="黑体" w:cs="黑体"/>
                <w:sz w:val="28"/>
                <w:szCs w:val="28"/>
              </w:rPr>
            </w:pPr>
          </w:p>
        </w:tc>
        <w:tc>
          <w:tcPr>
            <w:tcW w:w="3831" w:type="dxa"/>
            <w:shd w:val="clear" w:color="auto" w:fill="auto"/>
            <w:vAlign w:val="center"/>
          </w:tcPr>
          <w:p>
            <w:pPr>
              <w:jc w:val="center"/>
              <w:rPr>
                <w:rFonts w:ascii="华文楷体" w:hAnsi="华文楷体" w:eastAsia="华文楷体" w:cs="华文楷体"/>
                <w:sz w:val="28"/>
                <w:szCs w:val="28"/>
              </w:rPr>
            </w:pPr>
            <w:r>
              <w:rPr>
                <w:rFonts w:hint="eastAsia" w:ascii="华文楷体" w:hAnsi="华文楷体" w:eastAsia="华文楷体" w:cs="华文楷体"/>
                <w:sz w:val="28"/>
                <w:szCs w:val="28"/>
              </w:rPr>
              <w:t>内  容</w:t>
            </w:r>
          </w:p>
        </w:tc>
        <w:tc>
          <w:tcPr>
            <w:tcW w:w="3500" w:type="dxa"/>
            <w:shd w:val="clear" w:color="auto" w:fill="auto"/>
            <w:vAlign w:val="center"/>
          </w:tcPr>
          <w:p>
            <w:pPr>
              <w:jc w:val="center"/>
              <w:rPr>
                <w:rFonts w:ascii="华文楷体" w:hAnsi="华文楷体" w:eastAsia="华文楷体" w:cs="华文楷体"/>
                <w:sz w:val="28"/>
                <w:szCs w:val="28"/>
              </w:rPr>
            </w:pPr>
            <w:r>
              <w:rPr>
                <w:rFonts w:hint="eastAsia" w:ascii="华文楷体" w:hAnsi="华文楷体" w:eastAsia="华文楷体" w:cs="华文楷体"/>
                <w:sz w:val="28"/>
                <w:szCs w:val="28"/>
              </w:rPr>
              <w:t>当年已完成事项</w:t>
            </w:r>
          </w:p>
        </w:tc>
        <w:tc>
          <w:tcPr>
            <w:tcW w:w="2487" w:type="dxa"/>
            <w:shd w:val="clear" w:color="auto" w:fill="auto"/>
            <w:vAlign w:val="center"/>
          </w:tcPr>
          <w:p>
            <w:pPr>
              <w:jc w:val="center"/>
              <w:rPr>
                <w:rFonts w:ascii="华文楷体" w:hAnsi="华文楷体" w:eastAsia="华文楷体" w:cs="华文楷体"/>
                <w:sz w:val="28"/>
                <w:szCs w:val="28"/>
              </w:rPr>
            </w:pPr>
            <w:r>
              <w:rPr>
                <w:rFonts w:hint="eastAsia" w:ascii="华文楷体" w:hAnsi="华文楷体" w:eastAsia="华文楷体" w:cs="华文楷体"/>
                <w:sz w:val="28"/>
                <w:szCs w:val="28"/>
              </w:rPr>
              <w:t>当年已推动事项</w:t>
            </w:r>
          </w:p>
        </w:tc>
        <w:tc>
          <w:tcPr>
            <w:tcW w:w="2325" w:type="dxa"/>
            <w:shd w:val="clear" w:color="auto" w:fill="auto"/>
            <w:vAlign w:val="center"/>
          </w:tcPr>
          <w:p>
            <w:pPr>
              <w:jc w:val="center"/>
              <w:rPr>
                <w:rFonts w:ascii="华文楷体" w:hAnsi="华文楷体" w:eastAsia="华文楷体" w:cs="华文楷体"/>
                <w:sz w:val="28"/>
                <w:szCs w:val="28"/>
              </w:rPr>
            </w:pPr>
            <w:r>
              <w:rPr>
                <w:rFonts w:hint="eastAsia" w:ascii="华文楷体" w:hAnsi="华文楷体" w:eastAsia="华文楷体" w:cs="华文楷体"/>
                <w:sz w:val="28"/>
                <w:szCs w:val="28"/>
              </w:rPr>
              <w:t>明年待落实事项</w:t>
            </w:r>
          </w:p>
        </w:tc>
        <w:tc>
          <w:tcPr>
            <w:tcW w:w="1346" w:type="dxa"/>
            <w:shd w:val="clear" w:color="auto" w:fill="auto"/>
            <w:vAlign w:val="center"/>
          </w:tcPr>
          <w:p>
            <w:pPr>
              <w:jc w:val="center"/>
              <w:rPr>
                <w:rFonts w:ascii="黑体" w:hAnsi="黑体" w:eastAsia="黑体" w:cs="黑体"/>
                <w:sz w:val="28"/>
                <w:szCs w:val="28"/>
              </w:rPr>
            </w:pPr>
            <w:r>
              <w:rPr>
                <w:rFonts w:hint="eastAsia" w:ascii="黑体" w:hAnsi="黑体" w:eastAsia="黑体" w:cs="黑体"/>
                <w:sz w:val="28"/>
                <w:szCs w:val="28"/>
              </w:rPr>
              <w:t>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591" w:type="dxa"/>
            <w:shd w:val="clear" w:color="auto" w:fill="auto"/>
            <w:vAlign w:val="center"/>
          </w:tcPr>
          <w:p>
            <w:pPr>
              <w:jc w:val="center"/>
              <w:rPr>
                <w:rFonts w:ascii="楷体" w:hAnsi="楷体" w:eastAsia="楷体" w:cs="楷体"/>
                <w:sz w:val="32"/>
                <w:szCs w:val="32"/>
              </w:rPr>
            </w:pPr>
            <w:r>
              <w:rPr>
                <w:rFonts w:hint="eastAsia" w:ascii="楷体" w:hAnsi="楷体" w:eastAsia="楷体" w:cs="楷体"/>
                <w:sz w:val="24"/>
              </w:rPr>
              <w:t>建议1</w:t>
            </w:r>
          </w:p>
        </w:tc>
        <w:tc>
          <w:tcPr>
            <w:tcW w:w="3831" w:type="dxa"/>
            <w:shd w:val="clear" w:color="auto" w:fill="auto"/>
            <w:vAlign w:val="center"/>
          </w:tcPr>
          <w:p>
            <w:pPr>
              <w:ind w:firstLine="565" w:firstLineChars="202"/>
              <w:rPr>
                <w:rFonts w:ascii="仿宋_GB2312" w:eastAsia="仿宋_GB2312"/>
                <w:sz w:val="28"/>
                <w:szCs w:val="28"/>
              </w:rPr>
            </w:pPr>
            <w:r>
              <w:rPr>
                <w:rFonts w:hint="eastAsia" w:ascii="仿宋_GB2312" w:eastAsia="仿宋_GB2312"/>
                <w:sz w:val="28"/>
                <w:szCs w:val="28"/>
              </w:rPr>
              <w:t>大中型国有企业要带头打造公平的营商环境，创造公平的竞争机制，破除限制中小微企业经营发展的各类壁垒</w:t>
            </w:r>
          </w:p>
        </w:tc>
        <w:tc>
          <w:tcPr>
            <w:tcW w:w="3500" w:type="dxa"/>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eastAsia" w:ascii="仿宋_GB2312" w:eastAsia="仿宋_GB2312"/>
                <w:sz w:val="28"/>
                <w:szCs w:val="28"/>
              </w:rPr>
            </w:pPr>
            <w:r>
              <w:rPr>
                <w:rFonts w:hint="eastAsia" w:ascii="仿宋_GB2312" w:eastAsia="仿宋_GB2312"/>
                <w:sz w:val="28"/>
                <w:szCs w:val="28"/>
              </w:rPr>
              <w:t>积极推进民营资本参加市属企业混改。对民营企业参与竞争性领域的混改项目,不设准入门槛、不限持股比例、不限合作领域</w:t>
            </w:r>
            <w:r>
              <w:rPr>
                <w:rFonts w:hint="eastAsia" w:ascii="仿宋_GB2312" w:eastAsia="仿宋_GB2312"/>
                <w:sz w:val="28"/>
                <w:szCs w:val="28"/>
                <w:lang w:val="en-US" w:eastAsia="zh-CN"/>
              </w:rPr>
              <w:t>;2.</w:t>
            </w:r>
            <w:r>
              <w:rPr>
                <w:rFonts w:hint="eastAsia" w:ascii="仿宋_GB2312" w:eastAsia="仿宋_GB2312"/>
                <w:sz w:val="28"/>
                <w:szCs w:val="28"/>
              </w:rPr>
              <w:t>在“推进国有企业改革攻势”中明确提出积极参与壮大民营经济攻势,推进“国民共进”发展混合所有制经济。</w:t>
            </w:r>
          </w:p>
          <w:p>
            <w:pPr>
              <w:keepNext w:val="0"/>
              <w:keepLines w:val="0"/>
              <w:pageBreakBefore w:val="0"/>
              <w:widowControl w:val="0"/>
              <w:numPr>
                <w:numId w:val="0"/>
              </w:numPr>
              <w:kinsoku/>
              <w:wordWrap/>
              <w:overflowPunct/>
              <w:topLinePunct w:val="0"/>
              <w:autoSpaceDE/>
              <w:autoSpaceDN/>
              <w:bidi w:val="0"/>
              <w:adjustRightInd/>
              <w:snapToGrid/>
              <w:spacing w:line="480" w:lineRule="exact"/>
              <w:textAlignment w:val="auto"/>
              <w:rPr>
                <w:rFonts w:hint="eastAsia" w:ascii="仿宋_GB2312" w:eastAsia="仿宋_GB2312"/>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480" w:lineRule="exact"/>
              <w:textAlignment w:val="auto"/>
              <w:rPr>
                <w:rFonts w:hint="eastAsia" w:ascii="仿宋_GB2312" w:eastAsia="仿宋_GB2312"/>
                <w:sz w:val="28"/>
                <w:szCs w:val="28"/>
              </w:rPr>
            </w:pPr>
          </w:p>
        </w:tc>
        <w:tc>
          <w:tcPr>
            <w:tcW w:w="2487" w:type="dxa"/>
            <w:shd w:val="clear" w:color="auto" w:fill="auto"/>
            <w:vAlign w:val="center"/>
          </w:tcPr>
          <w:p>
            <w:pPr>
              <w:ind w:firstLine="565" w:firstLineChars="202"/>
              <w:rPr>
                <w:rFonts w:hint="eastAsia" w:ascii="仿宋_GB2312" w:eastAsia="仿宋_GB2312"/>
                <w:sz w:val="28"/>
                <w:szCs w:val="28"/>
              </w:rPr>
            </w:pPr>
          </w:p>
        </w:tc>
        <w:tc>
          <w:tcPr>
            <w:tcW w:w="2325" w:type="dxa"/>
            <w:shd w:val="clear" w:color="auto" w:fill="auto"/>
            <w:vAlign w:val="center"/>
          </w:tcPr>
          <w:p>
            <w:pPr>
              <w:spacing w:line="400" w:lineRule="exact"/>
              <w:jc w:val="left"/>
              <w:rPr>
                <w:rFonts w:ascii="仿宋" w:hAnsi="仿宋" w:eastAsia="仿宋" w:cs="仿宋"/>
                <w:sz w:val="28"/>
                <w:szCs w:val="28"/>
              </w:rPr>
            </w:pPr>
          </w:p>
        </w:tc>
        <w:tc>
          <w:tcPr>
            <w:tcW w:w="1346" w:type="dxa"/>
            <w:shd w:val="clear" w:color="auto" w:fill="auto"/>
            <w:vAlign w:val="center"/>
          </w:tcPr>
          <w:p>
            <w:pPr>
              <w:spacing w:line="40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市国资委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591" w:type="dxa"/>
            <w:shd w:val="clear" w:color="auto" w:fill="auto"/>
            <w:vAlign w:val="center"/>
          </w:tcPr>
          <w:p>
            <w:pPr>
              <w:jc w:val="center"/>
              <w:rPr>
                <w:rFonts w:ascii="楷体" w:hAnsi="楷体" w:eastAsia="楷体" w:cs="楷体"/>
                <w:sz w:val="32"/>
                <w:szCs w:val="32"/>
              </w:rPr>
            </w:pPr>
            <w:r>
              <w:rPr>
                <w:rFonts w:hint="eastAsia" w:ascii="楷体" w:hAnsi="楷体" w:eastAsia="楷体" w:cs="楷体"/>
                <w:sz w:val="24"/>
              </w:rPr>
              <w:t>建议2</w:t>
            </w:r>
          </w:p>
        </w:tc>
        <w:tc>
          <w:tcPr>
            <w:tcW w:w="3831" w:type="dxa"/>
            <w:shd w:val="clear" w:color="auto" w:fill="auto"/>
            <w:vAlign w:val="center"/>
          </w:tcPr>
          <w:p>
            <w:pPr>
              <w:rPr>
                <w:rFonts w:ascii="仿宋_GB2312" w:eastAsia="仿宋_GB2312"/>
                <w:sz w:val="28"/>
                <w:szCs w:val="28"/>
              </w:rPr>
            </w:pPr>
            <w:r>
              <w:rPr>
                <w:rFonts w:hint="eastAsia" w:ascii="仿宋_GB2312" w:eastAsia="仿宋_GB2312"/>
                <w:sz w:val="28"/>
                <w:szCs w:val="28"/>
              </w:rPr>
              <w:t>大中型国有企业应在采购活动中主动为中小微企业提供更好的采购政策，缓解中小微企业的资金、生存压力</w:t>
            </w:r>
          </w:p>
        </w:tc>
        <w:tc>
          <w:tcPr>
            <w:tcW w:w="3500" w:type="dxa"/>
            <w:shd w:val="clear" w:color="auto" w:fill="auto"/>
            <w:vAlign w:val="center"/>
          </w:tcPr>
          <w:p>
            <w:pPr>
              <w:spacing w:line="240" w:lineRule="auto"/>
              <w:rPr>
                <w:rFonts w:hint="eastAsia" w:ascii="仿宋_GB2312" w:eastAsia="仿宋_GB2312"/>
                <w:sz w:val="28"/>
                <w:szCs w:val="28"/>
                <w:lang w:val="en-US" w:eastAsia="zh-CN"/>
              </w:rPr>
            </w:pPr>
            <w:r>
              <w:rPr>
                <w:rFonts w:hint="eastAsia" w:ascii="仿宋_GB2312" w:eastAsia="仿宋_GB2312"/>
                <w:sz w:val="28"/>
                <w:szCs w:val="28"/>
                <w:lang w:val="en-US" w:eastAsia="zh-CN"/>
              </w:rPr>
              <w:t>市民营经济局联合商务局、贸促会、工商联启动“我为企业找订单”活动。利用互联网平台帮助企业完成线上展示、线下交易等。截至目前，已累计对接海尔卡奥斯、京东等26家平台，新入驻各赋能平台的企业达50938家。</w:t>
            </w:r>
          </w:p>
          <w:p>
            <w:pPr>
              <w:spacing w:line="240" w:lineRule="auto"/>
              <w:rPr>
                <w:rFonts w:hint="eastAsia" w:ascii="仿宋_GB2312" w:eastAsia="仿宋_GB2312"/>
                <w:sz w:val="28"/>
                <w:szCs w:val="28"/>
                <w:lang w:val="en-US" w:eastAsia="zh-CN"/>
              </w:rPr>
            </w:pPr>
          </w:p>
          <w:p>
            <w:pPr>
              <w:spacing w:line="240" w:lineRule="auto"/>
              <w:rPr>
                <w:rFonts w:hint="eastAsia" w:ascii="仿宋_GB2312" w:eastAsia="仿宋_GB2312"/>
                <w:sz w:val="28"/>
                <w:szCs w:val="28"/>
                <w:lang w:val="en-US" w:eastAsia="zh-CN"/>
              </w:rPr>
            </w:pPr>
          </w:p>
          <w:p>
            <w:pPr>
              <w:spacing w:line="240" w:lineRule="auto"/>
              <w:rPr>
                <w:rFonts w:hint="default" w:ascii="仿宋_GB2312" w:eastAsia="仿宋_GB2312"/>
                <w:sz w:val="28"/>
                <w:szCs w:val="28"/>
                <w:lang w:val="en-US" w:eastAsia="zh-CN"/>
              </w:rPr>
            </w:pPr>
          </w:p>
        </w:tc>
        <w:tc>
          <w:tcPr>
            <w:tcW w:w="2487" w:type="dxa"/>
            <w:shd w:val="clear" w:color="auto" w:fill="auto"/>
            <w:vAlign w:val="center"/>
          </w:tcPr>
          <w:p>
            <w:pPr>
              <w:spacing w:line="400" w:lineRule="exact"/>
              <w:rPr>
                <w:rFonts w:ascii="仿宋" w:hAnsi="仿宋" w:eastAsia="仿宋" w:cs="仿宋"/>
                <w:sz w:val="28"/>
                <w:szCs w:val="28"/>
              </w:rPr>
            </w:pPr>
          </w:p>
        </w:tc>
        <w:tc>
          <w:tcPr>
            <w:tcW w:w="2325" w:type="dxa"/>
            <w:shd w:val="clear" w:color="auto" w:fill="auto"/>
            <w:vAlign w:val="center"/>
          </w:tcPr>
          <w:p>
            <w:pPr>
              <w:spacing w:line="400" w:lineRule="exact"/>
              <w:rPr>
                <w:rFonts w:ascii="仿宋" w:hAnsi="仿宋" w:eastAsia="仿宋" w:cs="仿宋"/>
                <w:sz w:val="28"/>
                <w:szCs w:val="28"/>
              </w:rPr>
            </w:pPr>
          </w:p>
        </w:tc>
        <w:tc>
          <w:tcPr>
            <w:tcW w:w="1346" w:type="dxa"/>
            <w:shd w:val="clear" w:color="auto" w:fill="auto"/>
            <w:vAlign w:val="center"/>
          </w:tcPr>
          <w:p>
            <w:pPr>
              <w:spacing w:line="400" w:lineRule="exact"/>
              <w:rPr>
                <w:rFonts w:ascii="仿宋" w:hAnsi="仿宋" w:eastAsia="仿宋" w:cs="仿宋"/>
                <w:sz w:val="28"/>
                <w:szCs w:val="28"/>
              </w:rPr>
            </w:pPr>
            <w:r>
              <w:rPr>
                <w:rFonts w:hint="eastAsia" w:ascii="仿宋_GB2312" w:eastAsia="仿宋_GB2312"/>
                <w:sz w:val="28"/>
                <w:szCs w:val="28"/>
                <w:lang w:val="en-US" w:eastAsia="zh-CN"/>
              </w:rPr>
              <w:t>市民营经济局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591" w:type="dxa"/>
            <w:shd w:val="clear" w:color="auto" w:fill="auto"/>
            <w:vAlign w:val="center"/>
          </w:tcPr>
          <w:p>
            <w:pPr>
              <w:jc w:val="center"/>
              <w:rPr>
                <w:rFonts w:ascii="楷体" w:hAnsi="楷体" w:eastAsia="楷体" w:cs="楷体"/>
                <w:sz w:val="32"/>
                <w:szCs w:val="32"/>
              </w:rPr>
            </w:pPr>
            <w:r>
              <w:rPr>
                <w:rFonts w:hint="eastAsia" w:ascii="楷体" w:hAnsi="楷体" w:eastAsia="楷体" w:cs="楷体"/>
                <w:sz w:val="24"/>
              </w:rPr>
              <w:t>建议3</w:t>
            </w:r>
          </w:p>
        </w:tc>
        <w:tc>
          <w:tcPr>
            <w:tcW w:w="3831" w:type="dxa"/>
            <w:shd w:val="clear" w:color="auto" w:fill="auto"/>
          </w:tcPr>
          <w:p>
            <w:pPr>
              <w:rPr>
                <w:rFonts w:ascii="仿宋_GB2312" w:eastAsia="仿宋_GB2312"/>
                <w:sz w:val="28"/>
                <w:szCs w:val="28"/>
              </w:rPr>
            </w:pPr>
            <w:r>
              <w:rPr>
                <w:rFonts w:hint="eastAsia" w:ascii="仿宋_GB2312" w:eastAsia="仿宋_GB2312"/>
                <w:sz w:val="28"/>
                <w:szCs w:val="28"/>
              </w:rPr>
              <w:t>建立优化中小微企业营商环境监管的“绿色通道”,进一步发挥市场监督管理、公开信访的作用，深入推进反垄断、反不正当竞争执法，保障中小微企业公平参与市场竞争监管制度</w:t>
            </w:r>
          </w:p>
        </w:tc>
        <w:tc>
          <w:tcPr>
            <w:tcW w:w="3500" w:type="dxa"/>
            <w:shd w:val="clear" w:color="auto" w:fill="auto"/>
            <w:vAlign w:val="center"/>
          </w:tcPr>
          <w:p>
            <w:pPr>
              <w:rPr>
                <w:rFonts w:hint="eastAsia" w:ascii="仿宋_GB2312" w:eastAsia="仿宋_GB2312"/>
                <w:sz w:val="28"/>
                <w:szCs w:val="28"/>
                <w:lang w:val="en-US" w:eastAsia="zh-CN"/>
              </w:rPr>
            </w:pPr>
            <w:r>
              <w:rPr>
                <w:rFonts w:hint="eastAsia" w:ascii="仿宋_GB2312" w:eastAsia="仿宋_GB2312"/>
                <w:sz w:val="28"/>
                <w:szCs w:val="28"/>
                <w:lang w:val="en-US" w:eastAsia="zh-CN"/>
              </w:rPr>
              <w:t>2020年7月，市委常委会讨论通过</w:t>
            </w:r>
            <w:r>
              <w:rPr>
                <w:rFonts w:hint="default" w:ascii="仿宋_GB2312" w:eastAsia="仿宋_GB2312"/>
                <w:sz w:val="28"/>
                <w:szCs w:val="28"/>
                <w:lang w:val="en-US" w:eastAsia="zh-CN"/>
              </w:rPr>
              <w:t>《关于支持民营企业和中小企业改革发展的实施意见》</w:t>
            </w:r>
            <w:r>
              <w:rPr>
                <w:rFonts w:hint="eastAsia" w:ascii="仿宋_GB2312" w:eastAsia="仿宋_GB2312"/>
                <w:sz w:val="28"/>
                <w:szCs w:val="28"/>
                <w:lang w:val="en-US" w:eastAsia="zh-CN"/>
              </w:rPr>
              <w:t>，《意见》指出，通过实施公平统一的市场监管制度、精简优化审批流程、加大政府采购支持力度等方面，优化公平竞争的市场环境，保障中小微企业公平参与市场竞争，激发企业活力和创造力。</w:t>
            </w:r>
          </w:p>
          <w:p>
            <w:pPr>
              <w:spacing w:line="400" w:lineRule="exact"/>
              <w:rPr>
                <w:rFonts w:hint="eastAsia" w:ascii="仿宋_GB2312" w:eastAsia="仿宋_GB2312"/>
                <w:sz w:val="28"/>
                <w:szCs w:val="28"/>
                <w:lang w:val="en-US" w:eastAsia="zh-CN"/>
              </w:rPr>
            </w:pPr>
          </w:p>
          <w:p>
            <w:pPr>
              <w:pStyle w:val="4"/>
              <w:widowControl/>
              <w:spacing w:line="400" w:lineRule="exact"/>
              <w:jc w:val="both"/>
              <w:rPr>
                <w:rFonts w:ascii="仿宋" w:hAnsi="仿宋" w:eastAsia="仿宋" w:cs="仿宋"/>
                <w:sz w:val="28"/>
                <w:szCs w:val="28"/>
              </w:rPr>
            </w:pPr>
          </w:p>
        </w:tc>
        <w:tc>
          <w:tcPr>
            <w:tcW w:w="2487" w:type="dxa"/>
            <w:shd w:val="clear" w:color="auto" w:fill="auto"/>
            <w:vAlign w:val="center"/>
          </w:tcPr>
          <w:p>
            <w:pPr>
              <w:spacing w:line="400" w:lineRule="exact"/>
              <w:rPr>
                <w:rFonts w:ascii="仿宋" w:hAnsi="仿宋" w:eastAsia="仿宋" w:cs="仿宋"/>
                <w:sz w:val="28"/>
                <w:szCs w:val="28"/>
              </w:rPr>
            </w:pPr>
          </w:p>
        </w:tc>
        <w:tc>
          <w:tcPr>
            <w:tcW w:w="2325" w:type="dxa"/>
            <w:shd w:val="clear" w:color="auto" w:fill="auto"/>
            <w:vAlign w:val="center"/>
          </w:tcPr>
          <w:p>
            <w:pPr>
              <w:spacing w:line="400" w:lineRule="exact"/>
              <w:rPr>
                <w:rFonts w:ascii="仿宋" w:hAnsi="仿宋" w:eastAsia="仿宋" w:cs="仿宋"/>
                <w:sz w:val="28"/>
                <w:szCs w:val="28"/>
              </w:rPr>
            </w:pPr>
          </w:p>
        </w:tc>
        <w:tc>
          <w:tcPr>
            <w:tcW w:w="1346" w:type="dxa"/>
            <w:shd w:val="clear" w:color="auto" w:fill="auto"/>
            <w:vAlign w:val="center"/>
          </w:tcPr>
          <w:p>
            <w:pPr>
              <w:spacing w:line="400" w:lineRule="exact"/>
              <w:rPr>
                <w:rFonts w:ascii="仿宋" w:hAnsi="仿宋" w:eastAsia="仿宋" w:cs="仿宋"/>
                <w:sz w:val="28"/>
                <w:szCs w:val="28"/>
              </w:rPr>
            </w:pPr>
            <w:r>
              <w:rPr>
                <w:rFonts w:hint="eastAsia" w:ascii="仿宋_GB2312" w:eastAsia="仿宋_GB2312"/>
                <w:sz w:val="28"/>
                <w:szCs w:val="28"/>
                <w:lang w:val="en-US" w:eastAsia="zh-CN"/>
              </w:rPr>
              <w:t>市民营经济局</w:t>
            </w:r>
            <w:bookmarkStart w:id="0" w:name="_GoBack"/>
            <w:bookmarkEnd w:id="0"/>
          </w:p>
        </w:tc>
      </w:tr>
    </w:tbl>
    <w:p/>
    <w:sectPr>
      <w:pgSz w:w="16838" w:h="11906" w:orient="landscape"/>
      <w:pgMar w:top="1644" w:right="1474" w:bottom="1474" w:left="1474" w:header="851" w:footer="992" w:gutter="0"/>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02DC2"/>
    <w:multiLevelType w:val="singleLevel"/>
    <w:tmpl w:val="76A02DC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6A"/>
    <w:rsid w:val="00035BB9"/>
    <w:rsid w:val="00040285"/>
    <w:rsid w:val="000720BF"/>
    <w:rsid w:val="000852E2"/>
    <w:rsid w:val="000934FD"/>
    <w:rsid w:val="000B5116"/>
    <w:rsid w:val="000C7B08"/>
    <w:rsid w:val="001521C6"/>
    <w:rsid w:val="001A78DB"/>
    <w:rsid w:val="00242E22"/>
    <w:rsid w:val="0029432D"/>
    <w:rsid w:val="003105D5"/>
    <w:rsid w:val="00313B20"/>
    <w:rsid w:val="003E026B"/>
    <w:rsid w:val="003F2BFF"/>
    <w:rsid w:val="004435E4"/>
    <w:rsid w:val="00474DBB"/>
    <w:rsid w:val="0048214E"/>
    <w:rsid w:val="004B6225"/>
    <w:rsid w:val="004C022A"/>
    <w:rsid w:val="004F0D98"/>
    <w:rsid w:val="005040C6"/>
    <w:rsid w:val="00507027"/>
    <w:rsid w:val="00535009"/>
    <w:rsid w:val="005A7EC9"/>
    <w:rsid w:val="006346F5"/>
    <w:rsid w:val="0070770E"/>
    <w:rsid w:val="00741F0B"/>
    <w:rsid w:val="00767987"/>
    <w:rsid w:val="00770637"/>
    <w:rsid w:val="007E5854"/>
    <w:rsid w:val="00820CD2"/>
    <w:rsid w:val="00826450"/>
    <w:rsid w:val="00882765"/>
    <w:rsid w:val="008943E4"/>
    <w:rsid w:val="008D0E9C"/>
    <w:rsid w:val="008D7EBA"/>
    <w:rsid w:val="00917731"/>
    <w:rsid w:val="00955733"/>
    <w:rsid w:val="00963B6A"/>
    <w:rsid w:val="009D18BC"/>
    <w:rsid w:val="009E4FB7"/>
    <w:rsid w:val="00A10827"/>
    <w:rsid w:val="00A37D57"/>
    <w:rsid w:val="00A84359"/>
    <w:rsid w:val="00B01D7E"/>
    <w:rsid w:val="00B124F5"/>
    <w:rsid w:val="00B611C4"/>
    <w:rsid w:val="00BA2904"/>
    <w:rsid w:val="00BD4BDA"/>
    <w:rsid w:val="00BE63F1"/>
    <w:rsid w:val="00C40650"/>
    <w:rsid w:val="00C65360"/>
    <w:rsid w:val="00D1171B"/>
    <w:rsid w:val="00D2337E"/>
    <w:rsid w:val="00D55E6A"/>
    <w:rsid w:val="00D857EC"/>
    <w:rsid w:val="00DC2543"/>
    <w:rsid w:val="00DE4F3D"/>
    <w:rsid w:val="00E2380F"/>
    <w:rsid w:val="00E37ECE"/>
    <w:rsid w:val="00EA485C"/>
    <w:rsid w:val="00EC01E1"/>
    <w:rsid w:val="00EC3AEC"/>
    <w:rsid w:val="00EC5B58"/>
    <w:rsid w:val="00F37D2F"/>
    <w:rsid w:val="00FD6C95"/>
    <w:rsid w:val="010C037C"/>
    <w:rsid w:val="015B5381"/>
    <w:rsid w:val="03AB208F"/>
    <w:rsid w:val="03C470EF"/>
    <w:rsid w:val="0B12562B"/>
    <w:rsid w:val="0D7E70DB"/>
    <w:rsid w:val="10AD7D7E"/>
    <w:rsid w:val="1ACA6CE2"/>
    <w:rsid w:val="1C6600CE"/>
    <w:rsid w:val="28202A06"/>
    <w:rsid w:val="2F5A1E71"/>
    <w:rsid w:val="36424192"/>
    <w:rsid w:val="3820244D"/>
    <w:rsid w:val="3920444A"/>
    <w:rsid w:val="42273207"/>
    <w:rsid w:val="44E50317"/>
    <w:rsid w:val="45573D37"/>
    <w:rsid w:val="4BBD66DB"/>
    <w:rsid w:val="4CDB553F"/>
    <w:rsid w:val="544A7B85"/>
    <w:rsid w:val="604211B1"/>
    <w:rsid w:val="643A4188"/>
    <w:rsid w:val="64F83F93"/>
    <w:rsid w:val="689F18AB"/>
    <w:rsid w:val="7CE836E8"/>
    <w:rsid w:val="7E9A6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qFormat/>
    <w:uiPriority w:val="0"/>
    <w:rPr>
      <w:color w:val="333333"/>
      <w:u w:val="none"/>
    </w:rPr>
  </w:style>
  <w:style w:type="character" w:styleId="9">
    <w:name w:val="Hyperlink"/>
    <w:qFormat/>
    <w:uiPriority w:val="0"/>
    <w:rPr>
      <w:color w:val="333333"/>
      <w:u w:val="none"/>
    </w:rPr>
  </w:style>
  <w:style w:type="character" w:customStyle="1" w:styleId="10">
    <w:name w:val="页眉 Char"/>
    <w:link w:val="3"/>
    <w:qFormat/>
    <w:uiPriority w:val="0"/>
    <w:rPr>
      <w:rFonts w:ascii="Calibri" w:hAnsi="Calibri"/>
      <w:kern w:val="2"/>
      <w:sz w:val="18"/>
      <w:szCs w:val="18"/>
    </w:rPr>
  </w:style>
  <w:style w:type="character" w:customStyle="1" w:styleId="11">
    <w:name w:val="页脚 Char"/>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ser\C:\Users\Administrator\Desktop\&#28165;&#21333;\&#20250;&#23383;&#31532;021&#21495;&#25552;&#26696;&#21150;&#29702;&#32467;&#26524;&#28165;&#2133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会字第021号提案办理结果清单</Template>
  <Pages>3</Pages>
  <Words>57</Words>
  <Characters>326</Characters>
  <Lines>2</Lines>
  <Paragraphs>1</Paragraphs>
  <TotalTime>1</TotalTime>
  <ScaleCrop>false</ScaleCrop>
  <LinksUpToDate>false</LinksUpToDate>
  <CharactersWithSpaces>382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2020-05-15T16:06:00Z</dcterms:created>
  <dc:creator>Admin</dc:creator>
  <cp:lastModifiedBy>hp</cp:lastModifiedBy>
  <cp:lastPrinted>2019-11-26T10:05:00Z</cp:lastPrinted>
  <dcterms:modified xsi:type="dcterms:W3CDTF">2020-08-27T05:55:19Z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