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青岛市工业和信息化局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2023年部门预算绩效目标</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宋体" w:eastAsia="宋体" w:hAnsi="宋体" w:cs="宋体"/>
          <w:color w:val="000000"/>
          <w:sz w:val="21"/>
        </w:rPr>
        <w:t xml:space="preserve"> </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pStyle w:val="TOC1"/>
        <w:tabs>
          <w:tab w:val="right" w:leader="dot" w:pos="9282"/>
        </w:tabs>
      </w:pPr>
      <w:r>
        <w:fldChar w:fldCharType="begin"/>
      </w:r>
      <w:r>
        <w:instrText xml:space="preserve">TOC \o "4-4" \h \z \u</w:instrText>
      </w:r>
      <w:r>
        <w:fldChar w:fldCharType="separate"/>
      </w:r>
      <w:hyperlink w:anchor="_Toc_4_4_0000000001" w:history="1">
        <w:r>
          <w:rPr/>
          <w:t xml:space="preserve">1.企业搬迁改造及化工业转型升级工作经费绩效目标表</w:t>
        </w:r>
        <w:r>
          <w:tab/>
        </w:r>
        <w:r>
          <w:fldChar w:fldCharType="begin"/>
        </w:r>
        <w:r>
          <w:instrText xml:space="preserve">PAGEREF _Toc_4_4_0000000001 \h</w:instrText>
        </w:r>
        <w:r>
          <w:fldChar w:fldCharType="separate"/>
        </w:r>
        <w:r>
          <w:t xml:space="preserve">1</w:t>
        </w:r>
        <w:r>
          <w:fldChar w:fldCharType="end"/>
        </w:r>
      </w:hyperlink>
    </w:p>
    <w:p>
      <w:pPr>
        <w:pStyle w:val="TOC1"/>
        <w:tabs>
          <w:tab w:val="right" w:leader="dot" w:pos="9282"/>
        </w:tabs>
      </w:pPr>
      <w:hyperlink w:anchor="_Toc_4_4_0000000002" w:history="1">
        <w:r>
          <w:rPr/>
          <w:t xml:space="preserve">2.食盐储备工作经费绩效目标表</w:t>
        </w:r>
        <w:r>
          <w:tab/>
        </w:r>
        <w:r>
          <w:fldChar w:fldCharType="begin"/>
        </w:r>
        <w:r>
          <w:instrText xml:space="preserve">PAGEREF _Toc_4_4_0000000002 \h</w:instrText>
        </w:r>
        <w:r>
          <w:fldChar w:fldCharType="separate"/>
        </w:r>
        <w:r>
          <w:t xml:space="preserve">2</w:t>
        </w:r>
        <w:r>
          <w:fldChar w:fldCharType="end"/>
        </w:r>
      </w:hyperlink>
    </w:p>
    <w:p>
      <w:pPr>
        <w:pStyle w:val="TOC1"/>
        <w:tabs>
          <w:tab w:val="right" w:leader="dot" w:pos="9282"/>
        </w:tabs>
      </w:pPr>
      <w:hyperlink w:anchor="_Toc_4_4_0000000003" w:history="1">
        <w:r>
          <w:rPr/>
          <w:t xml:space="preserve">3.市级医药物资储备工作经费绩效目标表</w:t>
        </w:r>
        <w:r>
          <w:tab/>
        </w:r>
        <w:r>
          <w:fldChar w:fldCharType="begin"/>
        </w:r>
        <w:r>
          <w:instrText xml:space="preserve">PAGEREF _Toc_4_4_0000000003 \h</w:instrText>
        </w:r>
        <w:r>
          <w:fldChar w:fldCharType="separate"/>
        </w:r>
        <w:r>
          <w:t xml:space="preserve">3</w:t>
        </w:r>
        <w:r>
          <w:fldChar w:fldCharType="end"/>
        </w:r>
      </w:hyperlink>
    </w:p>
    <w:p>
      <w:pPr>
        <w:pStyle w:val="TOC1"/>
        <w:tabs>
          <w:tab w:val="right" w:leader="dot" w:pos="9282"/>
        </w:tabs>
      </w:pPr>
      <w:hyperlink w:anchor="_Toc_4_4_0000000004" w:history="1">
        <w:r>
          <w:rPr/>
          <w:t xml:space="preserve">4.无线电宣传工作经费绩效目标表</w:t>
        </w:r>
        <w:r>
          <w:tab/>
        </w:r>
        <w:r>
          <w:fldChar w:fldCharType="begin"/>
        </w:r>
        <w:r>
          <w:instrText xml:space="preserve">PAGEREF _Toc_4_4_0000000004 \h</w:instrText>
        </w:r>
        <w:r>
          <w:fldChar w:fldCharType="separate"/>
        </w:r>
        <w:r>
          <w:t xml:space="preserve">4</w:t>
        </w:r>
        <w:r>
          <w:fldChar w:fldCharType="end"/>
        </w:r>
      </w:hyperlink>
    </w:p>
    <w:p>
      <w:pPr>
        <w:pStyle w:val="TOC1"/>
        <w:tabs>
          <w:tab w:val="right" w:leader="dot" w:pos="9282"/>
        </w:tabs>
      </w:pPr>
      <w:hyperlink w:anchor="_Toc_4_4_0000000005" w:history="1">
        <w:r>
          <w:rPr/>
          <w:t xml:space="preserve">5.先进制造业发展工作经费绩效目标表</w:t>
        </w:r>
        <w:r>
          <w:tab/>
        </w:r>
        <w:r>
          <w:fldChar w:fldCharType="begin"/>
        </w:r>
        <w:r>
          <w:instrText xml:space="preserve">PAGEREF _Toc_4_4_0000000005 \h</w:instrText>
        </w:r>
        <w:r>
          <w:fldChar w:fldCharType="separate"/>
        </w:r>
        <w:r>
          <w:t xml:space="preserve">5</w:t>
        </w:r>
        <w:r>
          <w:fldChar w:fldCharType="end"/>
        </w:r>
      </w:hyperlink>
    </w:p>
    <w:p>
      <w:pPr>
        <w:pStyle w:val="TOC1"/>
        <w:tabs>
          <w:tab w:val="right" w:leader="dot" w:pos="9282"/>
        </w:tabs>
      </w:pPr>
      <w:hyperlink w:anchor="_Toc_4_4_0000000006" w:history="1">
        <w:r>
          <w:rPr/>
          <w:t xml:space="preserve">6.新能源应用推广平台运维及工作经费绩效目标表</w:t>
        </w:r>
        <w:r>
          <w:tab/>
        </w:r>
        <w:r>
          <w:fldChar w:fldCharType="begin"/>
        </w:r>
        <w:r>
          <w:instrText xml:space="preserve">PAGEREF _Toc_4_4_0000000006 \h</w:instrText>
        </w:r>
        <w:r>
          <w:fldChar w:fldCharType="separate"/>
        </w:r>
        <w:r>
          <w:t xml:space="preserve">6</w:t>
        </w:r>
        <w:r>
          <w:fldChar w:fldCharType="end"/>
        </w:r>
      </w:hyperlink>
    </w:p>
    <w:p>
      <w:pPr>
        <w:pStyle w:val="TOC1"/>
        <w:tabs>
          <w:tab w:val="right" w:leader="dot" w:pos="9282"/>
        </w:tabs>
      </w:pPr>
      <w:hyperlink w:anchor="_Toc_4_4_0000000007" w:history="1">
        <w:r>
          <w:rPr/>
          <w:t xml:space="preserve">7.2023青岛时装周会展业发展专项资金绩效目标表</w:t>
        </w:r>
        <w:r>
          <w:tab/>
        </w:r>
        <w:r>
          <w:fldChar w:fldCharType="begin"/>
        </w:r>
        <w:r>
          <w:instrText xml:space="preserve">PAGEREF _Toc_4_4_0000000007 \h</w:instrText>
        </w:r>
        <w:r>
          <w:fldChar w:fldCharType="separate"/>
        </w:r>
        <w:r>
          <w:t xml:space="preserve">7</w:t>
        </w:r>
        <w:r>
          <w:fldChar w:fldCharType="end"/>
        </w:r>
      </w:hyperlink>
    </w:p>
    <w:p>
      <w:pPr>
        <w:pStyle w:val="TOC1"/>
        <w:tabs>
          <w:tab w:val="right" w:leader="dot" w:pos="9282"/>
        </w:tabs>
      </w:pPr>
      <w:hyperlink w:anchor="_Toc_4_4_0000000008" w:history="1">
        <w:r>
          <w:rPr/>
          <w:t xml:space="preserve">8.2023世界工业互联网产业大会专项资金绩效目标表</w:t>
        </w:r>
        <w:r>
          <w:tab/>
        </w:r>
        <w:r>
          <w:fldChar w:fldCharType="begin"/>
        </w:r>
        <w:r>
          <w:instrText xml:space="preserve">PAGEREF _Toc_4_4_0000000008 \h</w:instrText>
        </w:r>
        <w:r>
          <w:fldChar w:fldCharType="separate"/>
        </w:r>
        <w:r>
          <w:t xml:space="preserve">8</w:t>
        </w:r>
        <w:r>
          <w:fldChar w:fldCharType="end"/>
        </w:r>
      </w:hyperlink>
    </w:p>
    <w:p>
      <w:pPr>
        <w:pStyle w:val="TOC1"/>
        <w:tabs>
          <w:tab w:val="right" w:leader="dot" w:pos="9282"/>
        </w:tabs>
      </w:pPr>
      <w:hyperlink w:anchor="_Toc_4_4_0000000009" w:history="1">
        <w:r>
          <w:rPr/>
          <w:t xml:space="preserve">9.2023中国（青岛）RCEP国际食品饮料数字博览会专项资金绩效目标表</w:t>
        </w:r>
        <w:r>
          <w:tab/>
        </w:r>
        <w:r>
          <w:fldChar w:fldCharType="begin"/>
        </w:r>
        <w:r>
          <w:instrText xml:space="preserve">PAGEREF _Toc_4_4_0000000009 \h</w:instrText>
        </w:r>
        <w:r>
          <w:fldChar w:fldCharType="separate"/>
        </w:r>
        <w:r>
          <w:t xml:space="preserve">9</w:t>
        </w:r>
        <w:r>
          <w:fldChar w:fldCharType="end"/>
        </w:r>
      </w:hyperlink>
    </w:p>
    <w:p>
      <w:pPr>
        <w:pStyle w:val="TOC1"/>
        <w:tabs>
          <w:tab w:val="right" w:leader="dot" w:pos="9282"/>
        </w:tabs>
      </w:pPr>
      <w:hyperlink w:anchor="_Toc_4_4_0000000010" w:history="1">
        <w:r>
          <w:rPr/>
          <w:t xml:space="preserve">10.工赋青岛示范支持资金绩效目标表</w:t>
        </w:r>
        <w:r>
          <w:tab/>
        </w:r>
        <w:r>
          <w:fldChar w:fldCharType="begin"/>
        </w:r>
        <w:r>
          <w:instrText xml:space="preserve">PAGEREF _Toc_4_4_0000000010 \h</w:instrText>
        </w:r>
        <w:r>
          <w:fldChar w:fldCharType="separate"/>
        </w:r>
        <w:r>
          <w:t xml:space="preserve">10</w:t>
        </w:r>
        <w:r>
          <w:fldChar w:fldCharType="end"/>
        </w:r>
      </w:hyperlink>
    </w:p>
    <w:p>
      <w:pPr>
        <w:pStyle w:val="TOC1"/>
        <w:tabs>
          <w:tab w:val="right" w:leader="dot" w:pos="9282"/>
        </w:tabs>
      </w:pPr>
      <w:hyperlink w:anchor="_Toc_4_4_0000000011" w:history="1">
        <w:r>
          <w:rPr/>
          <w:t xml:space="preserve">11.工业互联网场景赋能公共服务平台运维资金绩效目标表</w:t>
        </w:r>
        <w:r>
          <w:tab/>
        </w:r>
        <w:r>
          <w:fldChar w:fldCharType="begin"/>
        </w:r>
        <w:r>
          <w:instrText xml:space="preserve">PAGEREF _Toc_4_4_0000000011 \h</w:instrText>
        </w:r>
        <w:r>
          <w:fldChar w:fldCharType="separate"/>
        </w:r>
        <w:r>
          <w:t xml:space="preserve">11</w:t>
        </w:r>
        <w:r>
          <w:fldChar w:fldCharType="end"/>
        </w:r>
      </w:hyperlink>
    </w:p>
    <w:p>
      <w:pPr>
        <w:pStyle w:val="TOC1"/>
        <w:tabs>
          <w:tab w:val="right" w:leader="dot" w:pos="9282"/>
        </w:tabs>
      </w:pPr>
      <w:hyperlink w:anchor="_Toc_4_4_0000000012" w:history="1">
        <w:r>
          <w:rPr/>
          <w:t xml:space="preserve">12.老城区企业搬迁改造奖励资金绩效目标表</w:t>
        </w:r>
        <w:r>
          <w:tab/>
        </w:r>
        <w:r>
          <w:fldChar w:fldCharType="begin"/>
        </w:r>
        <w:r>
          <w:instrText xml:space="preserve">PAGEREF _Toc_4_4_0000000012 \h</w:instrText>
        </w:r>
        <w:r>
          <w:fldChar w:fldCharType="separate"/>
        </w:r>
        <w:r>
          <w:t xml:space="preserve">12</w:t>
        </w:r>
        <w:r>
          <w:fldChar w:fldCharType="end"/>
        </w:r>
      </w:hyperlink>
    </w:p>
    <w:p>
      <w:pPr>
        <w:pStyle w:val="TOC1"/>
        <w:tabs>
          <w:tab w:val="right" w:leader="dot" w:pos="9282"/>
        </w:tabs>
      </w:pPr>
      <w:hyperlink w:anchor="_Toc_4_4_0000000013" w:history="1">
        <w:r>
          <w:rPr/>
          <w:t xml:space="preserve">13.软件与信息产业专项资金绩效目标表</w:t>
        </w:r>
        <w:r>
          <w:tab/>
        </w:r>
        <w:r>
          <w:fldChar w:fldCharType="begin"/>
        </w:r>
        <w:r>
          <w:instrText xml:space="preserve">PAGEREF _Toc_4_4_0000000013 \h</w:instrText>
        </w:r>
        <w:r>
          <w:fldChar w:fldCharType="separate"/>
        </w:r>
        <w:r>
          <w:t xml:space="preserve">13</w:t>
        </w:r>
        <w:r>
          <w:fldChar w:fldCharType="end"/>
        </w:r>
      </w:hyperlink>
    </w:p>
    <w:p>
      <w:pPr>
        <w:pStyle w:val="TOC1"/>
        <w:tabs>
          <w:tab w:val="right" w:leader="dot" w:pos="9282"/>
        </w:tabs>
      </w:pPr>
      <w:hyperlink w:anchor="_Toc_4_4_0000000014" w:history="1">
        <w:r>
          <w:rPr/>
          <w:t xml:space="preserve">14.无线电管理经费绩效目标表</w:t>
        </w:r>
        <w:r>
          <w:tab/>
        </w:r>
        <w:r>
          <w:fldChar w:fldCharType="begin"/>
        </w:r>
        <w:r>
          <w:instrText xml:space="preserve">PAGEREF _Toc_4_4_0000000014 \h</w:instrText>
        </w:r>
        <w:r>
          <w:fldChar w:fldCharType="separate"/>
        </w:r>
        <w:r>
          <w:t xml:space="preserve">14</w:t>
        </w:r>
        <w:r>
          <w:fldChar w:fldCharType="end"/>
        </w:r>
      </w:hyperlink>
    </w:p>
    <w:p>
      <w:pPr>
        <w:pStyle w:val="TOC1"/>
        <w:tabs>
          <w:tab w:val="right" w:leader="dot" w:pos="9282"/>
        </w:tabs>
      </w:pPr>
      <w:hyperlink w:anchor="_Toc_4_4_0000000015" w:history="1">
        <w:r>
          <w:rPr/>
          <w:t xml:space="preserve">15.招商工作经费绩效目标表</w:t>
        </w:r>
        <w:r>
          <w:tab/>
        </w:r>
        <w:r>
          <w:fldChar w:fldCharType="begin"/>
        </w:r>
        <w:r>
          <w:instrText xml:space="preserve">PAGEREF _Toc_4_4_0000000015 \h</w:instrText>
        </w:r>
        <w:r>
          <w:fldChar w:fldCharType="separate"/>
        </w:r>
        <w:r>
          <w:t xml:space="preserve">15</w:t>
        </w:r>
        <w:r>
          <w:fldChar w:fldCharType="end"/>
        </w:r>
      </w:hyperlink>
    </w:p>
    <w:p>
      <w:pPr>
        <w:pStyle w:val="TOC1"/>
        <w:tabs>
          <w:tab w:val="right" w:leader="dot" w:pos="9282"/>
        </w:tabs>
      </w:pPr>
      <w:hyperlink w:anchor="_Toc_4_4_0000000016" w:history="1">
        <w:r>
          <w:rPr/>
          <w:t xml:space="preserve">16.支持化工产业转型升级资金绩效目标表</w:t>
        </w:r>
        <w:r>
          <w:tab/>
        </w:r>
        <w:r>
          <w:fldChar w:fldCharType="begin"/>
        </w:r>
        <w:r>
          <w:instrText xml:space="preserve">PAGEREF _Toc_4_4_0000000016 \h</w:instrText>
        </w:r>
        <w:r>
          <w:fldChar w:fldCharType="separate"/>
        </w:r>
        <w:r>
          <w:t xml:space="preserve">16</w:t>
        </w:r>
        <w:r>
          <w:fldChar w:fldCharType="end"/>
        </w:r>
      </w:hyperlink>
    </w:p>
    <w:p>
      <w:pPr>
        <w:pStyle w:val="TOC1"/>
        <w:tabs>
          <w:tab w:val="right" w:leader="dot" w:pos="9282"/>
        </w:tabs>
      </w:pPr>
      <w:hyperlink w:anchor="_Toc_4_4_0000000017" w:history="1">
        <w:r>
          <w:rPr/>
          <w:t xml:space="preserve">17.制造业开拓市场资金绩效目标表</w:t>
        </w:r>
        <w:r>
          <w:tab/>
        </w:r>
        <w:r>
          <w:fldChar w:fldCharType="begin"/>
        </w:r>
        <w:r>
          <w:instrText xml:space="preserve">PAGEREF _Toc_4_4_0000000017 \h</w:instrText>
        </w:r>
        <w:r>
          <w:fldChar w:fldCharType="separate"/>
        </w:r>
        <w:r>
          <w:t xml:space="preserve">17</w:t>
        </w:r>
        <w:r>
          <w:fldChar w:fldCharType="end"/>
        </w:r>
      </w:hyperlink>
    </w:p>
    <w:p>
      <w:pPr>
        <w:pStyle w:val="TOC1"/>
        <w:tabs>
          <w:tab w:val="right" w:leader="dot" w:pos="9282"/>
        </w:tabs>
      </w:pPr>
      <w:hyperlink w:anchor="_Toc_4_4_0000000018" w:history="1">
        <w:r>
          <w:rPr/>
          <w:t xml:space="preserve">18.智能网联汽车专项资金绩效目标表</w:t>
        </w:r>
        <w:r>
          <w:tab/>
        </w:r>
        <w:r>
          <w:fldChar w:fldCharType="begin"/>
        </w:r>
        <w:r>
          <w:instrText xml:space="preserve">PAGEREF _Toc_4_4_0000000018 \h</w:instrText>
        </w:r>
        <w:r>
          <w:fldChar w:fldCharType="separate"/>
        </w:r>
        <w:r>
          <w:t xml:space="preserve">18</w:t>
        </w:r>
        <w:r>
          <w:fldChar w:fldCharType="end"/>
        </w:r>
      </w:hyperlink>
    </w:p>
    <w:p>
      <w:pPr>
        <w:pStyle w:val="TOC1"/>
        <w:tabs>
          <w:tab w:val="right" w:leader="dot" w:pos="9282"/>
        </w:tabs>
      </w:pPr>
      <w:hyperlink w:anchor="_Toc_4_4_0000000019" w:history="1">
        <w:r>
          <w:rPr/>
          <w:t xml:space="preserve">19.无线电监测管理经费绩效目标表</w:t>
        </w:r>
        <w:r>
          <w:tab/>
        </w:r>
        <w:r>
          <w:fldChar w:fldCharType="begin"/>
        </w:r>
        <w:r>
          <w:instrText xml:space="preserve">PAGEREF _Toc_4_4_0000000019 \h</w:instrText>
        </w:r>
        <w:r>
          <w:fldChar w:fldCharType="separate"/>
        </w:r>
        <w:r>
          <w:t xml:space="preserve">19</w:t>
        </w:r>
        <w:r>
          <w:fldChar w:fldCharType="end"/>
        </w:r>
      </w:hyperlink>
    </w:p>
    <w:p>
      <w:pPr>
        <w:pStyle w:val="TOC1"/>
        <w:tabs>
          <w:tab w:val="right" w:leader="dot" w:pos="9282"/>
        </w:tabs>
      </w:pPr>
      <w:hyperlink w:anchor="_Toc_4_4_0000000020" w:history="1">
        <w:r>
          <w:rPr/>
          <w:t xml:space="preserve">20.无线电管理经费绩效目标表</w:t>
        </w:r>
        <w:r>
          <w:tab/>
        </w:r>
        <w:r>
          <w:fldChar w:fldCharType="begin"/>
        </w:r>
        <w:r>
          <w:instrText xml:space="preserve">PAGEREF _Toc_4_4_0000000020 \h</w:instrText>
        </w:r>
        <w:r>
          <w:fldChar w:fldCharType="separate"/>
        </w:r>
        <w:r>
          <w:t xml:space="preserve">20</w:t>
        </w:r>
        <w:r>
          <w:fldChar w:fldCharType="end"/>
        </w:r>
      </w:hyperlink>
    </w:p>
    <w:p>
      <w:pPr>
        <w:pStyle w:val="TOC1"/>
        <w:tabs>
          <w:tab w:val="right" w:leader="dot" w:pos="9282"/>
        </w:tabs>
      </w:pPr>
      <w:hyperlink w:anchor="_Toc_4_4_0000000021" w:history="1">
        <w:r>
          <w:rPr/>
          <w:t xml:space="preserve">21.工业互联网创新发展工作经费绩效目标表</w:t>
        </w:r>
        <w:r>
          <w:tab/>
        </w:r>
        <w:r>
          <w:fldChar w:fldCharType="begin"/>
        </w:r>
        <w:r>
          <w:instrText xml:space="preserve">PAGEREF _Toc_4_4_0000000021 \h</w:instrText>
        </w:r>
        <w:r>
          <w:fldChar w:fldCharType="separate"/>
        </w:r>
        <w:r>
          <w:t xml:space="preserve">21</w:t>
        </w:r>
        <w:r>
          <w:fldChar w:fldCharType="end"/>
        </w:r>
      </w:hyperlink>
    </w:p>
    <w:p>
      <w:pPr/>
      <w:r>
        <w:fldChar w:fldCharType="end"/>
      </w:r>
    </w:p>
    <w:p>
      <w:pPr>
        <w:sectPr>
          <w:footerReference w:type="even" r:id="rId45"/>
          <w:footerReference w:type="default" r:id="rId46"/>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0" w:name="_Toc_4_4_0000000001"/>
      <w:r>
        <w:rPr>
          <w:rFonts w:ascii="方正仿宋_GBK" w:eastAsia="方正仿宋_GBK" w:hAnsi="方正仿宋_GBK" w:cs="方正仿宋_GBK"/>
          <w:color w:val="000000"/>
          <w:sz w:val="28"/>
        </w:rPr>
        <w:t xml:space="preserve">1.企业搬迁改造及化工业转型升级工作经费绩效目标表</w:t>
      </w:r>
      <w:bookmarkEnd w:id="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502001青岛市工业和信息化局本级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37020023P880028109936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企业搬迁改造及化工业转型升级工作经费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170.00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用于企业搬迁改造及化工业转型升级工作</w:t>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5.00</w:t>
            </w:r>
          </w:p>
        </w:tc>
        <w:tc>
          <w:tcPr>
            <w:tcW w:w="0" w:type="auto"/>
            <w:hMerge/>
          </w:tcPr>
          <w:p>
            <w:pPr/>
          </w:p>
        </w:tc>
        <w:tc>
          <w:tcPr>
            <w:tcW w:w="1587" w:type="dxa"/>
            <w:vAlign w:val="center"/>
          </w:tcPr>
          <w:p>
            <w:pPr>
              <w:pStyle w:val="单元格样式3"/>
            </w:pPr>
            <w:r>
              <w:t xml:space="preserve">120.00</w:t>
            </w:r>
          </w:p>
        </w:tc>
        <w:tc>
          <w:tcPr>
            <w:tcW w:w="1304" w:type="dxa"/>
            <w:vAlign w:val="center"/>
          </w:tcPr>
          <w:p>
            <w:pPr>
              <w:pStyle w:val="单元格样式3"/>
            </w:pPr>
            <w:r>
              <w:t xml:space="preserve">160.00</w:t>
            </w:r>
          </w:p>
        </w:tc>
        <w:tc>
          <w:tcPr>
            <w:tcW w:w="3118" w:type="dxa"/>
            <w:hMerge w:val="restart"/>
            <w:vAlign w:val="center"/>
          </w:tcPr>
          <w:p>
            <w:pPr>
              <w:pStyle w:val="单元格样式3"/>
            </w:pPr>
            <w:r>
              <w:t xml:space="preserve">170.00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6.目标内容1：组织指导、协调推进、督导考核全市化工产业安全生产转型升级专项工作</w:t>
            </w:r>
          </w:p>
          <w:p>
            <w:pPr>
              <w:pStyle w:val="单元格样式2"/>
            </w:pPr>
            <w:r>
              <w:t xml:space="preserve">7.目标内容2：继续推进列入搬迁计划企业原址土地处置等</w:t>
            </w:r>
          </w:p>
          <w:p>
            <w:pPr>
              <w:pStyle w:val="单元格样式2"/>
            </w:pPr>
            <w:r>
              <w:t xml:space="preserve">8.目标内容3：推动重大化工项目招引、落地和建设，促进化工产业高质量发展。原址土地处置、新项目建设、资金监管等工作，以保障市老城区企业搬迁改造工作推进和日常办公需要。</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企业搬迁改造及化工业转型升级工作经费</w:t>
            </w:r>
          </w:p>
        </w:tc>
        <w:tc>
          <w:tcPr>
            <w:tcW w:w="2891" w:type="dxa"/>
            <w:hMerge w:val="restart"/>
            <w:vAlign w:val="center"/>
          </w:tcPr>
          <w:p>
            <w:pPr>
              <w:pStyle w:val="单元格样式2"/>
            </w:pPr>
            <w:r>
              <w:t xml:space="preserve">企业搬迁改造及化工业转型升级工作经费</w:t>
            </w:r>
          </w:p>
        </w:tc>
        <w:tc>
          <w:tcPr>
            <w:tcW w:w="0" w:type="auto"/>
            <w:hMerge/>
            <w:vAlign w:val="center"/>
          </w:tcPr>
          <w:p>
            <w:pPr/>
          </w:p>
        </w:tc>
        <w:tc>
          <w:tcPr>
            <w:tcW w:w="1276" w:type="dxa"/>
            <w:vAlign w:val="center"/>
          </w:tcPr>
          <w:p>
            <w:pPr>
              <w:pStyle w:val="单元格样式2"/>
            </w:pPr>
            <w:r>
              <w:t xml:space="preserve">≤170万</w:t>
            </w:r>
          </w:p>
        </w:tc>
        <w:tc>
          <w:tcPr>
            <w:tcW w:w="1843" w:type="dxa"/>
            <w:vAlign w:val="center"/>
          </w:tcPr>
          <w:p>
            <w:pPr>
              <w:pStyle w:val="单元格样式2"/>
            </w:pPr>
            <w:r>
              <w:t xml:space="preserve">行业标准</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集中办公用房租赁数量</w:t>
            </w:r>
          </w:p>
        </w:tc>
        <w:tc>
          <w:tcPr>
            <w:tcW w:w="2891" w:type="dxa"/>
            <w:hMerge w:val="restart"/>
            <w:vAlign w:val="center"/>
          </w:tcPr>
          <w:p>
            <w:pPr>
              <w:pStyle w:val="单元格样式2"/>
            </w:pPr>
            <w:r>
              <w:t xml:space="preserve">集中办公用房租赁数量</w:t>
            </w:r>
          </w:p>
        </w:tc>
        <w:tc>
          <w:tcPr>
            <w:tcW w:w="0" w:type="auto"/>
            <w:hMerge/>
            <w:vAlign w:val="center"/>
          </w:tcPr>
          <w:p>
            <w:pPr/>
          </w:p>
        </w:tc>
        <w:tc>
          <w:tcPr>
            <w:tcW w:w="1276" w:type="dxa"/>
            <w:vAlign w:val="center"/>
          </w:tcPr>
          <w:p>
            <w:pPr>
              <w:pStyle w:val="单元格样式2"/>
            </w:pPr>
            <w:r>
              <w:t xml:space="preserve">17间</w:t>
            </w:r>
          </w:p>
        </w:tc>
        <w:tc>
          <w:tcPr>
            <w:tcW w:w="1843" w:type="dxa"/>
            <w:vAlign w:val="center"/>
          </w:tcPr>
          <w:p>
            <w:pPr>
              <w:pStyle w:val="单元格样式2"/>
            </w:pPr>
            <w:r>
              <w:t xml:space="preserve">历史标准</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安全环保督导</w:t>
            </w:r>
          </w:p>
          <w:p>
            <w:pPr>
              <w:pStyle w:val="单元格样式2"/>
            </w:pPr>
            <w:r>
              <w:t xml:space="preserve">车辆租赁次数</w:t>
            </w:r>
          </w:p>
        </w:tc>
        <w:tc>
          <w:tcPr>
            <w:tcW w:w="2891" w:type="dxa"/>
            <w:hMerge w:val="restart"/>
            <w:vAlign w:val="center"/>
          </w:tcPr>
          <w:p>
            <w:pPr>
              <w:pStyle w:val="单元格样式2"/>
            </w:pPr>
            <w:r>
              <w:t xml:space="preserve">租车前往化工园区、各区市、有关化工企业和重点监控点进行安全环保督导，配合国家、省进行现场调研、督导检查等工作。</w:t>
            </w:r>
          </w:p>
        </w:tc>
        <w:tc>
          <w:tcPr>
            <w:tcW w:w="0" w:type="auto"/>
            <w:hMerge/>
            <w:vAlign w:val="center"/>
          </w:tcPr>
          <w:p>
            <w:pPr/>
          </w:p>
        </w:tc>
        <w:tc>
          <w:tcPr>
            <w:tcW w:w="1276" w:type="dxa"/>
            <w:vAlign w:val="center"/>
          </w:tcPr>
          <w:p>
            <w:pPr>
              <w:pStyle w:val="单元格样式2"/>
            </w:pPr>
            <w:r>
              <w:t xml:space="preserve">≥130次</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资金使用合规性</w:t>
            </w:r>
          </w:p>
        </w:tc>
        <w:tc>
          <w:tcPr>
            <w:tcW w:w="2891" w:type="dxa"/>
            <w:hMerge w:val="restart"/>
            <w:vAlign w:val="center"/>
          </w:tcPr>
          <w:p>
            <w:pPr>
              <w:pStyle w:val="单元格样式2"/>
            </w:pPr>
            <w:r>
              <w:t xml:space="preserve">资金使用符合相关规定</w:t>
            </w:r>
          </w:p>
        </w:tc>
        <w:tc>
          <w:tcPr>
            <w:tcW w:w="0" w:type="auto"/>
            <w:hMerge/>
            <w:vAlign w:val="center"/>
          </w:tcPr>
          <w:p>
            <w:pPr/>
          </w:p>
        </w:tc>
        <w:tc>
          <w:tcPr>
            <w:tcW w:w="1276" w:type="dxa"/>
            <w:vAlign w:val="center"/>
          </w:tcPr>
          <w:p>
            <w:pPr>
              <w:pStyle w:val="单元格样式2"/>
            </w:pPr>
            <w:r>
              <w:t xml:space="preserve">≥99百分号</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督导检查发现的企业安全隐患整改率</w:t>
            </w:r>
          </w:p>
        </w:tc>
        <w:tc>
          <w:tcPr>
            <w:tcW w:w="2891" w:type="dxa"/>
            <w:hMerge w:val="restart"/>
            <w:vAlign w:val="center"/>
          </w:tcPr>
          <w:p>
            <w:pPr>
              <w:pStyle w:val="单元格样式2"/>
            </w:pPr>
            <w:r>
              <w:t xml:space="preserve">化工产业转型升级项目评审核查覆盖率</w:t>
            </w:r>
          </w:p>
        </w:tc>
        <w:tc>
          <w:tcPr>
            <w:tcW w:w="0" w:type="auto"/>
            <w:hMerge/>
            <w:vAlign w:val="center"/>
          </w:tcPr>
          <w:p>
            <w:pPr/>
          </w:p>
        </w:tc>
        <w:tc>
          <w:tcPr>
            <w:tcW w:w="1276" w:type="dxa"/>
            <w:vAlign w:val="center"/>
          </w:tcPr>
          <w:p>
            <w:pPr>
              <w:pStyle w:val="单元格样式2"/>
            </w:pPr>
            <w:r>
              <w:t xml:space="preserve">≥99百分号</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资金拨付完成时间</w:t>
            </w:r>
          </w:p>
        </w:tc>
        <w:tc>
          <w:tcPr>
            <w:tcW w:w="2891" w:type="dxa"/>
            <w:hMerge w:val="restart"/>
            <w:vAlign w:val="center"/>
          </w:tcPr>
          <w:p>
            <w:pPr>
              <w:pStyle w:val="单元格样式2"/>
            </w:pPr>
            <w:r>
              <w:t xml:space="preserve">租金支付时间</w:t>
            </w:r>
          </w:p>
        </w:tc>
        <w:tc>
          <w:tcPr>
            <w:tcW w:w="0" w:type="auto"/>
            <w:hMerge/>
            <w:vAlign w:val="center"/>
          </w:tcPr>
          <w:p>
            <w:pPr/>
          </w:p>
        </w:tc>
        <w:tc>
          <w:tcPr>
            <w:tcW w:w="1276" w:type="dxa"/>
            <w:vAlign w:val="center"/>
          </w:tcPr>
          <w:p>
            <w:pPr>
              <w:pStyle w:val="单元格样式2"/>
            </w:pPr>
            <w:r>
              <w:t xml:space="preserve">≤10月</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高端化工项目落地数量</w:t>
            </w:r>
          </w:p>
        </w:tc>
        <w:tc>
          <w:tcPr>
            <w:tcW w:w="2891" w:type="dxa"/>
            <w:hMerge w:val="restart"/>
            <w:vAlign w:val="center"/>
          </w:tcPr>
          <w:p>
            <w:pPr>
              <w:pStyle w:val="单元格样式2"/>
            </w:pPr>
            <w:r>
              <w:t xml:space="preserve">推动高端化工项目招引、落地、开工数量</w:t>
            </w:r>
          </w:p>
        </w:tc>
        <w:tc>
          <w:tcPr>
            <w:tcW w:w="0" w:type="auto"/>
            <w:hMerge/>
            <w:vAlign w:val="center"/>
          </w:tcPr>
          <w:p>
            <w:pPr/>
          </w:p>
        </w:tc>
        <w:tc>
          <w:tcPr>
            <w:tcW w:w="1276" w:type="dxa"/>
            <w:vAlign w:val="center"/>
          </w:tcPr>
          <w:p>
            <w:pPr>
              <w:pStyle w:val="单元格样式2"/>
            </w:pPr>
            <w:r>
              <w:t xml:space="preserve">≥2个</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老城区搬迁企业原址周边功能提升</w:t>
            </w:r>
          </w:p>
        </w:tc>
        <w:tc>
          <w:tcPr>
            <w:tcW w:w="2891" w:type="dxa"/>
            <w:hMerge w:val="restart"/>
            <w:vAlign w:val="center"/>
          </w:tcPr>
          <w:p>
            <w:pPr>
              <w:pStyle w:val="单元格样式2"/>
            </w:pPr>
            <w:r>
              <w:t xml:space="preserve">考察企业搬迁后周边功能提升情况</w:t>
            </w:r>
          </w:p>
        </w:tc>
        <w:tc>
          <w:tcPr>
            <w:tcW w:w="0" w:type="auto"/>
            <w:hMerge/>
            <w:vAlign w:val="center"/>
          </w:tcPr>
          <w:p>
            <w:pPr/>
          </w:p>
        </w:tc>
        <w:tc>
          <w:tcPr>
            <w:tcW w:w="1276" w:type="dxa"/>
            <w:vAlign w:val="center"/>
          </w:tcPr>
          <w:p>
            <w:pPr>
              <w:pStyle w:val="单元格样式2"/>
            </w:pPr>
            <w:r>
              <w:t xml:space="preserve">同比提升</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带动就业增长率</w:t>
            </w:r>
          </w:p>
        </w:tc>
        <w:tc>
          <w:tcPr>
            <w:tcW w:w="2891" w:type="dxa"/>
            <w:hMerge w:val="restart"/>
            <w:vAlign w:val="center"/>
          </w:tcPr>
          <w:p>
            <w:pPr>
              <w:pStyle w:val="单元格样式2"/>
            </w:pPr>
            <w:r>
              <w:t xml:space="preserve">带动就业增长率</w:t>
            </w:r>
          </w:p>
        </w:tc>
        <w:tc>
          <w:tcPr>
            <w:tcW w:w="0" w:type="auto"/>
            <w:hMerge/>
            <w:vAlign w:val="center"/>
          </w:tcPr>
          <w:p>
            <w:pPr/>
          </w:p>
        </w:tc>
        <w:tc>
          <w:tcPr>
            <w:tcW w:w="1276" w:type="dxa"/>
            <w:vAlign w:val="center"/>
          </w:tcPr>
          <w:p>
            <w:pPr>
              <w:pStyle w:val="单元格样式2"/>
            </w:pPr>
            <w:r>
              <w:t xml:space="preserve">≥10百分号</w:t>
            </w:r>
          </w:p>
        </w:tc>
        <w:tc>
          <w:tcPr>
            <w:tcW w:w="1843" w:type="dxa"/>
            <w:vAlign w:val="center"/>
          </w:tcPr>
          <w:p>
            <w:pPr>
              <w:pStyle w:val="单元格样式2"/>
            </w:pPr>
            <w:r>
              <w:t xml:space="preserve">历史标准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环境污染事故发生数</w:t>
            </w:r>
          </w:p>
        </w:tc>
        <w:tc>
          <w:tcPr>
            <w:tcW w:w="2891" w:type="dxa"/>
            <w:hMerge w:val="restart"/>
            <w:vAlign w:val="center"/>
          </w:tcPr>
          <w:p>
            <w:pPr>
              <w:pStyle w:val="单元格样式2"/>
            </w:pPr>
            <w:r>
              <w:t xml:space="preserve">近3年出现较大及以上环境污染事故数量</w:t>
            </w:r>
          </w:p>
        </w:tc>
        <w:tc>
          <w:tcPr>
            <w:tcW w:w="0" w:type="auto"/>
            <w:hMerge/>
            <w:vAlign w:val="center"/>
          </w:tcPr>
          <w:p>
            <w:pPr/>
          </w:p>
        </w:tc>
        <w:tc>
          <w:tcPr>
            <w:tcW w:w="1276" w:type="dxa"/>
            <w:vAlign w:val="center"/>
          </w:tcPr>
          <w:p>
            <w:pPr>
              <w:pStyle w:val="单元格样式2"/>
            </w:pPr>
            <w:r>
              <w:t xml:space="preserve">0次</w:t>
            </w:r>
          </w:p>
        </w:tc>
        <w:tc>
          <w:tcPr>
            <w:tcW w:w="1843" w:type="dxa"/>
            <w:vAlign w:val="center"/>
          </w:tcPr>
          <w:p>
            <w:pPr>
              <w:pStyle w:val="单元格样式2"/>
            </w:pPr>
            <w:r>
              <w:t xml:space="preserve">行业标准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社会公众满意度</w:t>
            </w:r>
          </w:p>
        </w:tc>
        <w:tc>
          <w:tcPr>
            <w:tcW w:w="2891" w:type="dxa"/>
            <w:hMerge w:val="restart"/>
            <w:vAlign w:val="center"/>
          </w:tcPr>
          <w:p>
            <w:pPr>
              <w:pStyle w:val="单元格样式2"/>
            </w:pPr>
            <w:r>
              <w:t xml:space="preserve">社会公众满意度】</w:t>
            </w:r>
          </w:p>
        </w:tc>
        <w:tc>
          <w:tcPr>
            <w:tcW w:w="0" w:type="auto"/>
            <w:hMerge/>
            <w:vAlign w:val="center"/>
          </w:tcPr>
          <w:p>
            <w:pPr/>
          </w:p>
        </w:tc>
        <w:tc>
          <w:tcPr>
            <w:tcW w:w="1276" w:type="dxa"/>
            <w:vAlign w:val="center"/>
          </w:tcPr>
          <w:p>
            <w:pPr>
              <w:pStyle w:val="单元格样式2"/>
            </w:pPr>
            <w:r>
              <w:t xml:space="preserve">≥90百分号</w:t>
            </w:r>
          </w:p>
        </w:tc>
        <w:tc>
          <w:tcPr>
            <w:tcW w:w="1843" w:type="dxa"/>
            <w:vAlign w:val="center"/>
          </w:tcPr>
          <w:p>
            <w:pPr>
              <w:pStyle w:val="单元格样式2"/>
            </w:pPr>
            <w:r>
              <w:t xml:space="preserve">历史标准</w:t>
            </w:r>
          </w:p>
        </w:tc>
      </w:tr>
    </w:tbl>
    <w:p>
      <w:pPr>
        <w:sectPr>
          <w:type w:val="nextPage"/>
          <w:pgSz w:w="11900" w:h="16840" w:orient="portrait"/>
          <w:pgMar w:top="1984" w:right="1304" w:bottom="1134" w:left="1304" w:header="720" w:footer="720" w:gutter="0"/>
          <w:pgNumType w:start="1"/>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 w:name="_Toc_4_4_0000000002"/>
      <w:r>
        <w:rPr>
          <w:rFonts w:ascii="方正仿宋_GBK" w:eastAsia="方正仿宋_GBK" w:hAnsi="方正仿宋_GBK" w:cs="方正仿宋_GBK"/>
          <w:color w:val="000000"/>
          <w:sz w:val="28"/>
        </w:rPr>
        <w:t xml:space="preserve">2.食盐储备工作经费绩效目标表</w:t>
      </w:r>
      <w:bookmarkEnd w:id="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502001青岛市工业和信息化局本级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37020023P88002810992J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食盐储备工作经费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用于政府食盐储备承储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82.00</w:t>
            </w:r>
          </w:p>
        </w:tc>
        <w:tc>
          <w:tcPr>
            <w:tcW w:w="1304" w:type="dxa"/>
            <w:vAlign w:val="center"/>
          </w:tcPr>
          <w:p>
            <w:pPr>
              <w:pStyle w:val="单元格样式3"/>
            </w:pPr>
            <w:r>
              <w:t xml:space="preserve">82.00</w:t>
            </w:r>
          </w:p>
        </w:tc>
        <w:tc>
          <w:tcPr>
            <w:tcW w:w="3118" w:type="dxa"/>
            <w:hMerge w:val="restart"/>
            <w:vAlign w:val="center"/>
          </w:tcPr>
          <w:p>
            <w:pPr>
              <w:pStyle w:val="单元格样式3"/>
            </w:pPr>
            <w:r>
              <w:t xml:space="preserve">120.00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6.目标内容1确定政府食盐储备承储企业，督促承储企业储备4000吨食盐（其中必须有2000吨小包装食盐），每半年轮换一半，一年内完成一次轮换。</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 指标1：预算控制</w:t>
            </w:r>
          </w:p>
        </w:tc>
        <w:tc>
          <w:tcPr>
            <w:tcW w:w="2891" w:type="dxa"/>
            <w:hMerge w:val="restart"/>
            <w:vAlign w:val="center"/>
          </w:tcPr>
          <w:p>
            <w:pPr>
              <w:pStyle w:val="单元格样式2"/>
            </w:pPr>
            <w:r>
              <w:t xml:space="preserve">预算控制</w:t>
            </w:r>
          </w:p>
        </w:tc>
        <w:tc>
          <w:tcPr>
            <w:tcW w:w="0" w:type="auto"/>
            <w:hMerge/>
            <w:vAlign w:val="center"/>
          </w:tcPr>
          <w:p>
            <w:pPr/>
          </w:p>
        </w:tc>
        <w:tc>
          <w:tcPr>
            <w:tcW w:w="1276" w:type="dxa"/>
            <w:vAlign w:val="center"/>
          </w:tcPr>
          <w:p>
            <w:pPr>
              <w:pStyle w:val="单元格样式2"/>
            </w:pPr>
            <w:r>
              <w:t xml:space="preserve">≤120万元</w:t>
            </w:r>
          </w:p>
        </w:tc>
        <w:tc>
          <w:tcPr>
            <w:tcW w:w="1843" w:type="dxa"/>
            <w:vAlign w:val="center"/>
          </w:tcPr>
          <w:p>
            <w:pPr>
              <w:pStyle w:val="单元格样式2"/>
            </w:pPr>
            <w:r>
              <w:t xml:space="preserve">行业标准《青岛市政府食盐储备合同》</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 指标1：储备总量</w:t>
            </w:r>
          </w:p>
        </w:tc>
        <w:tc>
          <w:tcPr>
            <w:tcW w:w="2891" w:type="dxa"/>
            <w:hMerge w:val="restart"/>
            <w:vAlign w:val="center"/>
          </w:tcPr>
          <w:p>
            <w:pPr>
              <w:pStyle w:val="单元格样式2"/>
            </w:pPr>
            <w:r>
              <w:t xml:space="preserve">储备食盐库存总量</w:t>
            </w:r>
          </w:p>
        </w:tc>
        <w:tc>
          <w:tcPr>
            <w:tcW w:w="0" w:type="auto"/>
            <w:hMerge/>
            <w:vAlign w:val="center"/>
          </w:tcPr>
          <w:p>
            <w:pPr/>
          </w:p>
        </w:tc>
        <w:tc>
          <w:tcPr>
            <w:tcW w:w="1276" w:type="dxa"/>
            <w:vAlign w:val="center"/>
          </w:tcPr>
          <w:p>
            <w:pPr>
              <w:pStyle w:val="单元格样式2"/>
            </w:pPr>
            <w:r>
              <w:t xml:space="preserve">≥4000吨</w:t>
            </w:r>
          </w:p>
        </w:tc>
        <w:tc>
          <w:tcPr>
            <w:tcW w:w="1843" w:type="dxa"/>
            <w:vAlign w:val="center"/>
          </w:tcPr>
          <w:p>
            <w:pPr>
              <w:pStyle w:val="单元格样式2"/>
            </w:pPr>
            <w:r>
              <w:t xml:space="preserve">行业标准《青岛市政府食盐储备合同》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 指标2：小包装食盐储备量</w:t>
            </w:r>
          </w:p>
        </w:tc>
        <w:tc>
          <w:tcPr>
            <w:tcW w:w="2891" w:type="dxa"/>
            <w:hMerge w:val="restart"/>
            <w:vAlign w:val="center"/>
          </w:tcPr>
          <w:p>
            <w:pPr>
              <w:pStyle w:val="单元格样式2"/>
            </w:pPr>
            <w:r>
              <w:t xml:space="preserve">小包装食盐实际库存量</w:t>
            </w:r>
          </w:p>
        </w:tc>
        <w:tc>
          <w:tcPr>
            <w:tcW w:w="0" w:type="auto"/>
            <w:hMerge/>
            <w:vAlign w:val="center"/>
          </w:tcPr>
          <w:p>
            <w:pPr/>
          </w:p>
        </w:tc>
        <w:tc>
          <w:tcPr>
            <w:tcW w:w="1276" w:type="dxa"/>
            <w:vAlign w:val="center"/>
          </w:tcPr>
          <w:p>
            <w:pPr>
              <w:pStyle w:val="单元格样式2"/>
            </w:pPr>
            <w:r>
              <w:t xml:space="preserve">≥2000吨</w:t>
            </w:r>
          </w:p>
        </w:tc>
        <w:tc>
          <w:tcPr>
            <w:tcW w:w="1843" w:type="dxa"/>
            <w:vAlign w:val="center"/>
          </w:tcPr>
          <w:p>
            <w:pPr>
              <w:pStyle w:val="单元格样式2"/>
            </w:pPr>
            <w:r>
              <w:t xml:space="preserve">行业标准《青岛市政府食盐储备合同》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 指标3：大包食盐储备量</w:t>
            </w:r>
          </w:p>
        </w:tc>
        <w:tc>
          <w:tcPr>
            <w:tcW w:w="2891" w:type="dxa"/>
            <w:hMerge w:val="restart"/>
            <w:vAlign w:val="center"/>
          </w:tcPr>
          <w:p>
            <w:pPr>
              <w:pStyle w:val="单元格样式2"/>
            </w:pPr>
            <w:r>
              <w:t xml:space="preserve">大包食盐实际库存量</w:t>
            </w:r>
          </w:p>
        </w:tc>
        <w:tc>
          <w:tcPr>
            <w:tcW w:w="0" w:type="auto"/>
            <w:hMerge/>
            <w:vAlign w:val="center"/>
          </w:tcPr>
          <w:p>
            <w:pPr/>
          </w:p>
        </w:tc>
        <w:tc>
          <w:tcPr>
            <w:tcW w:w="1276" w:type="dxa"/>
            <w:vAlign w:val="center"/>
          </w:tcPr>
          <w:p>
            <w:pPr>
              <w:pStyle w:val="单元格样式2"/>
            </w:pPr>
            <w:r>
              <w:t xml:space="preserve">≥2000吨</w:t>
            </w:r>
          </w:p>
        </w:tc>
        <w:tc>
          <w:tcPr>
            <w:tcW w:w="1843" w:type="dxa"/>
            <w:vAlign w:val="center"/>
          </w:tcPr>
          <w:p>
            <w:pPr>
              <w:pStyle w:val="单元格样式2"/>
            </w:pPr>
            <w:r>
              <w:t xml:space="preserve">行业标准《青岛市政府食盐储备合同》</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储备食盐质量合格率</w:t>
            </w:r>
          </w:p>
        </w:tc>
        <w:tc>
          <w:tcPr>
            <w:tcW w:w="2891" w:type="dxa"/>
            <w:hMerge w:val="restart"/>
            <w:vAlign w:val="center"/>
          </w:tcPr>
          <w:p>
            <w:pPr>
              <w:pStyle w:val="单元格样式2"/>
            </w:pPr>
            <w:r>
              <w:t xml:space="preserve">储备食盐是否符合国家标准GB5461-2016《食用盐》</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行业标准《青岛市政府食盐储备合同》</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 指标2：储备食盐含碘量</w:t>
            </w:r>
          </w:p>
        </w:tc>
        <w:tc>
          <w:tcPr>
            <w:tcW w:w="2891" w:type="dxa"/>
            <w:hMerge w:val="restart"/>
            <w:vAlign w:val="center"/>
          </w:tcPr>
          <w:p>
            <w:pPr>
              <w:pStyle w:val="单元格样式2"/>
            </w:pPr>
            <w:r>
              <w:t xml:space="preserve">储备食盐含碘量是否符合山东省标准</w:t>
            </w:r>
          </w:p>
        </w:tc>
        <w:tc>
          <w:tcPr>
            <w:tcW w:w="0" w:type="auto"/>
            <w:hMerge/>
            <w:vAlign w:val="center"/>
          </w:tcPr>
          <w:p>
            <w:pPr/>
          </w:p>
        </w:tc>
        <w:tc>
          <w:tcPr>
            <w:tcW w:w="1276" w:type="dxa"/>
            <w:vAlign w:val="center"/>
          </w:tcPr>
          <w:p>
            <w:pPr>
              <w:pStyle w:val="单元格样式2"/>
            </w:pPr>
            <w:r>
              <w:t xml:space="preserve">18-33毫克/公斤</w:t>
            </w:r>
          </w:p>
        </w:tc>
        <w:tc>
          <w:tcPr>
            <w:tcW w:w="1843" w:type="dxa"/>
            <w:vAlign w:val="center"/>
          </w:tcPr>
          <w:p>
            <w:pPr>
              <w:pStyle w:val="单元格样式2"/>
            </w:pPr>
            <w:r>
              <w:t xml:space="preserve">行业标准《青岛市政府食盐储备合同》</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仓储设施合同符合度</w:t>
            </w:r>
          </w:p>
        </w:tc>
        <w:tc>
          <w:tcPr>
            <w:tcW w:w="2891" w:type="dxa"/>
            <w:hMerge w:val="restart"/>
            <w:vAlign w:val="center"/>
          </w:tcPr>
          <w:p>
            <w:pPr>
              <w:pStyle w:val="单元格样式2"/>
            </w:pPr>
            <w:r>
              <w:t xml:space="preserve">仓储设施是否符合合同约定</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行业标准《青岛市政府食盐储备合同》</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储备食盐轮换频率</w:t>
            </w:r>
          </w:p>
        </w:tc>
        <w:tc>
          <w:tcPr>
            <w:tcW w:w="2891" w:type="dxa"/>
            <w:hMerge w:val="restart"/>
            <w:vAlign w:val="center"/>
          </w:tcPr>
          <w:p>
            <w:pPr>
              <w:pStyle w:val="单元格样式2"/>
            </w:pPr>
            <w:r>
              <w:t xml:space="preserve">储备食盐轮换频率</w:t>
            </w:r>
          </w:p>
        </w:tc>
        <w:tc>
          <w:tcPr>
            <w:tcW w:w="0" w:type="auto"/>
            <w:hMerge/>
            <w:vAlign w:val="center"/>
          </w:tcPr>
          <w:p>
            <w:pPr/>
          </w:p>
        </w:tc>
        <w:tc>
          <w:tcPr>
            <w:tcW w:w="1276" w:type="dxa"/>
            <w:vAlign w:val="center"/>
          </w:tcPr>
          <w:p>
            <w:pPr>
              <w:pStyle w:val="单元格样式2"/>
            </w:pPr>
            <w:r>
              <w:t xml:space="preserve">≥1年</w:t>
            </w:r>
          </w:p>
        </w:tc>
        <w:tc>
          <w:tcPr>
            <w:tcW w:w="1843" w:type="dxa"/>
            <w:vAlign w:val="center"/>
          </w:tcPr>
          <w:p>
            <w:pPr>
              <w:pStyle w:val="单元格样式2"/>
            </w:pPr>
            <w:r>
              <w:t xml:space="preserve">行业标准《青岛市政府食盐储备合同》</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储备食盐安全投放市场率</w:t>
            </w:r>
          </w:p>
        </w:tc>
        <w:tc>
          <w:tcPr>
            <w:tcW w:w="2891" w:type="dxa"/>
            <w:hMerge w:val="restart"/>
            <w:vAlign w:val="center"/>
          </w:tcPr>
          <w:p>
            <w:pPr>
              <w:pStyle w:val="单元格样式2"/>
            </w:pPr>
            <w:r>
              <w:t xml:space="preserve">确保自然灾害和突发事件发生时储备食盐及时安全投放市场</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行业标准《青岛市政府食盐储备合同》</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 指标1：企业满意度</w:t>
            </w:r>
          </w:p>
        </w:tc>
        <w:tc>
          <w:tcPr>
            <w:tcW w:w="2891" w:type="dxa"/>
            <w:hMerge w:val="restart"/>
            <w:vAlign w:val="center"/>
          </w:tcPr>
          <w:p>
            <w:pPr>
              <w:pStyle w:val="单元格样式2"/>
            </w:pPr>
            <w:r>
              <w:t xml:space="preserve">企业满意度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行业标准《青岛市政府食盐储备合同》</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 w:name="_Toc_4_4_0000000003"/>
      <w:r>
        <w:rPr>
          <w:rFonts w:ascii="方正仿宋_GBK" w:eastAsia="方正仿宋_GBK" w:hAnsi="方正仿宋_GBK" w:cs="方正仿宋_GBK"/>
          <w:color w:val="000000"/>
          <w:sz w:val="28"/>
        </w:rPr>
        <w:t xml:space="preserve">3.市级医药物资储备工作经费绩效目标表</w:t>
      </w:r>
      <w:bookmarkEnd w:id="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502001青岛市工业和信息化局本级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37020023P88002810999U</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市级医药物资储备工作经费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195.00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195.00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用于市级医药物资储备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195.00</w:t>
            </w:r>
          </w:p>
        </w:tc>
        <w:tc>
          <w:tcPr>
            <w:tcW w:w="1304" w:type="dxa"/>
            <w:vAlign w:val="center"/>
          </w:tcPr>
          <w:p>
            <w:pPr>
              <w:pStyle w:val="单元格样式3"/>
            </w:pPr>
            <w:r>
              <w:t xml:space="preserve">195.00</w:t>
            </w:r>
          </w:p>
        </w:tc>
        <w:tc>
          <w:tcPr>
            <w:tcW w:w="3118" w:type="dxa"/>
            <w:hMerge w:val="restart"/>
            <w:vAlign w:val="center"/>
          </w:tcPr>
          <w:p>
            <w:pPr>
              <w:pStyle w:val="单元格样式3"/>
            </w:pPr>
            <w:r>
              <w:t xml:space="preserve">195.00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6.目标内容1督促承储企业确保储备计划安排的医药品规和数量符合要求、质量良好和储存安全，保证医药储备的正常调用。根据具体承储品种的有效期采取滚动轮换方式对储备医药进行适时轮换。</w:t>
            </w:r>
          </w:p>
          <w:p>
            <w:pPr>
              <w:pStyle w:val="单元格样式2"/>
            </w:pPr>
            <w:r>
              <w:t xml:space="preserve">"</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 市级医药储备费、管理费</w:t>
            </w:r>
          </w:p>
        </w:tc>
        <w:tc>
          <w:tcPr>
            <w:tcW w:w="2891" w:type="dxa"/>
            <w:hMerge w:val="restart"/>
            <w:vAlign w:val="center"/>
          </w:tcPr>
          <w:p>
            <w:pPr>
              <w:pStyle w:val="单元格样式2"/>
            </w:pPr>
            <w:r>
              <w:t xml:space="preserve">市级医药储备费、管理费</w:t>
            </w:r>
          </w:p>
        </w:tc>
        <w:tc>
          <w:tcPr>
            <w:tcW w:w="0" w:type="auto"/>
            <w:hMerge/>
            <w:vAlign w:val="center"/>
          </w:tcPr>
          <w:p>
            <w:pPr/>
          </w:p>
        </w:tc>
        <w:tc>
          <w:tcPr>
            <w:tcW w:w="1276" w:type="dxa"/>
            <w:vAlign w:val="center"/>
          </w:tcPr>
          <w:p>
            <w:pPr>
              <w:pStyle w:val="单元格样式2"/>
            </w:pPr>
            <w:r>
              <w:t xml:space="preserve">≤195万元</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企业应储备医药品种</w:t>
            </w:r>
          </w:p>
        </w:tc>
        <w:tc>
          <w:tcPr>
            <w:tcW w:w="2891" w:type="dxa"/>
            <w:hMerge w:val="restart"/>
            <w:vAlign w:val="center"/>
          </w:tcPr>
          <w:p>
            <w:pPr>
              <w:pStyle w:val="单元格样式2"/>
            </w:pPr>
            <w:r>
              <w:t xml:space="preserve">企业应储备医药品种数量</w:t>
            </w:r>
          </w:p>
        </w:tc>
        <w:tc>
          <w:tcPr>
            <w:tcW w:w="0" w:type="auto"/>
            <w:hMerge/>
            <w:vAlign w:val="center"/>
          </w:tcPr>
          <w:p>
            <w:pPr/>
          </w:p>
        </w:tc>
        <w:tc>
          <w:tcPr>
            <w:tcW w:w="1276" w:type="dxa"/>
            <w:vAlign w:val="center"/>
          </w:tcPr>
          <w:p>
            <w:pPr>
              <w:pStyle w:val="单元格样式2"/>
            </w:pPr>
            <w:r>
              <w:t xml:space="preserve">≥102种</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实物储备企业数量</w:t>
            </w:r>
          </w:p>
        </w:tc>
        <w:tc>
          <w:tcPr>
            <w:tcW w:w="2891" w:type="dxa"/>
            <w:hMerge w:val="restart"/>
            <w:vAlign w:val="center"/>
          </w:tcPr>
          <w:p>
            <w:pPr>
              <w:pStyle w:val="单元格样式2"/>
            </w:pPr>
            <w:r>
              <w:t xml:space="preserve">实物储备企业数量</w:t>
            </w:r>
          </w:p>
        </w:tc>
        <w:tc>
          <w:tcPr>
            <w:tcW w:w="0" w:type="auto"/>
            <w:hMerge/>
            <w:vAlign w:val="center"/>
          </w:tcPr>
          <w:p>
            <w:pPr/>
          </w:p>
        </w:tc>
        <w:tc>
          <w:tcPr>
            <w:tcW w:w="1276" w:type="dxa"/>
            <w:vAlign w:val="center"/>
          </w:tcPr>
          <w:p>
            <w:pPr>
              <w:pStyle w:val="单元格样式2"/>
            </w:pPr>
            <w:r>
              <w:t xml:space="preserve">≥70百分号</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 实物储备企业政策符合度</w:t>
            </w:r>
          </w:p>
        </w:tc>
        <w:tc>
          <w:tcPr>
            <w:tcW w:w="2891" w:type="dxa"/>
            <w:hMerge w:val="restart"/>
            <w:vAlign w:val="center"/>
          </w:tcPr>
          <w:p>
            <w:pPr>
              <w:pStyle w:val="单元格样式2"/>
            </w:pPr>
            <w:r>
              <w:t xml:space="preserve"> 实物储备企业政策符合情况</w:t>
            </w:r>
          </w:p>
        </w:tc>
        <w:tc>
          <w:tcPr>
            <w:tcW w:w="0" w:type="auto"/>
            <w:hMerge/>
            <w:vAlign w:val="center"/>
          </w:tcPr>
          <w:p>
            <w:pPr/>
          </w:p>
        </w:tc>
        <w:tc>
          <w:tcPr>
            <w:tcW w:w="1276" w:type="dxa"/>
            <w:vAlign w:val="center"/>
          </w:tcPr>
          <w:p>
            <w:pPr>
              <w:pStyle w:val="单元格样式2"/>
            </w:pPr>
            <w:r>
              <w:t xml:space="preserve">100百分号</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线上医药储备监管时限</w:t>
            </w:r>
          </w:p>
        </w:tc>
        <w:tc>
          <w:tcPr>
            <w:tcW w:w="2891" w:type="dxa"/>
            <w:hMerge w:val="restart"/>
            <w:vAlign w:val="center"/>
          </w:tcPr>
          <w:p>
            <w:pPr>
              <w:pStyle w:val="单元格样式2"/>
            </w:pPr>
            <w:r>
              <w:t xml:space="preserve">线上医药储备监管时限</w:t>
            </w:r>
          </w:p>
        </w:tc>
        <w:tc>
          <w:tcPr>
            <w:tcW w:w="0" w:type="auto"/>
            <w:hMerge/>
            <w:vAlign w:val="center"/>
          </w:tcPr>
          <w:p>
            <w:pPr/>
          </w:p>
        </w:tc>
        <w:tc>
          <w:tcPr>
            <w:tcW w:w="1276" w:type="dxa"/>
            <w:vAlign w:val="center"/>
          </w:tcPr>
          <w:p>
            <w:pPr>
              <w:pStyle w:val="单元格样式2"/>
            </w:pPr>
            <w:r>
              <w:t xml:space="preserve">24小时</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签订市级医药储备合同时长</w:t>
            </w:r>
          </w:p>
        </w:tc>
        <w:tc>
          <w:tcPr>
            <w:tcW w:w="2891" w:type="dxa"/>
            <w:hMerge w:val="restart"/>
            <w:vAlign w:val="center"/>
          </w:tcPr>
          <w:p>
            <w:pPr>
              <w:pStyle w:val="单元格样式2"/>
            </w:pPr>
            <w:r>
              <w:t xml:space="preserve">确保市级医药储备不断档</w:t>
            </w:r>
          </w:p>
        </w:tc>
        <w:tc>
          <w:tcPr>
            <w:tcW w:w="0" w:type="auto"/>
            <w:hMerge/>
            <w:vAlign w:val="center"/>
          </w:tcPr>
          <w:p>
            <w:pPr/>
          </w:p>
        </w:tc>
        <w:tc>
          <w:tcPr>
            <w:tcW w:w="1276" w:type="dxa"/>
            <w:vAlign w:val="center"/>
          </w:tcPr>
          <w:p>
            <w:pPr>
              <w:pStyle w:val="单元格样式2"/>
            </w:pPr>
            <w:r>
              <w:t xml:space="preserve">1季度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确定市级医药储备全部入储</w:t>
            </w:r>
          </w:p>
        </w:tc>
        <w:tc>
          <w:tcPr>
            <w:tcW w:w="2891" w:type="dxa"/>
            <w:hMerge w:val="restart"/>
            <w:vAlign w:val="center"/>
          </w:tcPr>
          <w:p>
            <w:pPr>
              <w:pStyle w:val="单元格样式2"/>
            </w:pPr>
            <w:r>
              <w:t xml:space="preserve">合同要求、确保市级医药储备不断档</w:t>
            </w:r>
          </w:p>
        </w:tc>
        <w:tc>
          <w:tcPr>
            <w:tcW w:w="0" w:type="auto"/>
            <w:hMerge/>
            <w:vAlign w:val="center"/>
          </w:tcPr>
          <w:p>
            <w:pPr/>
          </w:p>
        </w:tc>
        <w:tc>
          <w:tcPr>
            <w:tcW w:w="1276" w:type="dxa"/>
            <w:vAlign w:val="center"/>
          </w:tcPr>
          <w:p>
            <w:pPr>
              <w:pStyle w:val="单元格样式2"/>
            </w:pPr>
            <w:r>
              <w:t xml:space="preserve">≤50日</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市级药品和医疗防护应急物资正常供应率</w:t>
            </w:r>
          </w:p>
        </w:tc>
        <w:tc>
          <w:tcPr>
            <w:tcW w:w="2891" w:type="dxa"/>
            <w:hMerge w:val="restart"/>
            <w:vAlign w:val="center"/>
          </w:tcPr>
          <w:p>
            <w:pPr>
              <w:pStyle w:val="单元格样式2"/>
            </w:pPr>
            <w:r>
              <w:t xml:space="preserve">确保突发公共卫生事件发生时市级药品和医疗防护应急物资的及时供应</w:t>
            </w:r>
          </w:p>
        </w:tc>
        <w:tc>
          <w:tcPr>
            <w:tcW w:w="0" w:type="auto"/>
            <w:hMerge/>
            <w:vAlign w:val="center"/>
          </w:tcPr>
          <w:p>
            <w:pPr/>
          </w:p>
        </w:tc>
        <w:tc>
          <w:tcPr>
            <w:tcW w:w="1276" w:type="dxa"/>
            <w:vAlign w:val="center"/>
          </w:tcPr>
          <w:p>
            <w:pPr>
              <w:pStyle w:val="单元格样式2"/>
            </w:pPr>
            <w:r>
              <w:t xml:space="preserve">100百分号</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 指标1：企业满意度</w:t>
            </w:r>
          </w:p>
        </w:tc>
        <w:tc>
          <w:tcPr>
            <w:tcW w:w="2891" w:type="dxa"/>
            <w:hMerge w:val="restart"/>
            <w:vAlign w:val="center"/>
          </w:tcPr>
          <w:p>
            <w:pPr>
              <w:pStyle w:val="单元格样式2"/>
            </w:pPr>
            <w:r>
              <w:t xml:space="preserve">企业满意度</w:t>
            </w:r>
          </w:p>
        </w:tc>
        <w:tc>
          <w:tcPr>
            <w:tcW w:w="0" w:type="auto"/>
            <w:hMerge/>
            <w:vAlign w:val="center"/>
          </w:tcPr>
          <w:p>
            <w:pPr/>
          </w:p>
        </w:tc>
        <w:tc>
          <w:tcPr>
            <w:tcW w:w="1276" w:type="dxa"/>
            <w:vAlign w:val="center"/>
          </w:tcPr>
          <w:p>
            <w:pPr>
              <w:pStyle w:val="单元格样式2"/>
            </w:pPr>
            <w:r>
              <w:t xml:space="preserve">100百分号</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4.无线电宣传工作经费绩效目标表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502001青岛市工业和信息化局本级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37020023P880028109988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无线电宣传工作经费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用于无线电宣传</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5.00</w:t>
            </w:r>
          </w:p>
        </w:tc>
        <w:tc>
          <w:tcPr>
            <w:tcW w:w="3118" w:type="dxa"/>
            <w:hMerge w:val="restart"/>
            <w:vAlign w:val="center"/>
          </w:tcPr>
          <w:p>
            <w:pPr>
              <w:pStyle w:val="单元格样式3"/>
            </w:pPr>
            <w:r>
              <w:t xml:space="preserve">18.00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6.按照无线电管理工作“三管理、三服务、一突出”的总体要求，整合宣传资源，加强组织保障，充分发挥无线电管理宣传的重要作用，进一步提升全社会对无线电法律法规、无线电频谱资源重要性与无线电管理工作的认识和了解，促进无线电管理事业持续健康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无线电宣传工作经费</w:t>
            </w:r>
          </w:p>
        </w:tc>
        <w:tc>
          <w:tcPr>
            <w:tcW w:w="2891" w:type="dxa"/>
            <w:hMerge w:val="restart"/>
            <w:vAlign w:val="center"/>
          </w:tcPr>
          <w:p>
            <w:pPr>
              <w:pStyle w:val="单元格样式2"/>
            </w:pPr>
            <w:r>
              <w:t xml:space="preserve">无线电宣传工作经费</w:t>
            </w:r>
          </w:p>
        </w:tc>
        <w:tc>
          <w:tcPr>
            <w:tcW w:w="0" w:type="auto"/>
            <w:hMerge/>
            <w:vAlign w:val="center"/>
          </w:tcPr>
          <w:p>
            <w:pPr/>
          </w:p>
        </w:tc>
        <w:tc>
          <w:tcPr>
            <w:tcW w:w="1276" w:type="dxa"/>
            <w:vAlign w:val="center"/>
          </w:tcPr>
          <w:p>
            <w:pPr>
              <w:pStyle w:val="单元格样式2"/>
            </w:pPr>
            <w:r>
              <w:t xml:space="preserve">≤18万</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开展现场宣传活动次数</w:t>
            </w:r>
          </w:p>
        </w:tc>
        <w:tc>
          <w:tcPr>
            <w:tcW w:w="2891" w:type="dxa"/>
            <w:hMerge w:val="restart"/>
            <w:vAlign w:val="center"/>
          </w:tcPr>
          <w:p>
            <w:pPr>
              <w:pStyle w:val="单元格样式2"/>
            </w:pPr>
            <w:r>
              <w:t xml:space="preserve">通过摆放宣传展板，向市民发放无线电管理宣传手册，现场宣讲无线电知识等形式开展现场宣传活动</w:t>
            </w:r>
          </w:p>
        </w:tc>
        <w:tc>
          <w:tcPr>
            <w:tcW w:w="0" w:type="auto"/>
            <w:hMerge/>
            <w:vAlign w:val="center"/>
          </w:tcPr>
          <w:p>
            <w:pPr/>
          </w:p>
        </w:tc>
        <w:tc>
          <w:tcPr>
            <w:tcW w:w="1276" w:type="dxa"/>
            <w:vAlign w:val="center"/>
          </w:tcPr>
          <w:p>
            <w:pPr>
              <w:pStyle w:val="单元格样式2"/>
            </w:pPr>
            <w:r>
              <w:t xml:space="preserve">≥7次</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开展网络等宣传活动次数</w:t>
            </w:r>
          </w:p>
        </w:tc>
        <w:tc>
          <w:tcPr>
            <w:tcW w:w="2891" w:type="dxa"/>
            <w:hMerge w:val="restart"/>
            <w:vAlign w:val="center"/>
          </w:tcPr>
          <w:p>
            <w:pPr>
              <w:pStyle w:val="单元格样式2"/>
            </w:pPr>
            <w:r>
              <w:t xml:space="preserve">通过网络、媒体、电信运营商、报刊、基层活动等多种途径开展宣传活动</w:t>
            </w:r>
          </w:p>
        </w:tc>
        <w:tc>
          <w:tcPr>
            <w:tcW w:w="0" w:type="auto"/>
            <w:hMerge/>
            <w:vAlign w:val="center"/>
          </w:tcPr>
          <w:p>
            <w:pPr/>
          </w:p>
        </w:tc>
        <w:tc>
          <w:tcPr>
            <w:tcW w:w="1276" w:type="dxa"/>
            <w:vAlign w:val="center"/>
          </w:tcPr>
          <w:p>
            <w:pPr>
              <w:pStyle w:val="单元格样式2"/>
            </w:pPr>
            <w:r>
              <w:t xml:space="preserve">≥5次</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宣传指标达标率</w:t>
            </w:r>
          </w:p>
        </w:tc>
        <w:tc>
          <w:tcPr>
            <w:tcW w:w="2891" w:type="dxa"/>
            <w:hMerge w:val="restart"/>
            <w:vAlign w:val="center"/>
          </w:tcPr>
          <w:p>
            <w:pPr>
              <w:pStyle w:val="单元格样式2"/>
            </w:pPr>
            <w:r>
              <w:t xml:space="preserve">宣传指标达标情况</w:t>
            </w:r>
          </w:p>
        </w:tc>
        <w:tc>
          <w:tcPr>
            <w:tcW w:w="0" w:type="auto"/>
            <w:hMerge/>
            <w:vAlign w:val="center"/>
          </w:tcPr>
          <w:p>
            <w:pPr/>
          </w:p>
        </w:tc>
        <w:tc>
          <w:tcPr>
            <w:tcW w:w="1276" w:type="dxa"/>
            <w:vAlign w:val="center"/>
          </w:tcPr>
          <w:p>
            <w:pPr>
              <w:pStyle w:val="单元格样式2"/>
            </w:pPr>
            <w:r>
              <w:t xml:space="preserve">≥95百分号</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宣传内容覆盖率</w:t>
            </w:r>
          </w:p>
        </w:tc>
        <w:tc>
          <w:tcPr>
            <w:tcW w:w="2891" w:type="dxa"/>
            <w:hMerge w:val="restart"/>
            <w:vAlign w:val="center"/>
          </w:tcPr>
          <w:p>
            <w:pPr>
              <w:pStyle w:val="单元格样式2"/>
            </w:pPr>
            <w:r>
              <w:t xml:space="preserve">宣传内容涵盖无线电管理法规、科普、行政审批、违法行为披露等内容。</w:t>
            </w:r>
          </w:p>
        </w:tc>
        <w:tc>
          <w:tcPr>
            <w:tcW w:w="0" w:type="auto"/>
            <w:hMerge/>
            <w:vAlign w:val="center"/>
          </w:tcPr>
          <w:p>
            <w:pPr/>
          </w:p>
        </w:tc>
        <w:tc>
          <w:tcPr>
            <w:tcW w:w="1276" w:type="dxa"/>
            <w:vAlign w:val="center"/>
          </w:tcPr>
          <w:p>
            <w:pPr>
              <w:pStyle w:val="单元格样式2"/>
            </w:pPr>
            <w:r>
              <w:t xml:space="preserve">100百分号</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 无线电宣传工作完成时限</w:t>
            </w:r>
          </w:p>
        </w:tc>
        <w:tc>
          <w:tcPr>
            <w:tcW w:w="2891" w:type="dxa"/>
            <w:hMerge w:val="restart"/>
            <w:vAlign w:val="center"/>
          </w:tcPr>
          <w:p>
            <w:pPr>
              <w:pStyle w:val="单元格样式2"/>
            </w:pPr>
            <w:r>
              <w:t xml:space="preserve">宣传月工作自发布通知起至活动结束时间</w:t>
            </w:r>
          </w:p>
        </w:tc>
        <w:tc>
          <w:tcPr>
            <w:tcW w:w="0" w:type="auto"/>
            <w:hMerge/>
            <w:vAlign w:val="center"/>
          </w:tcPr>
          <w:p>
            <w:pPr/>
          </w:p>
        </w:tc>
        <w:tc>
          <w:tcPr>
            <w:tcW w:w="1276" w:type="dxa"/>
            <w:vAlign w:val="center"/>
          </w:tcPr>
          <w:p>
            <w:pPr>
              <w:pStyle w:val="单元格样式2"/>
            </w:pPr>
            <w:r>
              <w:t xml:space="preserve">≤60日</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宣传活动覆盖率</w:t>
            </w:r>
          </w:p>
        </w:tc>
        <w:tc>
          <w:tcPr>
            <w:tcW w:w="2891" w:type="dxa"/>
            <w:hMerge w:val="restart"/>
            <w:vAlign w:val="center"/>
          </w:tcPr>
          <w:p>
            <w:pPr>
              <w:pStyle w:val="单元格样式2"/>
            </w:pPr>
            <w:r>
              <w:t xml:space="preserve">宣传活动对设台用户和社会公众的覆盖率</w:t>
            </w:r>
          </w:p>
        </w:tc>
        <w:tc>
          <w:tcPr>
            <w:tcW w:w="0" w:type="auto"/>
            <w:hMerge/>
            <w:vAlign w:val="center"/>
          </w:tcPr>
          <w:p>
            <w:pPr/>
          </w:p>
        </w:tc>
        <w:tc>
          <w:tcPr>
            <w:tcW w:w="1276" w:type="dxa"/>
            <w:vAlign w:val="center"/>
          </w:tcPr>
          <w:p>
            <w:pPr>
              <w:pStyle w:val="单元格样式2"/>
            </w:pPr>
            <w:r>
              <w:t xml:space="preserve">≥90百分号</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 指标1：重点设台用户满意度</w:t>
            </w:r>
          </w:p>
        </w:tc>
        <w:tc>
          <w:tcPr>
            <w:tcW w:w="2891" w:type="dxa"/>
            <w:hMerge w:val="restart"/>
            <w:vAlign w:val="center"/>
          </w:tcPr>
          <w:p>
            <w:pPr>
              <w:pStyle w:val="单元格样式2"/>
            </w:pPr>
            <w:r>
              <w:t xml:space="preserve">用户了解无线电管理法律法规，熟悉频率许可和电台执照办理流程，知悉无线电管理的重要性。</w:t>
            </w:r>
          </w:p>
        </w:tc>
        <w:tc>
          <w:tcPr>
            <w:tcW w:w="0" w:type="auto"/>
            <w:hMerge/>
            <w:vAlign w:val="center"/>
          </w:tcPr>
          <w:p>
            <w:pPr/>
          </w:p>
        </w:tc>
        <w:tc>
          <w:tcPr>
            <w:tcW w:w="1276" w:type="dxa"/>
            <w:vAlign w:val="center"/>
          </w:tcPr>
          <w:p>
            <w:pPr>
              <w:pStyle w:val="单元格样式2"/>
            </w:pPr>
            <w:r>
              <w:t xml:space="preserve">≥90百分号</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5.先进制造业发展工作经费绩效目标表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502001青岛市工业和信息化局本级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37020023P88002810991Y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先进制造业发展工作经费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575.00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575.00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用于局工作基本运转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10.00</w:t>
            </w:r>
          </w:p>
        </w:tc>
        <w:tc>
          <w:tcPr>
            <w:tcW w:w="0" w:type="auto"/>
            <w:hMerge/>
          </w:tcPr>
          <w:p>
            <w:pPr/>
          </w:p>
        </w:tc>
        <w:tc>
          <w:tcPr>
            <w:tcW w:w="1587" w:type="dxa"/>
            <w:vAlign w:val="center"/>
          </w:tcPr>
          <w:p>
            <w:pPr>
              <w:pStyle w:val="单元格样式3"/>
            </w:pPr>
            <w:r>
              <w:t xml:space="preserve">200.00</w:t>
            </w:r>
          </w:p>
        </w:tc>
        <w:tc>
          <w:tcPr>
            <w:tcW w:w="1304" w:type="dxa"/>
            <w:vAlign w:val="center"/>
          </w:tcPr>
          <w:p>
            <w:pPr>
              <w:pStyle w:val="单元格样式3"/>
            </w:pPr>
            <w:r>
              <w:t xml:space="preserve">300.00</w:t>
            </w:r>
          </w:p>
        </w:tc>
        <w:tc>
          <w:tcPr>
            <w:tcW w:w="3118" w:type="dxa"/>
            <w:hMerge w:val="restart"/>
            <w:vAlign w:val="center"/>
          </w:tcPr>
          <w:p>
            <w:pPr>
              <w:pStyle w:val="单元格样式3"/>
            </w:pPr>
            <w:r>
              <w:t xml:space="preserve">575.00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6.目标内容1：产品质量大幅提高，企业竞争力明显提升，产业结构整体优化，重点行业单位工业增加值能耗、物耗及污染物排放明显下降，制造业信息化水平大幅提升，数字化、网络化、智能化建设取得明显进展，产业价值链实现高端跨越。</w:t>
            </w:r>
          </w:p>
          <w:p>
            <w:pPr>
              <w:pStyle w:val="单元格样式2"/>
            </w:pPr>
          </w:p>
          <w:p>
            <w:pPr>
              <w:pStyle w:val="单元格样式2"/>
            </w:pPr>
            <w:r>
              <w:t xml:space="preserve">7.目标内容2：落实企业技术改造综合奖补政策，执行政府采购管理要求，第三方中介机构审核结果验收合格率达到100%。</w:t>
            </w:r>
          </w:p>
          <w:p>
            <w:pPr>
              <w:pStyle w:val="单元格样式2"/>
            </w:pPr>
            <w:r>
              <w:t xml:space="preserve">8.目标内容3：完成全部申报企业核查评审，引导软件企业加快发展，促进全市软件产业规模进一步扩大。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先进制造业发展工作经费</w:t>
            </w:r>
          </w:p>
        </w:tc>
        <w:tc>
          <w:tcPr>
            <w:tcW w:w="2891" w:type="dxa"/>
            <w:hMerge w:val="restart"/>
            <w:vAlign w:val="center"/>
          </w:tcPr>
          <w:p>
            <w:pPr>
              <w:pStyle w:val="单元格样式2"/>
            </w:pPr>
            <w:r>
              <w:t xml:space="preserve">先进制造业发展工作经费</w:t>
            </w:r>
          </w:p>
        </w:tc>
        <w:tc>
          <w:tcPr>
            <w:tcW w:w="0" w:type="auto"/>
            <w:hMerge/>
            <w:vAlign w:val="center"/>
          </w:tcPr>
          <w:p>
            <w:pPr/>
          </w:p>
        </w:tc>
        <w:tc>
          <w:tcPr>
            <w:tcW w:w="1276" w:type="dxa"/>
            <w:vAlign w:val="center"/>
          </w:tcPr>
          <w:p>
            <w:pPr>
              <w:pStyle w:val="单元格样式2"/>
            </w:pPr>
            <w:r>
              <w:t xml:space="preserve">≤575万元</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新一代青岛金花培育企业数量</w:t>
            </w:r>
          </w:p>
        </w:tc>
        <w:tc>
          <w:tcPr>
            <w:tcW w:w="2891" w:type="dxa"/>
            <w:hMerge w:val="restart"/>
            <w:vAlign w:val="center"/>
          </w:tcPr>
          <w:p>
            <w:pPr>
              <w:pStyle w:val="单元格样式2"/>
            </w:pPr>
            <w:r>
              <w:t xml:space="preserve">新一代青岛金花培育企业</w:t>
            </w:r>
          </w:p>
        </w:tc>
        <w:tc>
          <w:tcPr>
            <w:tcW w:w="0" w:type="auto"/>
            <w:hMerge/>
            <w:vAlign w:val="center"/>
          </w:tcPr>
          <w:p>
            <w:pPr/>
          </w:p>
        </w:tc>
        <w:tc>
          <w:tcPr>
            <w:tcW w:w="1276" w:type="dxa"/>
            <w:vAlign w:val="center"/>
          </w:tcPr>
          <w:p>
            <w:pPr>
              <w:pStyle w:val="单元格样式2"/>
            </w:pPr>
            <w:r>
              <w:t xml:space="preserve">≥30家</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新一代青岛金花培育综合评价报告数量</w:t>
            </w:r>
          </w:p>
        </w:tc>
        <w:tc>
          <w:tcPr>
            <w:tcW w:w="2891" w:type="dxa"/>
            <w:hMerge w:val="restart"/>
            <w:vAlign w:val="center"/>
          </w:tcPr>
          <w:p>
            <w:pPr>
              <w:pStyle w:val="单元格样式2"/>
            </w:pPr>
            <w:r>
              <w:t xml:space="preserve">新一代青岛金花培育综合评价报告数量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安全演练次数</w:t>
            </w:r>
          </w:p>
        </w:tc>
        <w:tc>
          <w:tcPr>
            <w:tcW w:w="2891" w:type="dxa"/>
            <w:hMerge w:val="restart"/>
            <w:vAlign w:val="center"/>
          </w:tcPr>
          <w:p>
            <w:pPr>
              <w:pStyle w:val="单元格样式2"/>
            </w:pPr>
            <w:r>
              <w:t xml:space="preserve">组织开展工业互联网网络安全应急演练次数</w:t>
            </w:r>
          </w:p>
        </w:tc>
        <w:tc>
          <w:tcPr>
            <w:tcW w:w="0" w:type="auto"/>
            <w:hMerge/>
            <w:vAlign w:val="center"/>
          </w:tcPr>
          <w:p>
            <w:pPr/>
          </w:p>
        </w:tc>
        <w:tc>
          <w:tcPr>
            <w:tcW w:w="1276" w:type="dxa"/>
            <w:vAlign w:val="center"/>
          </w:tcPr>
          <w:p>
            <w:pPr>
              <w:pStyle w:val="单元格样式2"/>
            </w:pPr>
            <w:r>
              <w:t xml:space="preserve">≥2次</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网络安全检查企业数</w:t>
            </w:r>
          </w:p>
        </w:tc>
        <w:tc>
          <w:tcPr>
            <w:tcW w:w="2891" w:type="dxa"/>
            <w:hMerge w:val="restart"/>
            <w:vAlign w:val="center"/>
          </w:tcPr>
          <w:p>
            <w:pPr>
              <w:pStyle w:val="单元格样式2"/>
            </w:pPr>
            <w:r>
              <w:t xml:space="preserve">对工业互联网联网企业开展网络安全检查的企业数量。</w:t>
            </w:r>
          </w:p>
        </w:tc>
        <w:tc>
          <w:tcPr>
            <w:tcW w:w="0" w:type="auto"/>
            <w:hMerge/>
            <w:vAlign w:val="center"/>
          </w:tcPr>
          <w:p>
            <w:pPr/>
          </w:p>
        </w:tc>
        <w:tc>
          <w:tcPr>
            <w:tcW w:w="1276" w:type="dxa"/>
            <w:vAlign w:val="center"/>
          </w:tcPr>
          <w:p>
            <w:pPr>
              <w:pStyle w:val="单元格样式2"/>
            </w:pPr>
            <w:r>
              <w:t xml:space="preserve">60家</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编制企业设备审核明细表数量</w:t>
            </w:r>
          </w:p>
        </w:tc>
        <w:tc>
          <w:tcPr>
            <w:tcW w:w="2891" w:type="dxa"/>
            <w:hMerge w:val="restart"/>
            <w:vAlign w:val="center"/>
          </w:tcPr>
          <w:p>
            <w:pPr>
              <w:pStyle w:val="单元格样式2"/>
            </w:pPr>
            <w:r>
              <w:t xml:space="preserve">编制企业设备审核明细表数量</w:t>
            </w:r>
          </w:p>
        </w:tc>
        <w:tc>
          <w:tcPr>
            <w:tcW w:w="0" w:type="auto"/>
            <w:hMerge/>
            <w:vAlign w:val="center"/>
          </w:tcPr>
          <w:p>
            <w:pPr/>
          </w:p>
        </w:tc>
        <w:tc>
          <w:tcPr>
            <w:tcW w:w="1276" w:type="dxa"/>
            <w:vAlign w:val="center"/>
          </w:tcPr>
          <w:p>
            <w:pPr>
              <w:pStyle w:val="单元格样式2"/>
            </w:pPr>
            <w:r>
              <w:t xml:space="preserve">350个</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新一代青岛金花培育综合评价报告合格率</w:t>
            </w:r>
          </w:p>
        </w:tc>
        <w:tc>
          <w:tcPr>
            <w:tcW w:w="2891" w:type="dxa"/>
            <w:hMerge w:val="restart"/>
            <w:vAlign w:val="center"/>
          </w:tcPr>
          <w:p>
            <w:pPr>
              <w:pStyle w:val="单元格样式2"/>
            </w:pPr>
            <w:r>
              <w:t xml:space="preserve">新一代青岛金花培育综合评价报告合格率</w:t>
            </w:r>
          </w:p>
        </w:tc>
        <w:tc>
          <w:tcPr>
            <w:tcW w:w="0" w:type="auto"/>
            <w:hMerge/>
            <w:vAlign w:val="center"/>
          </w:tcPr>
          <w:p>
            <w:pPr/>
          </w:p>
        </w:tc>
        <w:tc>
          <w:tcPr>
            <w:tcW w:w="1276" w:type="dxa"/>
            <w:vAlign w:val="center"/>
          </w:tcPr>
          <w:p>
            <w:pPr>
              <w:pStyle w:val="单元格样式2"/>
            </w:pPr>
            <w:r>
              <w:t xml:space="preserve">100百分号</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宽带下载速率</w:t>
            </w:r>
          </w:p>
        </w:tc>
        <w:tc>
          <w:tcPr>
            <w:tcW w:w="2891" w:type="dxa"/>
            <w:hMerge w:val="restart"/>
            <w:vAlign w:val="center"/>
          </w:tcPr>
          <w:p>
            <w:pPr>
              <w:pStyle w:val="单元格样式2"/>
            </w:pPr>
            <w:r>
              <w:t xml:space="preserve">全市宽带网络质量水平</w:t>
            </w:r>
          </w:p>
        </w:tc>
        <w:tc>
          <w:tcPr>
            <w:tcW w:w="0" w:type="auto"/>
            <w:hMerge/>
            <w:vAlign w:val="center"/>
          </w:tcPr>
          <w:p>
            <w:pPr/>
          </w:p>
        </w:tc>
        <w:tc>
          <w:tcPr>
            <w:tcW w:w="1276" w:type="dxa"/>
            <w:vAlign w:val="center"/>
          </w:tcPr>
          <w:p>
            <w:pPr>
              <w:pStyle w:val="单元格样式2"/>
            </w:pPr>
            <w:r>
              <w:t xml:space="preserve">≥7百分号</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第三方机构审核结果验收通过率</w:t>
            </w:r>
          </w:p>
        </w:tc>
        <w:tc>
          <w:tcPr>
            <w:tcW w:w="2891" w:type="dxa"/>
            <w:hMerge w:val="restart"/>
            <w:vAlign w:val="center"/>
          </w:tcPr>
          <w:p>
            <w:pPr>
              <w:pStyle w:val="单元格样式2"/>
            </w:pPr>
            <w:r>
              <w:t xml:space="preserve">第三方机构审核结果验收通过率</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项目评审企业提供材料时间</w:t>
            </w:r>
          </w:p>
        </w:tc>
        <w:tc>
          <w:tcPr>
            <w:tcW w:w="2891" w:type="dxa"/>
            <w:hMerge w:val="restart"/>
            <w:vAlign w:val="center"/>
          </w:tcPr>
          <w:p>
            <w:pPr>
              <w:pStyle w:val="单元格样式2"/>
            </w:pPr>
            <w:r>
              <w:t xml:space="preserve">项目评审企业提供材料时间</w:t>
            </w:r>
          </w:p>
        </w:tc>
        <w:tc>
          <w:tcPr>
            <w:tcW w:w="0" w:type="auto"/>
            <w:hMerge/>
            <w:vAlign w:val="center"/>
          </w:tcPr>
          <w:p>
            <w:pPr/>
          </w:p>
        </w:tc>
        <w:tc>
          <w:tcPr>
            <w:tcW w:w="1276" w:type="dxa"/>
            <w:vAlign w:val="center"/>
          </w:tcPr>
          <w:p>
            <w:pPr>
              <w:pStyle w:val="单元格样式2"/>
            </w:pPr>
            <w:r>
              <w:t xml:space="preserve">≤11月份</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指标1：电信运营商的营业收入</w:t>
            </w:r>
          </w:p>
        </w:tc>
        <w:tc>
          <w:tcPr>
            <w:tcW w:w="2891" w:type="dxa"/>
            <w:hMerge w:val="restart"/>
            <w:vAlign w:val="center"/>
          </w:tcPr>
          <w:p>
            <w:pPr>
              <w:pStyle w:val="单元格样式2"/>
            </w:pPr>
            <w:r>
              <w:t xml:space="preserve">营业收入的同比增幅</w:t>
            </w:r>
          </w:p>
        </w:tc>
        <w:tc>
          <w:tcPr>
            <w:tcW w:w="0" w:type="auto"/>
            <w:hMerge/>
            <w:vAlign w:val="center"/>
          </w:tcPr>
          <w:p>
            <w:pPr/>
          </w:p>
        </w:tc>
        <w:tc>
          <w:tcPr>
            <w:tcW w:w="1276" w:type="dxa"/>
            <w:vAlign w:val="center"/>
          </w:tcPr>
          <w:p>
            <w:pPr>
              <w:pStyle w:val="单元格样式2"/>
            </w:pPr>
            <w:r>
              <w:t xml:space="preserve">≥5百分号</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指标1：全市两化融合指数</w:t>
            </w:r>
          </w:p>
        </w:tc>
        <w:tc>
          <w:tcPr>
            <w:tcW w:w="2891" w:type="dxa"/>
            <w:hMerge w:val="restart"/>
            <w:vAlign w:val="center"/>
          </w:tcPr>
          <w:p>
            <w:pPr>
              <w:pStyle w:val="单元格样式2"/>
            </w:pPr>
            <w:r>
              <w:t xml:space="preserve">全市两化融合指数</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企业满意度</w:t>
            </w:r>
          </w:p>
        </w:tc>
        <w:tc>
          <w:tcPr>
            <w:tcW w:w="2891" w:type="dxa"/>
            <w:hMerge w:val="restart"/>
            <w:vAlign w:val="center"/>
          </w:tcPr>
          <w:p>
            <w:pPr>
              <w:pStyle w:val="单元格样式2"/>
            </w:pPr>
            <w:r>
              <w:t xml:space="preserve">企业满意度</w:t>
            </w:r>
          </w:p>
        </w:tc>
        <w:tc>
          <w:tcPr>
            <w:tcW w:w="0" w:type="auto"/>
            <w:hMerge/>
            <w:vAlign w:val="center"/>
          </w:tcPr>
          <w:p>
            <w:pPr/>
          </w:p>
        </w:tc>
        <w:tc>
          <w:tcPr>
            <w:tcW w:w="1276" w:type="dxa"/>
            <w:vAlign w:val="center"/>
          </w:tcPr>
          <w:p>
            <w:pPr>
              <w:pStyle w:val="单元格样式2"/>
            </w:pPr>
            <w:r>
              <w:t xml:space="preserve">≥95百分号</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6.新能源应用推广平台运维及工作经费绩效目标表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502001青岛市工业和信息化局本级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37020023P88002810997L</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新能源应用推广平台运维及工作经费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106.00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106.00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用于新能源汽车平台运维及新能源推广工作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2.00</w:t>
            </w:r>
          </w:p>
        </w:tc>
        <w:tc>
          <w:tcPr>
            <w:tcW w:w="1304" w:type="dxa"/>
            <w:vAlign w:val="center"/>
          </w:tcPr>
          <w:p>
            <w:pPr>
              <w:pStyle w:val="单元格样式3"/>
            </w:pPr>
            <w:r>
              <w:t xml:space="preserve">80.00</w:t>
            </w:r>
          </w:p>
        </w:tc>
        <w:tc>
          <w:tcPr>
            <w:tcW w:w="3118" w:type="dxa"/>
            <w:hMerge w:val="restart"/>
            <w:vAlign w:val="center"/>
          </w:tcPr>
          <w:p>
            <w:pPr>
              <w:pStyle w:val="单元格样式3"/>
            </w:pPr>
            <w:r>
              <w:t xml:space="preserve">106.00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6.目标内容1:新能源汽车财政补助申报车辆数力争达到200辆。</w:t>
            </w:r>
            <w:r>
              <w:tab/>
            </w:r>
            <w:r>
              <w:tab/>
            </w:r>
            <w:r>
              <w:tab/>
            </w:r>
            <w:r>
              <w:tab/>
            </w:r>
            <w:r>
              <w:tab/>
            </w:r>
          </w:p>
          <w:p>
            <w:pPr>
              <w:pStyle w:val="单元格样式2"/>
            </w:pPr>
          </w:p>
          <w:p>
            <w:pPr>
              <w:pStyle w:val="单元格样式2"/>
            </w:pPr>
            <w:r>
              <w:t xml:space="preserve">7.目标内容2：新增推广新能源汽车数量大于3000辆。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新能源汽车财政补助标准</w:t>
            </w:r>
          </w:p>
        </w:tc>
        <w:tc>
          <w:tcPr>
            <w:tcW w:w="2891" w:type="dxa"/>
            <w:hMerge w:val="restart"/>
            <w:vAlign w:val="center"/>
          </w:tcPr>
          <w:p>
            <w:pPr>
              <w:pStyle w:val="单元格样式2"/>
            </w:pPr>
            <w:r>
              <w:t xml:space="preserve">新能源汽车财政补助标准</w:t>
            </w:r>
          </w:p>
        </w:tc>
        <w:tc>
          <w:tcPr>
            <w:tcW w:w="0" w:type="auto"/>
            <w:hMerge/>
            <w:vAlign w:val="center"/>
          </w:tcPr>
          <w:p>
            <w:pPr/>
          </w:p>
        </w:tc>
        <w:tc>
          <w:tcPr>
            <w:tcW w:w="1276" w:type="dxa"/>
            <w:vAlign w:val="center"/>
          </w:tcPr>
          <w:p>
            <w:pPr>
              <w:pStyle w:val="单元格样式2"/>
            </w:pPr>
            <w:r>
              <w:t xml:space="preserve">≥4.5万元/辆</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新能源汽车财政补助申报车辆数</w:t>
            </w:r>
          </w:p>
        </w:tc>
        <w:tc>
          <w:tcPr>
            <w:tcW w:w="2891" w:type="dxa"/>
            <w:hMerge w:val="restart"/>
            <w:vAlign w:val="center"/>
          </w:tcPr>
          <w:p>
            <w:pPr>
              <w:pStyle w:val="单元格样式2"/>
            </w:pPr>
            <w:r>
              <w:t xml:space="preserve">新能源汽车财政补助申报车辆数</w:t>
            </w:r>
          </w:p>
        </w:tc>
        <w:tc>
          <w:tcPr>
            <w:tcW w:w="0" w:type="auto"/>
            <w:hMerge/>
            <w:vAlign w:val="center"/>
          </w:tcPr>
          <w:p>
            <w:pPr/>
          </w:p>
        </w:tc>
        <w:tc>
          <w:tcPr>
            <w:tcW w:w="1276" w:type="dxa"/>
            <w:vAlign w:val="center"/>
          </w:tcPr>
          <w:p>
            <w:pPr>
              <w:pStyle w:val="单元格样式2"/>
            </w:pPr>
            <w:r>
              <w:t xml:space="preserve">≥200辆</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新增推广新能源汽车数量</w:t>
            </w:r>
          </w:p>
        </w:tc>
        <w:tc>
          <w:tcPr>
            <w:tcW w:w="2891" w:type="dxa"/>
            <w:hMerge w:val="restart"/>
            <w:vAlign w:val="center"/>
          </w:tcPr>
          <w:p>
            <w:pPr>
              <w:pStyle w:val="单元格样式2"/>
            </w:pPr>
            <w:r>
              <w:t xml:space="preserve">新增推广新能源汽车数量</w:t>
            </w:r>
          </w:p>
        </w:tc>
        <w:tc>
          <w:tcPr>
            <w:tcW w:w="0" w:type="auto"/>
            <w:hMerge/>
            <w:vAlign w:val="center"/>
          </w:tcPr>
          <w:p>
            <w:pPr/>
          </w:p>
        </w:tc>
        <w:tc>
          <w:tcPr>
            <w:tcW w:w="1276" w:type="dxa"/>
            <w:vAlign w:val="center"/>
          </w:tcPr>
          <w:p>
            <w:pPr>
              <w:pStyle w:val="单元格样式2"/>
            </w:pPr>
            <w:r>
              <w:t xml:space="preserve">≥3000辆</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补贴对象政策符合度</w:t>
            </w:r>
          </w:p>
        </w:tc>
        <w:tc>
          <w:tcPr>
            <w:tcW w:w="2891" w:type="dxa"/>
            <w:hMerge w:val="restart"/>
            <w:vAlign w:val="center"/>
          </w:tcPr>
          <w:p>
            <w:pPr>
              <w:pStyle w:val="单元格样式2"/>
            </w:pPr>
            <w:r>
              <w:t xml:space="preserve">获取补助资金车辆政策符合度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补贴申报材料线上线下匹配度</w:t>
            </w:r>
          </w:p>
        </w:tc>
        <w:tc>
          <w:tcPr>
            <w:tcW w:w="2891" w:type="dxa"/>
            <w:hMerge w:val="restart"/>
            <w:vAlign w:val="center"/>
          </w:tcPr>
          <w:p>
            <w:pPr>
              <w:pStyle w:val="单元格样式2"/>
            </w:pPr>
            <w:r>
              <w:t xml:space="preserve">补贴申报材料线上线下匹配度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2016新能源汽车补贴发放及时性</w:t>
            </w:r>
          </w:p>
        </w:tc>
        <w:tc>
          <w:tcPr>
            <w:tcW w:w="2891" w:type="dxa"/>
            <w:hMerge w:val="restart"/>
            <w:vAlign w:val="center"/>
          </w:tcPr>
          <w:p>
            <w:pPr>
              <w:pStyle w:val="单元格样式2"/>
            </w:pPr>
            <w:r>
              <w:t xml:space="preserve">补贴发放及时性</w:t>
            </w:r>
          </w:p>
        </w:tc>
        <w:tc>
          <w:tcPr>
            <w:tcW w:w="0" w:type="auto"/>
            <w:hMerge/>
            <w:vAlign w:val="center"/>
          </w:tcPr>
          <w:p>
            <w:pPr/>
          </w:p>
        </w:tc>
        <w:tc>
          <w:tcPr>
            <w:tcW w:w="1276" w:type="dxa"/>
            <w:vAlign w:val="center"/>
          </w:tcPr>
          <w:p>
            <w:pPr>
              <w:pStyle w:val="单元格样式2"/>
            </w:pPr>
            <w:r>
              <w:t xml:space="preserve">≤11月份</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配套设施完善度</w:t>
            </w:r>
          </w:p>
        </w:tc>
        <w:tc>
          <w:tcPr>
            <w:tcW w:w="2891" w:type="dxa"/>
            <w:hMerge w:val="restart"/>
            <w:vAlign w:val="center"/>
          </w:tcPr>
          <w:p>
            <w:pPr>
              <w:pStyle w:val="单元格样式2"/>
            </w:pPr>
            <w:r>
              <w:t xml:space="preserve">全市新能源汽车配套设施的完善程度</w:t>
            </w:r>
          </w:p>
        </w:tc>
        <w:tc>
          <w:tcPr>
            <w:tcW w:w="0" w:type="auto"/>
            <w:hMerge/>
            <w:vAlign w:val="center"/>
          </w:tcPr>
          <w:p>
            <w:pPr/>
          </w:p>
        </w:tc>
        <w:tc>
          <w:tcPr>
            <w:tcW w:w="1276" w:type="dxa"/>
            <w:vAlign w:val="center"/>
          </w:tcPr>
          <w:p>
            <w:pPr>
              <w:pStyle w:val="单元格样式2"/>
            </w:pPr>
            <w:r>
              <w:t xml:space="preserve">≥75百分比</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年二氧化碳减排量</w:t>
            </w:r>
          </w:p>
        </w:tc>
        <w:tc>
          <w:tcPr>
            <w:tcW w:w="2891" w:type="dxa"/>
            <w:hMerge w:val="restart"/>
            <w:vAlign w:val="center"/>
          </w:tcPr>
          <w:p>
            <w:pPr>
              <w:pStyle w:val="单元格样式2"/>
            </w:pPr>
            <w:r>
              <w:t xml:space="preserve">年二氧化碳减排情况</w:t>
            </w:r>
          </w:p>
        </w:tc>
        <w:tc>
          <w:tcPr>
            <w:tcW w:w="0" w:type="auto"/>
            <w:hMerge/>
            <w:vAlign w:val="center"/>
          </w:tcPr>
          <w:p>
            <w:pPr/>
          </w:p>
        </w:tc>
        <w:tc>
          <w:tcPr>
            <w:tcW w:w="1276" w:type="dxa"/>
            <w:vAlign w:val="center"/>
          </w:tcPr>
          <w:p>
            <w:pPr>
              <w:pStyle w:val="单元格样式2"/>
            </w:pPr>
            <w:r>
              <w:t xml:space="preserve">≥5万吨</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受奖励企业满意度</w:t>
            </w:r>
          </w:p>
        </w:tc>
        <w:tc>
          <w:tcPr>
            <w:tcW w:w="2891" w:type="dxa"/>
            <w:hMerge w:val="restart"/>
            <w:vAlign w:val="center"/>
          </w:tcPr>
          <w:p>
            <w:pPr>
              <w:pStyle w:val="单元格样式2"/>
            </w:pPr>
            <w:r>
              <w:t xml:space="preserve">受奖励企业对项目实施效果的满意程度 </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受益消费者满意度</w:t>
            </w:r>
          </w:p>
        </w:tc>
        <w:tc>
          <w:tcPr>
            <w:tcW w:w="2891" w:type="dxa"/>
            <w:hMerge w:val="restart"/>
            <w:vAlign w:val="center"/>
          </w:tcPr>
          <w:p>
            <w:pPr>
              <w:pStyle w:val="单元格样式2"/>
            </w:pPr>
            <w:r>
              <w:t xml:space="preserve">考察受益消费者对项目实施效果的满意程度   </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7.2023青岛时装周会展业发展专项资金绩效目标表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502001青岛市工业和信息化局本级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37020023P12000510037N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2023青岛时装周会展业发展专项资金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32.00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32.00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青岛时装周会展业发展专项资金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32.00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6.举办品牌发布秀活动，培养设计师人才，提升时装周核心竞争力。</w:t>
            </w:r>
          </w:p>
          <w:p>
            <w:pPr>
              <w:pStyle w:val="单元格样式2"/>
            </w:pPr>
            <w:r>
              <w:t xml:space="preserve">7.举办抖音购物节等展销活动，补助企业和设计师拓展市场，获取订单</w:t>
            </w:r>
          </w:p>
          <w:p>
            <w:pPr>
              <w:pStyle w:val="单元格样式2"/>
            </w:pPr>
            <w:r>
              <w:t xml:space="preserve">8.举办行业论坛，探讨纺织服装产业转型路径。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青岛时装周筹备组织成本</w:t>
            </w:r>
          </w:p>
        </w:tc>
        <w:tc>
          <w:tcPr>
            <w:tcW w:w="2891" w:type="dxa"/>
            <w:hMerge w:val="restart"/>
            <w:vAlign w:val="center"/>
          </w:tcPr>
          <w:p>
            <w:pPr>
              <w:pStyle w:val="单元格样式2"/>
            </w:pPr>
            <w:r>
              <w:t xml:space="preserve">青岛时装周筹备组织成本</w:t>
            </w:r>
          </w:p>
        </w:tc>
        <w:tc>
          <w:tcPr>
            <w:tcW w:w="0" w:type="auto"/>
            <w:hMerge/>
            <w:vAlign w:val="center"/>
          </w:tcPr>
          <w:p>
            <w:pPr/>
          </w:p>
        </w:tc>
        <w:tc>
          <w:tcPr>
            <w:tcW w:w="1276" w:type="dxa"/>
            <w:vAlign w:val="center"/>
          </w:tcPr>
          <w:p>
            <w:pPr>
              <w:pStyle w:val="单元格样式2"/>
            </w:pPr>
            <w:r>
              <w:t xml:space="preserve">≤32万元</w:t>
            </w:r>
          </w:p>
        </w:tc>
        <w:tc>
          <w:tcPr>
            <w:tcW w:w="1843" w:type="dxa"/>
            <w:vAlign w:val="center"/>
          </w:tcPr>
          <w:p>
            <w:pPr>
              <w:pStyle w:val="单元格样式2"/>
            </w:pPr>
            <w:r>
              <w:t xml:space="preserve">计划标准（2023年财政会展资金拨付文件）</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会议参会人数</w:t>
            </w:r>
          </w:p>
        </w:tc>
        <w:tc>
          <w:tcPr>
            <w:tcW w:w="2891" w:type="dxa"/>
            <w:hMerge w:val="restart"/>
            <w:vAlign w:val="center"/>
          </w:tcPr>
          <w:p>
            <w:pPr>
              <w:pStyle w:val="单元格样式2"/>
            </w:pPr>
            <w:r>
              <w:t xml:space="preserve">根据综合线上观众浏览关注、线下观众数确定</w:t>
            </w:r>
          </w:p>
        </w:tc>
        <w:tc>
          <w:tcPr>
            <w:tcW w:w="0" w:type="auto"/>
            <w:hMerge/>
            <w:vAlign w:val="center"/>
          </w:tcPr>
          <w:p>
            <w:pPr/>
          </w:p>
        </w:tc>
        <w:tc>
          <w:tcPr>
            <w:tcW w:w="1276" w:type="dxa"/>
            <w:vAlign w:val="center"/>
          </w:tcPr>
          <w:p>
            <w:pPr>
              <w:pStyle w:val="单元格样式2"/>
            </w:pPr>
            <w:r>
              <w:t xml:space="preserve">≥10000人次</w:t>
            </w:r>
          </w:p>
        </w:tc>
        <w:tc>
          <w:tcPr>
            <w:tcW w:w="1843" w:type="dxa"/>
            <w:vAlign w:val="center"/>
          </w:tcPr>
          <w:p>
            <w:pPr>
              <w:pStyle w:val="单元格样式2"/>
            </w:pPr>
            <w:r>
              <w:t xml:space="preserve">历史标准（会场单位的实际统计数据）</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参展商</w:t>
            </w:r>
          </w:p>
        </w:tc>
        <w:tc>
          <w:tcPr>
            <w:tcW w:w="2891" w:type="dxa"/>
            <w:hMerge w:val="restart"/>
            <w:vAlign w:val="center"/>
          </w:tcPr>
          <w:p>
            <w:pPr>
              <w:pStyle w:val="单元格样式2"/>
            </w:pPr>
            <w:r>
              <w:t xml:space="preserve">由时装周各会场单位统计确定</w:t>
            </w:r>
          </w:p>
        </w:tc>
        <w:tc>
          <w:tcPr>
            <w:tcW w:w="0" w:type="auto"/>
            <w:hMerge/>
            <w:vAlign w:val="center"/>
          </w:tcPr>
          <w:p>
            <w:pPr/>
          </w:p>
        </w:tc>
        <w:tc>
          <w:tcPr>
            <w:tcW w:w="1276" w:type="dxa"/>
            <w:vAlign w:val="center"/>
          </w:tcPr>
          <w:p>
            <w:pPr>
              <w:pStyle w:val="单元格样式2"/>
            </w:pPr>
            <w:r>
              <w:t xml:space="preserve">≥100家</w:t>
            </w:r>
          </w:p>
        </w:tc>
        <w:tc>
          <w:tcPr>
            <w:tcW w:w="1843" w:type="dxa"/>
            <w:vAlign w:val="center"/>
          </w:tcPr>
          <w:p>
            <w:pPr>
              <w:pStyle w:val="单元格样式2"/>
            </w:pPr>
            <w:r>
              <w:t xml:space="preserve">历史标准（会场单位的统计数据）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资金使用合规性</w:t>
            </w:r>
          </w:p>
        </w:tc>
        <w:tc>
          <w:tcPr>
            <w:tcW w:w="2891" w:type="dxa"/>
            <w:hMerge w:val="restart"/>
            <w:vAlign w:val="center"/>
          </w:tcPr>
          <w:p>
            <w:pPr>
              <w:pStyle w:val="单元格样式2"/>
            </w:pPr>
            <w:r>
              <w:t xml:space="preserve">资金主管部门在资金使用过程中合法合规性</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计划标准（青厅字〔2019〕71号）、（鲁工信轻纺〔2021〕178号）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参加发布的本土设计师数和参加市场合作的企业数增长率</w:t>
            </w:r>
          </w:p>
        </w:tc>
        <w:tc>
          <w:tcPr>
            <w:tcW w:w="2891" w:type="dxa"/>
            <w:hMerge w:val="restart"/>
            <w:vAlign w:val="center"/>
          </w:tcPr>
          <w:p>
            <w:pPr>
              <w:pStyle w:val="单元格样式2"/>
            </w:pPr>
            <w:r>
              <w:t xml:space="preserve">参加发布的本土设计师数和参加市场合作的企业数增长情况</w:t>
            </w:r>
          </w:p>
        </w:tc>
        <w:tc>
          <w:tcPr>
            <w:tcW w:w="0" w:type="auto"/>
            <w:hMerge/>
            <w:vAlign w:val="center"/>
          </w:tcPr>
          <w:p>
            <w:pPr/>
          </w:p>
        </w:tc>
        <w:tc>
          <w:tcPr>
            <w:tcW w:w="1276" w:type="dxa"/>
            <w:vAlign w:val="center"/>
          </w:tcPr>
          <w:p>
            <w:pPr>
              <w:pStyle w:val="单元格样式2"/>
            </w:pPr>
            <w:r>
              <w:t xml:space="preserve">≥10%</w:t>
            </w:r>
          </w:p>
        </w:tc>
        <w:tc>
          <w:tcPr>
            <w:tcW w:w="1843" w:type="dxa"/>
            <w:vAlign w:val="center"/>
          </w:tcPr>
          <w:p>
            <w:pPr>
              <w:pStyle w:val="单元格样式2"/>
            </w:pPr>
            <w:r>
              <w:t xml:space="preserve">历史标准（会场单位的统计数据）</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展会举办时间</w:t>
            </w:r>
          </w:p>
        </w:tc>
        <w:tc>
          <w:tcPr>
            <w:tcW w:w="2891" w:type="dxa"/>
            <w:hMerge w:val="restart"/>
            <w:vAlign w:val="center"/>
          </w:tcPr>
          <w:p>
            <w:pPr>
              <w:pStyle w:val="单元格样式2"/>
            </w:pPr>
            <w:r>
              <w:t xml:space="preserve">根据各会场单位的筹备情况确定</w:t>
            </w:r>
          </w:p>
        </w:tc>
        <w:tc>
          <w:tcPr>
            <w:tcW w:w="0" w:type="auto"/>
            <w:hMerge/>
            <w:vAlign w:val="center"/>
          </w:tcPr>
          <w:p>
            <w:pPr/>
          </w:p>
        </w:tc>
        <w:tc>
          <w:tcPr>
            <w:tcW w:w="1276" w:type="dxa"/>
            <w:vAlign w:val="center"/>
          </w:tcPr>
          <w:p>
            <w:pPr>
              <w:pStyle w:val="单元格样式2"/>
            </w:pPr>
            <w:r>
              <w:t xml:space="preserve">≤11月份</w:t>
            </w:r>
          </w:p>
        </w:tc>
        <w:tc>
          <w:tcPr>
            <w:tcW w:w="1843" w:type="dxa"/>
            <w:vAlign w:val="center"/>
          </w:tcPr>
          <w:p>
            <w:pPr>
              <w:pStyle w:val="单元格样式2"/>
            </w:pPr>
            <w:r>
              <w:t xml:space="preserve">历史标准（时装周组委会与各会场单位协商确定）</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市场成交额</w:t>
            </w:r>
          </w:p>
        </w:tc>
        <w:tc>
          <w:tcPr>
            <w:tcW w:w="2891" w:type="dxa"/>
            <w:hMerge w:val="restart"/>
            <w:vAlign w:val="center"/>
          </w:tcPr>
          <w:p>
            <w:pPr>
              <w:pStyle w:val="单元格样式2"/>
            </w:pPr>
            <w:r>
              <w:t xml:space="preserve">根据各会场单位达成的销售额、市场订单和意向额确定</w:t>
            </w:r>
          </w:p>
        </w:tc>
        <w:tc>
          <w:tcPr>
            <w:tcW w:w="0" w:type="auto"/>
            <w:hMerge/>
            <w:vAlign w:val="center"/>
          </w:tcPr>
          <w:p>
            <w:pPr/>
          </w:p>
        </w:tc>
        <w:tc>
          <w:tcPr>
            <w:tcW w:w="1276" w:type="dxa"/>
            <w:vAlign w:val="center"/>
          </w:tcPr>
          <w:p>
            <w:pPr>
              <w:pStyle w:val="单元格样式2"/>
            </w:pPr>
            <w:r>
              <w:t xml:space="preserve">≥5000万元</w:t>
            </w:r>
          </w:p>
        </w:tc>
        <w:tc>
          <w:tcPr>
            <w:tcW w:w="1843" w:type="dxa"/>
            <w:vAlign w:val="center"/>
          </w:tcPr>
          <w:p>
            <w:pPr>
              <w:pStyle w:val="单元格样式2"/>
            </w:pPr>
            <w:r>
              <w:t xml:space="preserve">其他标准（会场单位实际统计数据）</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媒体报道次数</w:t>
            </w:r>
          </w:p>
        </w:tc>
        <w:tc>
          <w:tcPr>
            <w:tcW w:w="2891" w:type="dxa"/>
            <w:hMerge w:val="restart"/>
            <w:vAlign w:val="center"/>
          </w:tcPr>
          <w:p>
            <w:pPr>
              <w:pStyle w:val="单元格样式2"/>
            </w:pPr>
            <w:r>
              <w:t xml:space="preserve">组织国家、省市多级媒体进行宣传报道次数</w:t>
            </w:r>
          </w:p>
        </w:tc>
        <w:tc>
          <w:tcPr>
            <w:tcW w:w="0" w:type="auto"/>
            <w:hMerge/>
            <w:vAlign w:val="center"/>
          </w:tcPr>
          <w:p>
            <w:pPr/>
          </w:p>
        </w:tc>
        <w:tc>
          <w:tcPr>
            <w:tcW w:w="1276" w:type="dxa"/>
            <w:vAlign w:val="center"/>
          </w:tcPr>
          <w:p>
            <w:pPr>
              <w:pStyle w:val="单元格样式2"/>
            </w:pPr>
            <w:r>
              <w:t xml:space="preserve">≥10次</w:t>
            </w:r>
          </w:p>
        </w:tc>
        <w:tc>
          <w:tcPr>
            <w:tcW w:w="1843" w:type="dxa"/>
            <w:vAlign w:val="center"/>
          </w:tcPr>
          <w:p>
            <w:pPr>
              <w:pStyle w:val="单元格样式2"/>
            </w:pPr>
            <w:r>
              <w:t xml:space="preserve">其他标准（时装周结束后的宣传报道统计数据）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参展企业满意度</w:t>
            </w:r>
          </w:p>
        </w:tc>
        <w:tc>
          <w:tcPr>
            <w:tcW w:w="2891" w:type="dxa"/>
            <w:hMerge w:val="restart"/>
            <w:vAlign w:val="center"/>
          </w:tcPr>
          <w:p>
            <w:pPr>
              <w:pStyle w:val="单元格样式2"/>
            </w:pPr>
            <w:r>
              <w:t xml:space="preserve">调查参加时装周的设计师、企业的服务满意情况</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其他标准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8.2023世界工业互联网产业大会专项资金绩效目标表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502001青岛市工业和信息化局本级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37020023P120005100363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2023世界工业互联网产业大会专项资金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218.00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218.00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用于互联网大会筹备资金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218.00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6.为进一步深化合作、共享机遇、推动全球工业互联网各领域协同创新、融合发展，举办2023世界工业互联网产业大会</w:t>
            </w:r>
            <w:r>
              <w:tab/>
            </w:r>
            <w:r>
              <w:tab/>
            </w:r>
            <w:r>
              <w:tab/>
            </w:r>
            <w:r>
              <w:tab/>
            </w:r>
            <w:r>
              <w:tab/>
            </w:r>
            <w:r>
              <w:tab/>
            </w:r>
          </w:p>
          <w:p>
            <w:pPr>
              <w:pStyle w:val="单元格样式2"/>
            </w:pPr>
          </w:p>
          <w:p>
            <w:pPr>
              <w:pStyle w:val="单元格样式2"/>
            </w:pPr>
            <w:r>
              <w:t xml:space="preserve">7.邀请国内外知名专家和企业的参会代表不少于600人线上、线下参会</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2023世界工业互联网产业大会筹办费用</w:t>
            </w:r>
          </w:p>
        </w:tc>
        <w:tc>
          <w:tcPr>
            <w:tcW w:w="2891" w:type="dxa"/>
            <w:hMerge w:val="restart"/>
            <w:vAlign w:val="center"/>
          </w:tcPr>
          <w:p>
            <w:pPr>
              <w:pStyle w:val="单元格样式2"/>
            </w:pPr>
            <w:r>
              <w:t xml:space="preserve">2023世界工业互联网产业大会筹办费用</w:t>
            </w:r>
          </w:p>
        </w:tc>
        <w:tc>
          <w:tcPr>
            <w:tcW w:w="0" w:type="auto"/>
            <w:hMerge/>
            <w:vAlign w:val="center"/>
          </w:tcPr>
          <w:p>
            <w:pPr/>
          </w:p>
        </w:tc>
        <w:tc>
          <w:tcPr>
            <w:tcW w:w="1276" w:type="dxa"/>
            <w:vAlign w:val="center"/>
          </w:tcPr>
          <w:p>
            <w:pPr>
              <w:pStyle w:val="单元格样式2"/>
            </w:pPr>
            <w:r>
              <w:t xml:space="preserve">≤218万元</w:t>
            </w:r>
          </w:p>
        </w:tc>
        <w:tc>
          <w:tcPr>
            <w:tcW w:w="1843" w:type="dxa"/>
            <w:vAlign w:val="center"/>
          </w:tcPr>
          <w:p>
            <w:pPr>
              <w:pStyle w:val="单元格样式2"/>
            </w:pPr>
            <w:r>
              <w:t xml:space="preserve">计划标准（2023年财政会展资金拨付文件）</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邀请参会人数</w:t>
            </w:r>
          </w:p>
        </w:tc>
        <w:tc>
          <w:tcPr>
            <w:tcW w:w="2891" w:type="dxa"/>
            <w:hMerge w:val="restart"/>
            <w:vAlign w:val="center"/>
          </w:tcPr>
          <w:p>
            <w:pPr>
              <w:pStyle w:val="单元格样式2"/>
            </w:pPr>
            <w:r>
              <w:t xml:space="preserve">会议期间，邀请参会人数</w:t>
            </w:r>
          </w:p>
        </w:tc>
        <w:tc>
          <w:tcPr>
            <w:tcW w:w="0" w:type="auto"/>
            <w:hMerge/>
            <w:vAlign w:val="center"/>
          </w:tcPr>
          <w:p>
            <w:pPr/>
          </w:p>
        </w:tc>
        <w:tc>
          <w:tcPr>
            <w:tcW w:w="1276" w:type="dxa"/>
            <w:vAlign w:val="center"/>
          </w:tcPr>
          <w:p>
            <w:pPr>
              <w:pStyle w:val="单元格样式2"/>
            </w:pPr>
            <w:r>
              <w:t xml:space="preserve">≥600人 </w:t>
            </w:r>
          </w:p>
        </w:tc>
        <w:tc>
          <w:tcPr>
            <w:tcW w:w="1843" w:type="dxa"/>
            <w:vAlign w:val="center"/>
          </w:tcPr>
          <w:p>
            <w:pPr>
              <w:pStyle w:val="单元格样式2"/>
            </w:pPr>
            <w:r>
              <w:t xml:space="preserve">历史标准（会场单位的统计数据）</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参加国内外院士人数</w:t>
            </w:r>
          </w:p>
        </w:tc>
        <w:tc>
          <w:tcPr>
            <w:tcW w:w="2891" w:type="dxa"/>
            <w:hMerge w:val="restart"/>
            <w:vAlign w:val="center"/>
          </w:tcPr>
          <w:p>
            <w:pPr>
              <w:pStyle w:val="单元格样式2"/>
            </w:pPr>
            <w:r>
              <w:t xml:space="preserve">会议期间，邀请参会并进行主旨演讲的国内外院士人数</w:t>
            </w:r>
          </w:p>
        </w:tc>
        <w:tc>
          <w:tcPr>
            <w:tcW w:w="0" w:type="auto"/>
            <w:hMerge/>
            <w:vAlign w:val="center"/>
          </w:tcPr>
          <w:p>
            <w:pPr/>
          </w:p>
        </w:tc>
        <w:tc>
          <w:tcPr>
            <w:tcW w:w="1276" w:type="dxa"/>
            <w:vAlign w:val="center"/>
          </w:tcPr>
          <w:p>
            <w:pPr>
              <w:pStyle w:val="单元格样式2"/>
            </w:pPr>
            <w:r>
              <w:t xml:space="preserve">≥3人 </w:t>
            </w:r>
          </w:p>
        </w:tc>
        <w:tc>
          <w:tcPr>
            <w:tcW w:w="1843" w:type="dxa"/>
            <w:vAlign w:val="center"/>
          </w:tcPr>
          <w:p>
            <w:pPr>
              <w:pStyle w:val="单元格样式2"/>
            </w:pPr>
            <w:r>
              <w:t xml:space="preserve">历史标准（会场单位的实际统计数据）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达成合作意向率</w:t>
            </w:r>
          </w:p>
        </w:tc>
        <w:tc>
          <w:tcPr>
            <w:tcW w:w="2891" w:type="dxa"/>
            <w:hMerge w:val="restart"/>
            <w:vAlign w:val="center"/>
          </w:tcPr>
          <w:p>
            <w:pPr>
              <w:pStyle w:val="单元格样式2"/>
            </w:pPr>
            <w:r>
              <w:t xml:space="preserve">会议期间，与青岛市或者相关区市达成的合作意向情况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依据2022年情况测算</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大会各平行论坛成功举办率</w:t>
            </w:r>
          </w:p>
        </w:tc>
        <w:tc>
          <w:tcPr>
            <w:tcW w:w="2891" w:type="dxa"/>
            <w:hMerge w:val="restart"/>
            <w:vAlign w:val="center"/>
          </w:tcPr>
          <w:p>
            <w:pPr>
              <w:pStyle w:val="单元格样式2"/>
            </w:pPr>
            <w:r>
              <w:t xml:space="preserve">大会组织的平行论坛成功举办率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历史标准（组委会与平行论坛承办单位协商确定）</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举办时间</w:t>
            </w:r>
          </w:p>
        </w:tc>
        <w:tc>
          <w:tcPr>
            <w:tcW w:w="2891" w:type="dxa"/>
            <w:hMerge w:val="restart"/>
            <w:vAlign w:val="center"/>
          </w:tcPr>
          <w:p>
            <w:pPr>
              <w:pStyle w:val="单元格样式2"/>
            </w:pPr>
            <w:r>
              <w:t xml:space="preserve">会议于2023年12月底前举办完成</w:t>
            </w:r>
          </w:p>
        </w:tc>
        <w:tc>
          <w:tcPr>
            <w:tcW w:w="0" w:type="auto"/>
            <w:hMerge/>
            <w:vAlign w:val="center"/>
          </w:tcPr>
          <w:p>
            <w:pPr/>
          </w:p>
        </w:tc>
        <w:tc>
          <w:tcPr>
            <w:tcW w:w="1276" w:type="dxa"/>
            <w:vAlign w:val="center"/>
          </w:tcPr>
          <w:p>
            <w:pPr>
              <w:pStyle w:val="单元格样式2"/>
            </w:pPr>
            <w:r>
              <w:t xml:space="preserve">≤12月份</w:t>
            </w:r>
          </w:p>
        </w:tc>
        <w:tc>
          <w:tcPr>
            <w:tcW w:w="1843" w:type="dxa"/>
            <w:vAlign w:val="center"/>
          </w:tcPr>
          <w:p>
            <w:pPr>
              <w:pStyle w:val="单元格样式2"/>
            </w:pPr>
            <w:r>
              <w:t xml:space="preserve">历史标准（组委会与平行论坛承办单位协商确定）</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现场达成合作、签约金额</w:t>
            </w:r>
          </w:p>
        </w:tc>
        <w:tc>
          <w:tcPr>
            <w:tcW w:w="2891" w:type="dxa"/>
            <w:hMerge w:val="restart"/>
            <w:vAlign w:val="center"/>
          </w:tcPr>
          <w:p>
            <w:pPr>
              <w:pStyle w:val="单元格样式2"/>
            </w:pPr>
            <w:r>
              <w:t xml:space="preserve">会议现场达成合作金额</w:t>
            </w:r>
          </w:p>
        </w:tc>
        <w:tc>
          <w:tcPr>
            <w:tcW w:w="0" w:type="auto"/>
            <w:hMerge/>
            <w:vAlign w:val="center"/>
          </w:tcPr>
          <w:p>
            <w:pPr/>
          </w:p>
        </w:tc>
        <w:tc>
          <w:tcPr>
            <w:tcW w:w="1276" w:type="dxa"/>
            <w:vAlign w:val="center"/>
          </w:tcPr>
          <w:p>
            <w:pPr>
              <w:pStyle w:val="单元格样式2"/>
            </w:pPr>
            <w:r>
              <w:t xml:space="preserve">≥1000万元</w:t>
            </w:r>
          </w:p>
        </w:tc>
        <w:tc>
          <w:tcPr>
            <w:tcW w:w="1843" w:type="dxa"/>
            <w:vAlign w:val="center"/>
          </w:tcPr>
          <w:p>
            <w:pPr>
              <w:pStyle w:val="单元格样式2"/>
            </w:pPr>
            <w:r>
              <w:t xml:space="preserve">依据2022年情况测算</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媒体报道文章</w:t>
            </w:r>
          </w:p>
        </w:tc>
        <w:tc>
          <w:tcPr>
            <w:tcW w:w="2891" w:type="dxa"/>
            <w:hMerge w:val="restart"/>
            <w:vAlign w:val="center"/>
          </w:tcPr>
          <w:p>
            <w:pPr>
              <w:pStyle w:val="单元格样式2"/>
            </w:pPr>
            <w:r>
              <w:t xml:space="preserve">会议期间媒体报道总次数</w:t>
            </w:r>
          </w:p>
        </w:tc>
        <w:tc>
          <w:tcPr>
            <w:tcW w:w="0" w:type="auto"/>
            <w:hMerge/>
            <w:vAlign w:val="center"/>
          </w:tcPr>
          <w:p>
            <w:pPr/>
          </w:p>
        </w:tc>
        <w:tc>
          <w:tcPr>
            <w:tcW w:w="1276" w:type="dxa"/>
            <w:vAlign w:val="center"/>
          </w:tcPr>
          <w:p>
            <w:pPr>
              <w:pStyle w:val="单元格样式2"/>
            </w:pPr>
            <w:r>
              <w:t xml:space="preserve">≥100次</w:t>
            </w:r>
          </w:p>
        </w:tc>
        <w:tc>
          <w:tcPr>
            <w:tcW w:w="1843" w:type="dxa"/>
            <w:vAlign w:val="center"/>
          </w:tcPr>
          <w:p>
            <w:pPr>
              <w:pStyle w:val="单元格样式2"/>
            </w:pPr>
            <w:r>
              <w:t xml:space="preserve">依据2022年情况测算</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企业重大违法及信用黑名单事件发生数量</w:t>
            </w:r>
          </w:p>
        </w:tc>
        <w:tc>
          <w:tcPr>
            <w:tcW w:w="2891" w:type="dxa"/>
            <w:hMerge w:val="restart"/>
            <w:vAlign w:val="center"/>
          </w:tcPr>
          <w:p>
            <w:pPr>
              <w:pStyle w:val="单元格样式2"/>
            </w:pPr>
            <w:r>
              <w:t xml:space="preserve">会议期间的，企业重大违法及信用黑名单事件发生数量</w:t>
            </w:r>
          </w:p>
        </w:tc>
        <w:tc>
          <w:tcPr>
            <w:tcW w:w="0" w:type="auto"/>
            <w:hMerge/>
            <w:vAlign w:val="center"/>
          </w:tcPr>
          <w:p>
            <w:pPr/>
          </w:p>
        </w:tc>
        <w:tc>
          <w:tcPr>
            <w:tcW w:w="1276" w:type="dxa"/>
            <w:vAlign w:val="center"/>
          </w:tcPr>
          <w:p>
            <w:pPr>
              <w:pStyle w:val="单元格样式2"/>
            </w:pPr>
            <w:r>
              <w:t xml:space="preserve">0件</w:t>
            </w:r>
          </w:p>
        </w:tc>
        <w:tc>
          <w:tcPr>
            <w:tcW w:w="1843" w:type="dxa"/>
            <w:vAlign w:val="center"/>
          </w:tcPr>
          <w:p>
            <w:pPr>
              <w:pStyle w:val="单元格样式2"/>
            </w:pPr>
            <w:r>
              <w:t xml:space="preserve">依据2022年情况测算</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企业满意度</w:t>
            </w:r>
          </w:p>
        </w:tc>
        <w:tc>
          <w:tcPr>
            <w:tcW w:w="2891" w:type="dxa"/>
            <w:hMerge w:val="restart"/>
            <w:vAlign w:val="center"/>
          </w:tcPr>
          <w:p>
            <w:pPr>
              <w:pStyle w:val="单元格样式2"/>
            </w:pPr>
            <w:r>
              <w:t xml:space="preserve">会后，对参会企业采取问卷的方式，调研大会举办成效及企业满意度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依据2022年情况测算</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9.2023中国（青岛）RCEP国际食品饮料数字博览会专项资金绩效目标表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502001青岛市工业和信息化局本级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37020023P12000510038A</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2023中国（青岛）RCEP国际食品饮料数字博览会专项资金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92.00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92.00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2023中国（青岛）RCEP国际食品饮料数字博览会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92.00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6.持续深耕食品饮料产业，助力青岛广大食品饮料企业“走出去”，推动海外食品饮料品牌“走进来”，持续为传统实体经济赋能。</w:t>
            </w:r>
          </w:p>
          <w:p>
            <w:pPr>
              <w:pStyle w:val="单元格样式2"/>
            </w:pPr>
            <w:r>
              <w:t xml:space="preserve">7.在数字会展方面，将持续深研，运用大数据云计算技术赋能中小企业发展，打造专业化的数字展会平台。</w:t>
            </w:r>
          </w:p>
          <w:p>
            <w:pPr>
              <w:pStyle w:val="单元格样式2"/>
            </w:pPr>
          </w:p>
          <w:p>
            <w:pPr>
              <w:pStyle w:val="单元格样式2"/>
            </w:pPr>
            <w:r>
              <w:t xml:space="preserve">8.打通国内国际两个市场，将从产品创新、品牌交流、全球产业生态链建设等方面为全球企业创造越来越多的条件，拉动青岛贸易进出口额。</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 技术和运维成本</w:t>
            </w:r>
          </w:p>
        </w:tc>
        <w:tc>
          <w:tcPr>
            <w:tcW w:w="2891" w:type="dxa"/>
            <w:hMerge w:val="restart"/>
            <w:vAlign w:val="center"/>
          </w:tcPr>
          <w:p>
            <w:pPr>
              <w:pStyle w:val="单元格样式2"/>
            </w:pPr>
            <w:r>
              <w:t xml:space="preserve"> 技术和运维成本</w:t>
            </w:r>
          </w:p>
        </w:tc>
        <w:tc>
          <w:tcPr>
            <w:tcW w:w="0" w:type="auto"/>
            <w:hMerge/>
            <w:vAlign w:val="center"/>
          </w:tcPr>
          <w:p>
            <w:pPr/>
          </w:p>
        </w:tc>
        <w:tc>
          <w:tcPr>
            <w:tcW w:w="1276" w:type="dxa"/>
            <w:vAlign w:val="center"/>
          </w:tcPr>
          <w:p>
            <w:pPr>
              <w:pStyle w:val="单元格样式2"/>
            </w:pPr>
            <w:r>
              <w:t xml:space="preserve">≤36万元</w:t>
            </w:r>
          </w:p>
        </w:tc>
        <w:tc>
          <w:tcPr>
            <w:tcW w:w="1843" w:type="dxa"/>
            <w:vAlign w:val="center"/>
          </w:tcPr>
          <w:p>
            <w:pPr>
              <w:pStyle w:val="单元格样式2"/>
            </w:pPr>
            <w:r>
              <w:t xml:space="preserve">计划标准（2023年财政会展资金拨付文件）</w:t>
            </w:r>
          </w:p>
        </w:tc>
      </w:tr>
      <w:tr>
        <w:trPr>
          <w:trHeight w:val="369"/>
          <w:jc w:val="center"/>
        </w:trPr>
        <w:tc>
          <w:tcPr>
            <w:tcW w:w="1276" w:type="dxa"/>
            <w:vMerge/>
            <w:vAlign w:val="center"/>
          </w:tcPr>
          <w:p>
            <w:pP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招商推广成本</w:t>
            </w:r>
          </w:p>
        </w:tc>
        <w:tc>
          <w:tcPr>
            <w:tcW w:w="2891" w:type="dxa"/>
            <w:hMerge w:val="restart"/>
            <w:vAlign w:val="center"/>
          </w:tcPr>
          <w:p>
            <w:pPr>
              <w:pStyle w:val="单元格样式2"/>
            </w:pPr>
            <w:r>
              <w:t xml:space="preserve">招商推广成本</w:t>
            </w:r>
          </w:p>
        </w:tc>
        <w:tc>
          <w:tcPr>
            <w:tcW w:w="0" w:type="auto"/>
            <w:hMerge/>
            <w:vAlign w:val="center"/>
          </w:tcPr>
          <w:p>
            <w:pPr/>
          </w:p>
        </w:tc>
        <w:tc>
          <w:tcPr>
            <w:tcW w:w="1276" w:type="dxa"/>
            <w:vAlign w:val="center"/>
          </w:tcPr>
          <w:p>
            <w:pPr>
              <w:pStyle w:val="单元格样式2"/>
            </w:pPr>
            <w:r>
              <w:t xml:space="preserve">≤56万元</w:t>
            </w:r>
          </w:p>
        </w:tc>
        <w:tc>
          <w:tcPr>
            <w:tcW w:w="1843" w:type="dxa"/>
            <w:vAlign w:val="center"/>
          </w:tcPr>
          <w:p>
            <w:pPr>
              <w:pStyle w:val="单元格样式2"/>
            </w:pPr>
            <w:r>
              <w:t xml:space="preserve">计划标准（2023年财政会展资金拨付文件）</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线上观众浏览数</w:t>
            </w:r>
          </w:p>
        </w:tc>
        <w:tc>
          <w:tcPr>
            <w:tcW w:w="2891" w:type="dxa"/>
            <w:hMerge w:val="restart"/>
            <w:vAlign w:val="center"/>
          </w:tcPr>
          <w:p>
            <w:pPr>
              <w:pStyle w:val="单元格样式2"/>
            </w:pPr>
            <w:r>
              <w:t xml:space="preserve">根据综合线上观众浏览关注、线上观众数确定</w:t>
            </w:r>
          </w:p>
        </w:tc>
        <w:tc>
          <w:tcPr>
            <w:tcW w:w="0" w:type="auto"/>
            <w:hMerge/>
            <w:vAlign w:val="center"/>
          </w:tcPr>
          <w:p>
            <w:pPr/>
          </w:p>
        </w:tc>
        <w:tc>
          <w:tcPr>
            <w:tcW w:w="1276" w:type="dxa"/>
            <w:vAlign w:val="center"/>
          </w:tcPr>
          <w:p>
            <w:pPr>
              <w:pStyle w:val="单元格样式2"/>
            </w:pPr>
            <w:r>
              <w:t xml:space="preserve">≥80万</w:t>
            </w:r>
          </w:p>
        </w:tc>
        <w:tc>
          <w:tcPr>
            <w:tcW w:w="1843" w:type="dxa"/>
            <w:vAlign w:val="center"/>
          </w:tcPr>
          <w:p>
            <w:pPr>
              <w:pStyle w:val="单元格样式2"/>
            </w:pPr>
            <w:r>
              <w:t xml:space="preserve">历史标准（线上会展实际统计数据）</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线上参展商</w:t>
            </w:r>
          </w:p>
        </w:tc>
        <w:tc>
          <w:tcPr>
            <w:tcW w:w="2891" w:type="dxa"/>
            <w:hMerge w:val="restart"/>
            <w:vAlign w:val="center"/>
          </w:tcPr>
          <w:p>
            <w:pPr>
              <w:pStyle w:val="单元格样式2"/>
            </w:pPr>
            <w:r>
              <w:t xml:space="preserve">由线上系统统计确定</w:t>
            </w:r>
          </w:p>
        </w:tc>
        <w:tc>
          <w:tcPr>
            <w:tcW w:w="0" w:type="auto"/>
            <w:hMerge/>
            <w:vAlign w:val="center"/>
          </w:tcPr>
          <w:p>
            <w:pPr/>
          </w:p>
        </w:tc>
        <w:tc>
          <w:tcPr>
            <w:tcW w:w="1276" w:type="dxa"/>
            <w:vAlign w:val="center"/>
          </w:tcPr>
          <w:p>
            <w:pPr>
              <w:pStyle w:val="单元格样式2"/>
            </w:pPr>
            <w:r>
              <w:t xml:space="preserve">≥800家</w:t>
            </w:r>
          </w:p>
        </w:tc>
        <w:tc>
          <w:tcPr>
            <w:tcW w:w="1843" w:type="dxa"/>
            <w:vAlign w:val="center"/>
          </w:tcPr>
          <w:p>
            <w:pPr>
              <w:pStyle w:val="单元格样式2"/>
            </w:pPr>
            <w:r>
              <w:t xml:space="preserve">历史标准（线上会展实际统计数据）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资金使用合规性</w:t>
            </w:r>
          </w:p>
        </w:tc>
        <w:tc>
          <w:tcPr>
            <w:tcW w:w="2891" w:type="dxa"/>
            <w:hMerge w:val="restart"/>
            <w:vAlign w:val="center"/>
          </w:tcPr>
          <w:p>
            <w:pPr>
              <w:pStyle w:val="单元格样式2"/>
            </w:pPr>
            <w:r>
              <w:t xml:space="preserve">资金主管部门在资金使用过程中合法合规性</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计划标准（2023年财政会展资金拨付文件）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达成合作意向率</w:t>
            </w:r>
          </w:p>
        </w:tc>
        <w:tc>
          <w:tcPr>
            <w:tcW w:w="2891" w:type="dxa"/>
            <w:hMerge w:val="restart"/>
            <w:vAlign w:val="center"/>
          </w:tcPr>
          <w:p>
            <w:pPr>
              <w:pStyle w:val="单元格样式2"/>
            </w:pPr>
            <w:r>
              <w:t xml:space="preserve">达成合作意向情况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展会举办时间</w:t>
            </w:r>
          </w:p>
        </w:tc>
        <w:tc>
          <w:tcPr>
            <w:tcW w:w="2891" w:type="dxa"/>
            <w:hMerge w:val="restart"/>
            <w:vAlign w:val="center"/>
          </w:tcPr>
          <w:p>
            <w:pPr>
              <w:pStyle w:val="单元格样式2"/>
            </w:pPr>
            <w:r>
              <w:t xml:space="preserve">根据筹备情况确定</w:t>
            </w:r>
          </w:p>
        </w:tc>
        <w:tc>
          <w:tcPr>
            <w:tcW w:w="0" w:type="auto"/>
            <w:hMerge/>
            <w:vAlign w:val="center"/>
          </w:tcPr>
          <w:p>
            <w:pPr/>
          </w:p>
        </w:tc>
        <w:tc>
          <w:tcPr>
            <w:tcW w:w="1276" w:type="dxa"/>
            <w:vAlign w:val="center"/>
          </w:tcPr>
          <w:p>
            <w:pPr>
              <w:pStyle w:val="单元格样式2"/>
            </w:pPr>
            <w:r>
              <w:t xml:space="preserve">≤11月份</w:t>
            </w:r>
          </w:p>
        </w:tc>
        <w:tc>
          <w:tcPr>
            <w:tcW w:w="1843" w:type="dxa"/>
            <w:vAlign w:val="center"/>
          </w:tcPr>
          <w:p>
            <w:pPr>
              <w:pStyle w:val="单元格样式2"/>
            </w:pPr>
            <w:r>
              <w:t xml:space="preserve">历史标准（承办和协办单位共同协商）</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市场成交额</w:t>
            </w:r>
          </w:p>
        </w:tc>
        <w:tc>
          <w:tcPr>
            <w:tcW w:w="2891" w:type="dxa"/>
            <w:hMerge w:val="restart"/>
            <w:vAlign w:val="center"/>
          </w:tcPr>
          <w:p>
            <w:pPr>
              <w:pStyle w:val="单元格样式2"/>
            </w:pPr>
            <w:r>
              <w:t xml:space="preserve">根据市场订单和意向额以及达成交易额确定</w:t>
            </w:r>
          </w:p>
        </w:tc>
        <w:tc>
          <w:tcPr>
            <w:tcW w:w="0" w:type="auto"/>
            <w:hMerge/>
            <w:vAlign w:val="center"/>
          </w:tcPr>
          <w:p>
            <w:pPr/>
          </w:p>
        </w:tc>
        <w:tc>
          <w:tcPr>
            <w:tcW w:w="1276" w:type="dxa"/>
            <w:vAlign w:val="center"/>
          </w:tcPr>
          <w:p>
            <w:pPr>
              <w:pStyle w:val="单元格样式2"/>
            </w:pPr>
            <w:r>
              <w:t xml:space="preserve">≥10亿元</w:t>
            </w:r>
          </w:p>
        </w:tc>
        <w:tc>
          <w:tcPr>
            <w:tcW w:w="1843" w:type="dxa"/>
            <w:vAlign w:val="center"/>
          </w:tcPr>
          <w:p>
            <w:pPr>
              <w:pStyle w:val="单元格样式2"/>
            </w:pPr>
            <w:r>
              <w:t xml:space="preserve">其他标准（线上及线下统计数据）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参展企业满意度</w:t>
            </w:r>
          </w:p>
        </w:tc>
        <w:tc>
          <w:tcPr>
            <w:tcW w:w="2891" w:type="dxa"/>
            <w:hMerge w:val="restart"/>
            <w:vAlign w:val="center"/>
          </w:tcPr>
          <w:p>
            <w:pPr>
              <w:pStyle w:val="单元格样式2"/>
            </w:pPr>
            <w:r>
              <w:t xml:space="preserve">调查企业的服务满意情况</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其他标准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10.工赋青岛示范支持资金绩效目标表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502001青岛市工业和信息化局本级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37020023P13000210023H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工赋青岛示范支持资金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1420.00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1420.00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工赋青岛示范支持资金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1420.00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6.举办717青岛品牌日，开展“增品种、提品质、创品牌”专项行动，提高青岛制造国内外影响力。</w:t>
            </w:r>
          </w:p>
          <w:p>
            <w:pPr>
              <w:pStyle w:val="单元格样式2"/>
            </w:pPr>
            <w:r>
              <w:t xml:space="preserve">7.搭建“工赋青岛”融媒体交流展示平台，对企业家、行业代表和专家进行深度访谈报道，推动产业链协同创新。</w:t>
            </w:r>
          </w:p>
          <w:p>
            <w:pPr>
              <w:pStyle w:val="单元格样式2"/>
            </w:pPr>
            <w:r>
              <w:t xml:space="preserve">8.举办“工赋青岛”示范推广系列活动，围绕重点发展产业和前沿方向，促进各类要素资源向先进制造业集聚。</w:t>
            </w:r>
          </w:p>
          <w:p>
            <w:pPr>
              <w:pStyle w:val="单元格样式2"/>
            </w:pPr>
            <w:r>
              <w:t xml:space="preserve">9.加强“工赋青岛”推介，以“工赋青岛 智造强市”为统领，在中央、省、市各类媒介推介青岛优势产业和企业，为制造业高质量发展营造良好环境。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工赋青岛示范支持资金</w:t>
            </w:r>
          </w:p>
        </w:tc>
        <w:tc>
          <w:tcPr>
            <w:tcW w:w="2891" w:type="dxa"/>
            <w:hMerge w:val="restart"/>
            <w:vAlign w:val="center"/>
          </w:tcPr>
          <w:p>
            <w:pPr>
              <w:pStyle w:val="单元格样式2"/>
            </w:pPr>
            <w:r>
              <w:t xml:space="preserve">支持项目实施单位，通过举办717青岛品牌日、搭建工赋青岛融媒体交流展示平台。</w:t>
            </w:r>
          </w:p>
        </w:tc>
        <w:tc>
          <w:tcPr>
            <w:tcW w:w="0" w:type="auto"/>
            <w:hMerge/>
            <w:vAlign w:val="center"/>
          </w:tcPr>
          <w:p>
            <w:pPr/>
          </w:p>
        </w:tc>
        <w:tc>
          <w:tcPr>
            <w:tcW w:w="1276" w:type="dxa"/>
            <w:vAlign w:val="center"/>
          </w:tcPr>
          <w:p>
            <w:pPr>
              <w:pStyle w:val="单元格样式2"/>
            </w:pPr>
            <w:r>
              <w:t xml:space="preserve">≤1420万元</w:t>
            </w:r>
          </w:p>
        </w:tc>
        <w:tc>
          <w:tcPr>
            <w:tcW w:w="1843" w:type="dxa"/>
            <w:vAlign w:val="center"/>
          </w:tcPr>
          <w:p>
            <w:pPr>
              <w:pStyle w:val="单元格样式2"/>
            </w:pPr>
            <w:r>
              <w:t xml:space="preserve">根据2021年2022年项目公开招标结果</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制作“工赋青岛”融媒体及短视频节目数量</w:t>
            </w:r>
          </w:p>
        </w:tc>
        <w:tc>
          <w:tcPr>
            <w:tcW w:w="2891" w:type="dxa"/>
            <w:hMerge w:val="restart"/>
            <w:vAlign w:val="center"/>
          </w:tcPr>
          <w:p>
            <w:pPr>
              <w:pStyle w:val="单元格样式2"/>
            </w:pPr>
            <w:r>
              <w:t xml:space="preserve">会同青岛电视台联合制作搭建“工赋青岛”交流平台</w:t>
            </w:r>
          </w:p>
        </w:tc>
        <w:tc>
          <w:tcPr>
            <w:tcW w:w="0" w:type="auto"/>
            <w:hMerge/>
            <w:vAlign w:val="center"/>
          </w:tcPr>
          <w:p>
            <w:pPr/>
          </w:p>
        </w:tc>
        <w:tc>
          <w:tcPr>
            <w:tcW w:w="1276" w:type="dxa"/>
            <w:vAlign w:val="center"/>
          </w:tcPr>
          <w:p>
            <w:pPr>
              <w:pStyle w:val="单元格样式2"/>
            </w:pPr>
            <w:r>
              <w:t xml:space="preserve">≥30期</w:t>
            </w:r>
          </w:p>
        </w:tc>
        <w:tc>
          <w:tcPr>
            <w:tcW w:w="1843" w:type="dxa"/>
            <w:vAlign w:val="center"/>
          </w:tcPr>
          <w:p>
            <w:pPr>
              <w:pStyle w:val="单元格样式2"/>
            </w:pPr>
            <w:r>
              <w:t xml:space="preserve">2023年整体活动方案</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“工赋青岛”智库交流活动场数</w:t>
            </w:r>
          </w:p>
        </w:tc>
        <w:tc>
          <w:tcPr>
            <w:tcW w:w="2891" w:type="dxa"/>
            <w:hMerge w:val="restart"/>
            <w:vAlign w:val="center"/>
          </w:tcPr>
          <w:p>
            <w:pPr>
              <w:pStyle w:val="单元格样式2"/>
            </w:pPr>
            <w:r>
              <w:t xml:space="preserve">“工赋青岛”智库交流活动场数</w:t>
            </w:r>
          </w:p>
        </w:tc>
        <w:tc>
          <w:tcPr>
            <w:tcW w:w="0" w:type="auto"/>
            <w:hMerge/>
            <w:vAlign w:val="center"/>
          </w:tcPr>
          <w:p>
            <w:pPr/>
          </w:p>
        </w:tc>
        <w:tc>
          <w:tcPr>
            <w:tcW w:w="1276" w:type="dxa"/>
            <w:vAlign w:val="center"/>
          </w:tcPr>
          <w:p>
            <w:pPr>
              <w:pStyle w:val="单元格样式2"/>
            </w:pPr>
            <w:r>
              <w:t xml:space="preserve">≥3场</w:t>
            </w:r>
          </w:p>
        </w:tc>
        <w:tc>
          <w:tcPr>
            <w:tcW w:w="1843" w:type="dxa"/>
            <w:vAlign w:val="center"/>
          </w:tcPr>
          <w:p>
            <w:pPr>
              <w:pStyle w:val="单元格样式2"/>
            </w:pPr>
            <w:r>
              <w:t xml:space="preserve">2023年整体活动方案</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“工赋青岛”推介场次</w:t>
            </w:r>
          </w:p>
        </w:tc>
        <w:tc>
          <w:tcPr>
            <w:tcW w:w="2891" w:type="dxa"/>
            <w:hMerge w:val="restart"/>
            <w:vAlign w:val="center"/>
          </w:tcPr>
          <w:p>
            <w:pPr>
              <w:pStyle w:val="单元格样式2"/>
            </w:pPr>
            <w:r>
              <w:t xml:space="preserve">新华网、人民网等国家级、省级媒体，青岛各类媒介，以及快手、今日头条等新媒体对“工赋青岛”推介场次</w:t>
            </w:r>
          </w:p>
        </w:tc>
        <w:tc>
          <w:tcPr>
            <w:tcW w:w="0" w:type="auto"/>
            <w:hMerge/>
            <w:vAlign w:val="center"/>
          </w:tcPr>
          <w:p>
            <w:pPr/>
          </w:p>
        </w:tc>
        <w:tc>
          <w:tcPr>
            <w:tcW w:w="1276" w:type="dxa"/>
            <w:vAlign w:val="center"/>
          </w:tcPr>
          <w:p>
            <w:pPr>
              <w:pStyle w:val="单元格样式2"/>
            </w:pPr>
            <w:r>
              <w:t xml:space="preserve">≥30场次</w:t>
            </w:r>
          </w:p>
        </w:tc>
        <w:tc>
          <w:tcPr>
            <w:tcW w:w="1843" w:type="dxa"/>
            <w:vAlign w:val="center"/>
          </w:tcPr>
          <w:p>
            <w:pPr>
              <w:pStyle w:val="单元格样式2"/>
            </w:pPr>
            <w:r>
              <w:t xml:space="preserve">2023年整体活动方案</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视频文案审核率</w:t>
            </w:r>
          </w:p>
        </w:tc>
        <w:tc>
          <w:tcPr>
            <w:tcW w:w="2891" w:type="dxa"/>
            <w:hMerge w:val="restart"/>
            <w:vAlign w:val="center"/>
          </w:tcPr>
          <w:p>
            <w:pPr>
              <w:pStyle w:val="单元格样式2"/>
            </w:pPr>
            <w:r>
              <w:t xml:space="preserve">所有投放的视频和文案均需通过审查</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有关部门批准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政府采购率</w:t>
            </w:r>
          </w:p>
        </w:tc>
        <w:tc>
          <w:tcPr>
            <w:tcW w:w="2891" w:type="dxa"/>
            <w:hMerge w:val="restart"/>
            <w:vAlign w:val="center"/>
          </w:tcPr>
          <w:p>
            <w:pPr>
              <w:pStyle w:val="单元格样式2"/>
            </w:pPr>
            <w:r>
              <w:t xml:space="preserve">该项目通过政府公开招标采购</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政府采购规定</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宣传推广时间</w:t>
            </w:r>
          </w:p>
        </w:tc>
        <w:tc>
          <w:tcPr>
            <w:tcW w:w="2891" w:type="dxa"/>
            <w:hMerge w:val="restart"/>
            <w:vAlign w:val="center"/>
          </w:tcPr>
          <w:p>
            <w:pPr>
              <w:pStyle w:val="单元格样式2"/>
            </w:pPr>
            <w:r>
              <w:t xml:space="preserve">宣传推广时间</w:t>
            </w:r>
          </w:p>
        </w:tc>
        <w:tc>
          <w:tcPr>
            <w:tcW w:w="0" w:type="auto"/>
            <w:hMerge/>
            <w:vAlign w:val="center"/>
          </w:tcPr>
          <w:p>
            <w:pPr/>
          </w:p>
        </w:tc>
        <w:tc>
          <w:tcPr>
            <w:tcW w:w="1276" w:type="dxa"/>
            <w:vAlign w:val="center"/>
          </w:tcPr>
          <w:p>
            <w:pPr>
              <w:pStyle w:val="单元格样式2"/>
            </w:pPr>
            <w:r>
              <w:t xml:space="preserve">≥8个月</w:t>
            </w:r>
          </w:p>
        </w:tc>
        <w:tc>
          <w:tcPr>
            <w:tcW w:w="1843" w:type="dxa"/>
            <w:vAlign w:val="center"/>
          </w:tcPr>
          <w:p>
            <w:pPr>
              <w:pStyle w:val="单元格样式2"/>
            </w:pPr>
            <w:r>
              <w:t xml:space="preserve">扣除招标和验收时间</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新一代青岛金花培育企业数量</w:t>
            </w:r>
          </w:p>
        </w:tc>
        <w:tc>
          <w:tcPr>
            <w:tcW w:w="2891" w:type="dxa"/>
            <w:hMerge w:val="restart"/>
            <w:vAlign w:val="center"/>
          </w:tcPr>
          <w:p>
            <w:pPr>
              <w:pStyle w:val="单元格样式2"/>
            </w:pPr>
            <w:r>
              <w:t xml:space="preserve">新一代青岛金花培育企业数量</w:t>
            </w:r>
          </w:p>
        </w:tc>
        <w:tc>
          <w:tcPr>
            <w:tcW w:w="0" w:type="auto"/>
            <w:hMerge/>
            <w:vAlign w:val="center"/>
          </w:tcPr>
          <w:p>
            <w:pPr/>
          </w:p>
        </w:tc>
        <w:tc>
          <w:tcPr>
            <w:tcW w:w="1276" w:type="dxa"/>
            <w:vAlign w:val="center"/>
          </w:tcPr>
          <w:p>
            <w:pPr>
              <w:pStyle w:val="单元格样式2"/>
            </w:pPr>
            <w:r>
              <w:t xml:space="preserve">≥30家</w:t>
            </w:r>
          </w:p>
        </w:tc>
        <w:tc>
          <w:tcPr>
            <w:tcW w:w="1843" w:type="dxa"/>
            <w:vAlign w:val="center"/>
          </w:tcPr>
          <w:p>
            <w:pPr>
              <w:pStyle w:val="单元格样式2"/>
            </w:pPr>
            <w:r>
              <w:t xml:space="preserve">其他标准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“工赋青岛”示范引领企业数量</w:t>
            </w:r>
          </w:p>
        </w:tc>
        <w:tc>
          <w:tcPr>
            <w:tcW w:w="2891" w:type="dxa"/>
            <w:hMerge w:val="restart"/>
            <w:vAlign w:val="center"/>
          </w:tcPr>
          <w:p>
            <w:pPr>
              <w:pStyle w:val="单元格样式2"/>
            </w:pPr>
            <w:r>
              <w:t xml:space="preserve">“工赋青岛”示范引领企业数量</w:t>
            </w:r>
          </w:p>
        </w:tc>
        <w:tc>
          <w:tcPr>
            <w:tcW w:w="0" w:type="auto"/>
            <w:hMerge/>
            <w:vAlign w:val="center"/>
          </w:tcPr>
          <w:p>
            <w:pPr/>
          </w:p>
        </w:tc>
        <w:tc>
          <w:tcPr>
            <w:tcW w:w="1276" w:type="dxa"/>
            <w:vAlign w:val="center"/>
          </w:tcPr>
          <w:p>
            <w:pPr>
              <w:pStyle w:val="单元格样式2"/>
            </w:pPr>
            <w:r>
              <w:t xml:space="preserve">≥100家</w:t>
            </w:r>
          </w:p>
        </w:tc>
        <w:tc>
          <w:tcPr>
            <w:tcW w:w="1843" w:type="dxa"/>
            <w:vAlign w:val="center"/>
          </w:tcPr>
          <w:p>
            <w:pPr>
              <w:pStyle w:val="单元格样式2"/>
            </w:pPr>
            <w:r>
              <w:t xml:space="preserve">其他标准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打造青岛品牌IP</w:t>
            </w:r>
          </w:p>
        </w:tc>
        <w:tc>
          <w:tcPr>
            <w:tcW w:w="2891" w:type="dxa"/>
            <w:hMerge w:val="restart"/>
            <w:vAlign w:val="center"/>
          </w:tcPr>
          <w:p>
            <w:pPr>
              <w:pStyle w:val="单元格样式2"/>
            </w:pPr>
            <w:r>
              <w:t xml:space="preserve">打造青岛品牌IP数量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2023年整体活动方案</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受宣传企业满意度</w:t>
            </w:r>
          </w:p>
        </w:tc>
        <w:tc>
          <w:tcPr>
            <w:tcW w:w="2891" w:type="dxa"/>
            <w:hMerge w:val="restart"/>
            <w:vAlign w:val="center"/>
          </w:tcPr>
          <w:p>
            <w:pPr>
              <w:pStyle w:val="单元格样式2"/>
            </w:pPr>
            <w:r>
              <w:t xml:space="preserve">受宣传企业满意度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通过第三方机构测评</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11.工业互联网场景赋能公共服务平台运维资金绩效目标表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502001青岛市工业和信息化局本级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37020023P13000410269L</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工业互联网场景赋能公共服务平台运维资金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44.10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44.10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用于工业互联网场景赋能公共服务平台运行维护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44.10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6.结合全市工业互联网发展现状，依托工业互联网场景赋能公共服务平台，通过建设“供需对接、专家咨询、项目申报、评估诊断、产教融合、政策汇聚、优质案例”于一体的工业互联网全流程公共服务体系，开展场景清单筛选、线上线下场景对接活动，帮助企业解决在实际生产中出现的问题，为企业提供个性化的行业解决方案、专业的工业互联网培训及精准的工业互联网成熟度评估等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平台运维预算控制数</w:t>
            </w:r>
          </w:p>
        </w:tc>
        <w:tc>
          <w:tcPr>
            <w:tcW w:w="2891" w:type="dxa"/>
            <w:hMerge w:val="restart"/>
            <w:vAlign w:val="center"/>
          </w:tcPr>
          <w:p>
            <w:pPr>
              <w:pStyle w:val="单元格样式2"/>
            </w:pPr>
            <w:r>
              <w:t xml:space="preserve">平台运维预算控制数</w:t>
            </w:r>
          </w:p>
        </w:tc>
        <w:tc>
          <w:tcPr>
            <w:tcW w:w="0" w:type="auto"/>
            <w:hMerge/>
            <w:vAlign w:val="center"/>
          </w:tcPr>
          <w:p>
            <w:pPr/>
          </w:p>
        </w:tc>
        <w:tc>
          <w:tcPr>
            <w:tcW w:w="1276" w:type="dxa"/>
            <w:vAlign w:val="center"/>
          </w:tcPr>
          <w:p>
            <w:pPr>
              <w:pStyle w:val="单元格样式2"/>
            </w:pPr>
            <w:r>
              <w:t xml:space="preserve">≤44.1万元</w:t>
            </w:r>
          </w:p>
        </w:tc>
        <w:tc>
          <w:tcPr>
            <w:tcW w:w="1843" w:type="dxa"/>
            <w:vAlign w:val="center"/>
          </w:tcPr>
          <w:p>
            <w:pPr>
              <w:pStyle w:val="单元格样式2"/>
            </w:pPr>
            <w:r>
              <w:t xml:space="preserve">计划标准（2023年财政资金）</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需求企业数量</w:t>
            </w:r>
          </w:p>
        </w:tc>
        <w:tc>
          <w:tcPr>
            <w:tcW w:w="2891" w:type="dxa"/>
            <w:hMerge w:val="restart"/>
            <w:vAlign w:val="center"/>
          </w:tcPr>
          <w:p>
            <w:pPr>
              <w:pStyle w:val="单元格样式2"/>
            </w:pPr>
            <w:r>
              <w:t xml:space="preserve">累计平台注册需求企业数量</w:t>
            </w:r>
          </w:p>
        </w:tc>
        <w:tc>
          <w:tcPr>
            <w:tcW w:w="0" w:type="auto"/>
            <w:hMerge/>
            <w:vAlign w:val="center"/>
          </w:tcPr>
          <w:p>
            <w:pPr/>
          </w:p>
        </w:tc>
        <w:tc>
          <w:tcPr>
            <w:tcW w:w="1276" w:type="dxa"/>
            <w:vAlign w:val="center"/>
          </w:tcPr>
          <w:p>
            <w:pPr>
              <w:pStyle w:val="单元格样式2"/>
            </w:pPr>
            <w:r>
              <w:t xml:space="preserve">≥5200家</w:t>
            </w:r>
          </w:p>
        </w:tc>
        <w:tc>
          <w:tcPr>
            <w:tcW w:w="1843" w:type="dxa"/>
            <w:vAlign w:val="center"/>
          </w:tcPr>
          <w:p>
            <w:pPr>
              <w:pStyle w:val="单元格样式2"/>
            </w:pPr>
            <w:r>
              <w:t xml:space="preserve">根据2022年平台运行数据进行测算。</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促成合作意向数量</w:t>
            </w:r>
          </w:p>
        </w:tc>
        <w:tc>
          <w:tcPr>
            <w:tcW w:w="2891" w:type="dxa"/>
            <w:hMerge w:val="restart"/>
            <w:vAlign w:val="center"/>
          </w:tcPr>
          <w:p>
            <w:pPr>
              <w:pStyle w:val="单元格样式2"/>
            </w:pPr>
            <w:r>
              <w:t xml:space="preserve">通过线上线下活动等形式，促进供需双方对接或者服务商之间对接成功。</w:t>
            </w:r>
          </w:p>
        </w:tc>
        <w:tc>
          <w:tcPr>
            <w:tcW w:w="0" w:type="auto"/>
            <w:hMerge/>
            <w:vAlign w:val="center"/>
          </w:tcPr>
          <w:p>
            <w:pPr/>
          </w:p>
        </w:tc>
        <w:tc>
          <w:tcPr>
            <w:tcW w:w="1276" w:type="dxa"/>
            <w:vAlign w:val="center"/>
          </w:tcPr>
          <w:p>
            <w:pPr>
              <w:pStyle w:val="单元格样式2"/>
            </w:pPr>
            <w:r>
              <w:t xml:space="preserve">≥100项</w:t>
            </w:r>
          </w:p>
        </w:tc>
        <w:tc>
          <w:tcPr>
            <w:tcW w:w="1843" w:type="dxa"/>
            <w:vAlign w:val="center"/>
          </w:tcPr>
          <w:p>
            <w:pPr>
              <w:pStyle w:val="单元格样式2"/>
            </w:pPr>
            <w:r>
              <w:t xml:space="preserve">根据2022年平台运行数据进行测算。</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平台注册服务商能力发布率</w:t>
            </w:r>
          </w:p>
        </w:tc>
        <w:tc>
          <w:tcPr>
            <w:tcW w:w="2891" w:type="dxa"/>
            <w:hMerge w:val="restart"/>
            <w:vAlign w:val="center"/>
          </w:tcPr>
          <w:p>
            <w:pPr>
              <w:pStyle w:val="单元格样式2"/>
            </w:pPr>
            <w:r>
              <w:t xml:space="preserve">注册服务商发布能力的比例</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根据2022年平台运行数据进行测算。</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需求真是率</w:t>
            </w:r>
          </w:p>
        </w:tc>
        <w:tc>
          <w:tcPr>
            <w:tcW w:w="2891" w:type="dxa"/>
            <w:hMerge w:val="restart"/>
            <w:vAlign w:val="center"/>
          </w:tcPr>
          <w:p>
            <w:pPr>
              <w:pStyle w:val="单元格样式2"/>
            </w:pPr>
            <w:r>
              <w:t xml:space="preserve">企业发布需求真实性比例</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根据2022年平台运行数据进行测算。</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项目完成时间</w:t>
            </w:r>
          </w:p>
        </w:tc>
        <w:tc>
          <w:tcPr>
            <w:tcW w:w="2891" w:type="dxa"/>
            <w:hMerge w:val="restart"/>
            <w:vAlign w:val="center"/>
          </w:tcPr>
          <w:p>
            <w:pPr>
              <w:pStyle w:val="单元格样式2"/>
            </w:pPr>
            <w:r>
              <w:t xml:space="preserve">项目完成时间</w:t>
            </w:r>
          </w:p>
        </w:tc>
        <w:tc>
          <w:tcPr>
            <w:tcW w:w="0" w:type="auto"/>
            <w:hMerge/>
            <w:vAlign w:val="center"/>
          </w:tcPr>
          <w:p>
            <w:pPr/>
          </w:p>
        </w:tc>
        <w:tc>
          <w:tcPr>
            <w:tcW w:w="1276" w:type="dxa"/>
            <w:vAlign w:val="center"/>
          </w:tcPr>
          <w:p>
            <w:pPr>
              <w:pStyle w:val="单元格样式2"/>
            </w:pPr>
            <w:r>
              <w:t xml:space="preserve">≤11月份</w:t>
            </w:r>
          </w:p>
        </w:tc>
        <w:tc>
          <w:tcPr>
            <w:tcW w:w="1843" w:type="dxa"/>
            <w:vAlign w:val="center"/>
          </w:tcPr>
          <w:p>
            <w:pPr>
              <w:pStyle w:val="单元格样式2"/>
            </w:pPr>
            <w:r>
              <w:t xml:space="preserve">根据2022年平台运行数据进行测算。</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媒体报道文章次数</w:t>
            </w:r>
          </w:p>
        </w:tc>
        <w:tc>
          <w:tcPr>
            <w:tcW w:w="2891" w:type="dxa"/>
            <w:hMerge w:val="restart"/>
            <w:vAlign w:val="center"/>
          </w:tcPr>
          <w:p>
            <w:pPr>
              <w:pStyle w:val="单元格样式2"/>
            </w:pPr>
            <w:r>
              <w:t xml:space="preserve">通过新闻媒体及线上线下活动等形式推广平台，扩大宣传影响力，进行市级以上新闻报道</w:t>
            </w:r>
          </w:p>
        </w:tc>
        <w:tc>
          <w:tcPr>
            <w:tcW w:w="0" w:type="auto"/>
            <w:hMerge/>
            <w:vAlign w:val="center"/>
          </w:tcPr>
          <w:p>
            <w:pPr/>
          </w:p>
        </w:tc>
        <w:tc>
          <w:tcPr>
            <w:tcW w:w="1276" w:type="dxa"/>
            <w:vAlign w:val="center"/>
          </w:tcPr>
          <w:p>
            <w:pPr>
              <w:pStyle w:val="单元格样式2"/>
            </w:pPr>
            <w:r>
              <w:t xml:space="preserve">≥50次</w:t>
            </w:r>
          </w:p>
        </w:tc>
        <w:tc>
          <w:tcPr>
            <w:tcW w:w="1843" w:type="dxa"/>
            <w:vAlign w:val="center"/>
          </w:tcPr>
          <w:p>
            <w:pPr>
              <w:pStyle w:val="单元格样式2"/>
            </w:pPr>
            <w:r>
              <w:t xml:space="preserve">根据2022年平台运行数据进行测算。</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企业满意度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根据2022年平台运行数据进行测算。</w:t>
            </w:r>
            <w:r>
              <w:tab/>
            </w:r>
            <w:r>
              <w:t xml:space="preserve">完成指标值得满分，未完成指标值的，按照完成值与指标值的比例扣分。</w:t>
            </w:r>
          </w:p>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12.老城区企业搬迁改造奖励资金绩效目标表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502001青岛市工业和信息化局本级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37020023P13000210030J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老城区企业搬迁改造奖励资金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3.50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3.50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老城区企业搬迁改造奖励资金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3.50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3.50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6.老城区企业搬迁资金平台取消，支付2023年度指定搬迁企业在财政预留的职工安置费。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拨付资金额度</w:t>
            </w:r>
          </w:p>
        </w:tc>
        <w:tc>
          <w:tcPr>
            <w:tcW w:w="2891" w:type="dxa"/>
            <w:hMerge w:val="restart"/>
            <w:vAlign w:val="center"/>
          </w:tcPr>
          <w:p>
            <w:pPr>
              <w:pStyle w:val="单元格样式2"/>
            </w:pPr>
            <w:r>
              <w:t xml:space="preserve">考察职工安置费用拨付额度</w:t>
            </w:r>
          </w:p>
        </w:tc>
        <w:tc>
          <w:tcPr>
            <w:tcW w:w="0" w:type="auto"/>
            <w:hMerge/>
            <w:vAlign w:val="center"/>
          </w:tcPr>
          <w:p>
            <w:pPr/>
          </w:p>
        </w:tc>
        <w:tc>
          <w:tcPr>
            <w:tcW w:w="1276" w:type="dxa"/>
            <w:vAlign w:val="center"/>
          </w:tcPr>
          <w:p>
            <w:pPr>
              <w:pStyle w:val="单元格样式2"/>
            </w:pPr>
            <w:r>
              <w:t xml:space="preserve">≤3.5万元</w:t>
            </w:r>
          </w:p>
        </w:tc>
        <w:tc>
          <w:tcPr>
            <w:tcW w:w="1843" w:type="dxa"/>
            <w:vAlign w:val="center"/>
          </w:tcPr>
          <w:p>
            <w:pPr>
              <w:pStyle w:val="单元格样式2"/>
            </w:pPr>
            <w:r>
              <w:t xml:space="preserve">计划标准（青政发〔2008〕44号）、青湾企发〔2009〕11号）</w:t>
            </w:r>
          </w:p>
          <w:p>
            <w:pPr>
              <w:pStyle w:val="单元格样式2"/>
            </w:pP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职工安置费发放人数</w:t>
            </w:r>
          </w:p>
        </w:tc>
        <w:tc>
          <w:tcPr>
            <w:tcW w:w="2891" w:type="dxa"/>
            <w:hMerge w:val="restart"/>
            <w:vAlign w:val="center"/>
          </w:tcPr>
          <w:p>
            <w:pPr>
              <w:pStyle w:val="单元格样式2"/>
            </w:pPr>
            <w:r>
              <w:t xml:space="preserve">考察拨付资金用于职工安置费的发放人数</w:t>
            </w:r>
          </w:p>
        </w:tc>
        <w:tc>
          <w:tcPr>
            <w:tcW w:w="0" w:type="auto"/>
            <w:hMerge/>
            <w:vAlign w:val="center"/>
          </w:tcPr>
          <w:p>
            <w:pPr/>
          </w:p>
        </w:tc>
        <w:tc>
          <w:tcPr>
            <w:tcW w:w="1276" w:type="dxa"/>
            <w:vAlign w:val="center"/>
          </w:tcPr>
          <w:p>
            <w:pPr>
              <w:pStyle w:val="单元格样式2"/>
            </w:pPr>
            <w:r>
              <w:t xml:space="preserve">≤50人</w:t>
            </w:r>
          </w:p>
        </w:tc>
        <w:tc>
          <w:tcPr>
            <w:tcW w:w="1843" w:type="dxa"/>
            <w:vAlign w:val="center"/>
          </w:tcPr>
          <w:p>
            <w:pPr>
              <w:pStyle w:val="单元格样式2"/>
            </w:pPr>
            <w:r>
              <w:t xml:space="preserve">其他标准</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可拨付资金企业数量</w:t>
            </w:r>
          </w:p>
        </w:tc>
        <w:tc>
          <w:tcPr>
            <w:tcW w:w="2891" w:type="dxa"/>
            <w:hMerge w:val="restart"/>
            <w:vAlign w:val="center"/>
          </w:tcPr>
          <w:p>
            <w:pPr>
              <w:pStyle w:val="单元格样式2"/>
            </w:pPr>
            <w:r>
              <w:t xml:space="preserve">考察拨付资金企业数量</w:t>
            </w:r>
          </w:p>
        </w:tc>
        <w:tc>
          <w:tcPr>
            <w:tcW w:w="0" w:type="auto"/>
            <w:hMerge/>
            <w:vAlign w:val="center"/>
          </w:tcPr>
          <w:p>
            <w:pPr/>
          </w:p>
        </w:tc>
        <w:tc>
          <w:tcPr>
            <w:tcW w:w="1276" w:type="dxa"/>
            <w:vAlign w:val="center"/>
          </w:tcPr>
          <w:p>
            <w:pPr>
              <w:pStyle w:val="单元格样式2"/>
            </w:pPr>
            <w:r>
              <w:t xml:space="preserve">1家</w:t>
            </w:r>
          </w:p>
        </w:tc>
        <w:tc>
          <w:tcPr>
            <w:tcW w:w="1843" w:type="dxa"/>
            <w:vAlign w:val="center"/>
          </w:tcPr>
          <w:p>
            <w:pPr>
              <w:pStyle w:val="单元格样式2"/>
            </w:pPr>
            <w:r>
              <w:t xml:space="preserve">计划标准（青政发〔2008〕44号）、青湾企发〔2009〕11号）</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拨付企业政策符合度</w:t>
            </w:r>
          </w:p>
        </w:tc>
        <w:tc>
          <w:tcPr>
            <w:tcW w:w="2891" w:type="dxa"/>
            <w:hMerge w:val="restart"/>
            <w:vAlign w:val="center"/>
          </w:tcPr>
          <w:p>
            <w:pPr>
              <w:pStyle w:val="单元格样式2"/>
            </w:pPr>
            <w:r>
              <w:t xml:space="preserve">考察拨付企业政策符合度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计划标准（青工信规〔2022〕2号文件）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资金使用合规性</w:t>
            </w:r>
          </w:p>
        </w:tc>
        <w:tc>
          <w:tcPr>
            <w:tcW w:w="2891" w:type="dxa"/>
            <w:hMerge w:val="restart"/>
            <w:vAlign w:val="center"/>
          </w:tcPr>
          <w:p>
            <w:pPr>
              <w:pStyle w:val="单元格样式2"/>
            </w:pPr>
            <w:r>
              <w:t xml:space="preserve">考察资金发放过程是否符合制度要求</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计划标准（青工信字〔2022〕59号文件）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资金发放时间</w:t>
            </w:r>
          </w:p>
        </w:tc>
        <w:tc>
          <w:tcPr>
            <w:tcW w:w="2891" w:type="dxa"/>
            <w:hMerge w:val="restart"/>
            <w:vAlign w:val="center"/>
          </w:tcPr>
          <w:p>
            <w:pPr>
              <w:pStyle w:val="单元格样式2"/>
            </w:pPr>
            <w:r>
              <w:t xml:space="preserve">考察资金发放是否及时</w:t>
            </w:r>
          </w:p>
        </w:tc>
        <w:tc>
          <w:tcPr>
            <w:tcW w:w="0" w:type="auto"/>
            <w:hMerge/>
            <w:vAlign w:val="center"/>
          </w:tcPr>
          <w:p>
            <w:pPr/>
          </w:p>
        </w:tc>
        <w:tc>
          <w:tcPr>
            <w:tcW w:w="1276" w:type="dxa"/>
            <w:vAlign w:val="center"/>
          </w:tcPr>
          <w:p>
            <w:pPr>
              <w:pStyle w:val="单元格样式2"/>
            </w:pPr>
            <w:r>
              <w:t xml:space="preserve">按月</w:t>
            </w:r>
          </w:p>
        </w:tc>
        <w:tc>
          <w:tcPr>
            <w:tcW w:w="1843" w:type="dxa"/>
            <w:vAlign w:val="center"/>
          </w:tcPr>
          <w:p>
            <w:pPr>
              <w:pStyle w:val="单元格样式2"/>
            </w:pPr>
            <w:r>
              <w:t xml:space="preserve">计划标准（市财政预算下达文件）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搬迁企业综合实力增长率</w:t>
            </w:r>
          </w:p>
        </w:tc>
        <w:tc>
          <w:tcPr>
            <w:tcW w:w="2891" w:type="dxa"/>
            <w:hMerge w:val="restart"/>
            <w:vAlign w:val="center"/>
          </w:tcPr>
          <w:p>
            <w:pPr>
              <w:pStyle w:val="单元格样式2"/>
            </w:pPr>
            <w:r>
              <w:t xml:space="preserve">考察搬迁企业综合实力增长情况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其他标准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老城区搬迁企业原址周边功能提升</w:t>
            </w:r>
          </w:p>
        </w:tc>
        <w:tc>
          <w:tcPr>
            <w:tcW w:w="2891" w:type="dxa"/>
            <w:hMerge w:val="restart"/>
            <w:vAlign w:val="center"/>
          </w:tcPr>
          <w:p>
            <w:pPr>
              <w:pStyle w:val="单元格样式2"/>
            </w:pPr>
            <w:r>
              <w:t xml:space="preserve">考察企业搬迁后周边功能提升情况</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其他标准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 “三废排放”达到搬迁新项目规定值</w:t>
            </w:r>
          </w:p>
        </w:tc>
        <w:tc>
          <w:tcPr>
            <w:tcW w:w="2891" w:type="dxa"/>
            <w:hMerge w:val="restart"/>
            <w:vAlign w:val="center"/>
          </w:tcPr>
          <w:p>
            <w:pPr>
              <w:pStyle w:val="单元格样式2"/>
            </w:pPr>
            <w:r>
              <w:t xml:space="preserve">完成搬迁计划和环保部门规定</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其他标准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服务搬迁企业满意度</w:t>
            </w:r>
          </w:p>
        </w:tc>
        <w:tc>
          <w:tcPr>
            <w:tcW w:w="2891" w:type="dxa"/>
            <w:hMerge w:val="restart"/>
            <w:vAlign w:val="center"/>
          </w:tcPr>
          <w:p>
            <w:pPr>
              <w:pStyle w:val="单元格样式2"/>
            </w:pPr>
            <w:r>
              <w:t xml:space="preserve">考察服务企业满意度情况</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其他标准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13.软件与信息产业专项资金绩效目标表</w:t>
      </w:r>
      <w:bookmarkEnd w:id="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502001青岛市工业和信息化局本级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37020023P130001100253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软件与信息产业专项资金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政府所得税核查资金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40.00</w:t>
            </w:r>
          </w:p>
        </w:tc>
        <w:tc>
          <w:tcPr>
            <w:tcW w:w="3118" w:type="dxa"/>
            <w:hMerge w:val="restart"/>
            <w:vAlign w:val="center"/>
          </w:tcPr>
          <w:p>
            <w:pPr>
              <w:pStyle w:val="单元格样式3"/>
            </w:pPr>
            <w:r>
              <w:t xml:space="preserve">40.00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6.完成全部申报企业核查任务，引导软件企业加快发展，促进全市软件产业规模进一步扩大。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所得税预算核查费用</w:t>
            </w:r>
          </w:p>
        </w:tc>
        <w:tc>
          <w:tcPr>
            <w:tcW w:w="2891" w:type="dxa"/>
            <w:hMerge w:val="restart"/>
            <w:vAlign w:val="center"/>
          </w:tcPr>
          <w:p>
            <w:pPr>
              <w:pStyle w:val="单元格样式2"/>
            </w:pPr>
            <w:r>
              <w:t xml:space="preserve">政府采购聘请第三方核查费用</w:t>
            </w:r>
          </w:p>
        </w:tc>
        <w:tc>
          <w:tcPr>
            <w:tcW w:w="0" w:type="auto"/>
            <w:hMerge/>
            <w:vAlign w:val="center"/>
          </w:tcPr>
          <w:p>
            <w:pPr/>
          </w:p>
        </w:tc>
        <w:tc>
          <w:tcPr>
            <w:tcW w:w="1276" w:type="dxa"/>
            <w:vAlign w:val="center"/>
          </w:tcPr>
          <w:p>
            <w:pPr>
              <w:pStyle w:val="单元格样式2"/>
            </w:pPr>
            <w:r>
              <w:t xml:space="preserve">≤40万元</w:t>
            </w:r>
          </w:p>
        </w:tc>
        <w:tc>
          <w:tcPr>
            <w:tcW w:w="1843" w:type="dxa"/>
            <w:vAlign w:val="center"/>
          </w:tcPr>
          <w:p>
            <w:pPr>
              <w:pStyle w:val="单元格样式2"/>
            </w:pPr>
            <w:r>
              <w:t xml:space="preserve">计划标准（青财绩〔2019〕4号）</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核查申报所得税优惠企业数量</w:t>
            </w:r>
          </w:p>
        </w:tc>
        <w:tc>
          <w:tcPr>
            <w:tcW w:w="2891" w:type="dxa"/>
            <w:hMerge w:val="restart"/>
            <w:vAlign w:val="center"/>
          </w:tcPr>
          <w:p>
            <w:pPr>
              <w:pStyle w:val="单元格样式2"/>
            </w:pPr>
            <w:r>
              <w:t xml:space="preserve">市税务局提供的申报所得税优惠的企业数量</w:t>
            </w:r>
          </w:p>
        </w:tc>
        <w:tc>
          <w:tcPr>
            <w:tcW w:w="0" w:type="auto"/>
            <w:hMerge/>
            <w:vAlign w:val="center"/>
          </w:tcPr>
          <w:p>
            <w:pPr/>
          </w:p>
        </w:tc>
        <w:tc>
          <w:tcPr>
            <w:tcW w:w="1276" w:type="dxa"/>
            <w:vAlign w:val="center"/>
          </w:tcPr>
          <w:p>
            <w:pPr>
              <w:pStyle w:val="单元格样式2"/>
            </w:pPr>
            <w:r>
              <w:t xml:space="preserve">25家</w:t>
            </w:r>
          </w:p>
        </w:tc>
        <w:tc>
          <w:tcPr>
            <w:tcW w:w="1843" w:type="dxa"/>
            <w:vAlign w:val="center"/>
          </w:tcPr>
          <w:p>
            <w:pPr>
              <w:pStyle w:val="单元格样式2"/>
            </w:pPr>
            <w:r>
              <w:t xml:space="preserve">行业标准（国发〔2020〕8号）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实地核查企业数量</w:t>
            </w:r>
          </w:p>
        </w:tc>
        <w:tc>
          <w:tcPr>
            <w:tcW w:w="2891" w:type="dxa"/>
            <w:hMerge w:val="restart"/>
            <w:vAlign w:val="center"/>
          </w:tcPr>
          <w:p>
            <w:pPr>
              <w:pStyle w:val="单元格样式2"/>
            </w:pPr>
            <w:r>
              <w:t xml:space="preserve">实地核查企业</w:t>
            </w:r>
          </w:p>
        </w:tc>
        <w:tc>
          <w:tcPr>
            <w:tcW w:w="0" w:type="auto"/>
            <w:hMerge/>
            <w:vAlign w:val="center"/>
          </w:tcPr>
          <w:p>
            <w:pPr/>
          </w:p>
        </w:tc>
        <w:tc>
          <w:tcPr>
            <w:tcW w:w="1276" w:type="dxa"/>
            <w:vAlign w:val="center"/>
          </w:tcPr>
          <w:p>
            <w:pPr>
              <w:pStyle w:val="单元格样式2"/>
            </w:pPr>
            <w:r>
              <w:t xml:space="preserve">≥20家</w:t>
            </w:r>
          </w:p>
        </w:tc>
        <w:tc>
          <w:tcPr>
            <w:tcW w:w="1843" w:type="dxa"/>
            <w:vAlign w:val="center"/>
          </w:tcPr>
          <w:p>
            <w:pPr>
              <w:pStyle w:val="单元格样式2"/>
            </w:pPr>
            <w:r>
              <w:t xml:space="preserve">行业标准（国发〔2020〕8号）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核查误差率</w:t>
            </w:r>
          </w:p>
        </w:tc>
        <w:tc>
          <w:tcPr>
            <w:tcW w:w="2891" w:type="dxa"/>
            <w:hMerge w:val="restart"/>
            <w:vAlign w:val="center"/>
          </w:tcPr>
          <w:p>
            <w:pPr>
              <w:pStyle w:val="单元格样式2"/>
            </w:pPr>
            <w:r>
              <w:t xml:space="preserve">经核查，使符合条件企业享受政策，不符合条件企业不享受</w:t>
            </w:r>
          </w:p>
        </w:tc>
        <w:tc>
          <w:tcPr>
            <w:tcW w:w="0" w:type="auto"/>
            <w:hMerge/>
            <w:vAlign w:val="center"/>
          </w:tcPr>
          <w:p>
            <w:pPr/>
          </w:p>
        </w:tc>
        <w:tc>
          <w:tcPr>
            <w:tcW w:w="1276" w:type="dxa"/>
            <w:vAlign w:val="center"/>
          </w:tcPr>
          <w:p>
            <w:pPr>
              <w:pStyle w:val="单元格样式2"/>
            </w:pPr>
            <w:r>
              <w:t xml:space="preserve">0%</w:t>
            </w:r>
          </w:p>
        </w:tc>
        <w:tc>
          <w:tcPr>
            <w:tcW w:w="1843" w:type="dxa"/>
            <w:vAlign w:val="center"/>
          </w:tcPr>
          <w:p>
            <w:pPr>
              <w:pStyle w:val="单元格样式2"/>
            </w:pPr>
            <w:r>
              <w:t xml:space="preserve">行业标准（国发〔2020〕8号）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资金使用合规率</w:t>
            </w:r>
          </w:p>
        </w:tc>
        <w:tc>
          <w:tcPr>
            <w:tcW w:w="2891" w:type="dxa"/>
            <w:hMerge w:val="restart"/>
            <w:vAlign w:val="center"/>
          </w:tcPr>
          <w:p>
            <w:pPr>
              <w:pStyle w:val="单元格样式2"/>
            </w:pPr>
            <w:r>
              <w:t xml:space="preserve">资金主管部门在资金使用过程中合法合规性</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计划标准（青工信字〔2019〕28号）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完成核查所得税的时间</w:t>
            </w:r>
          </w:p>
        </w:tc>
        <w:tc>
          <w:tcPr>
            <w:tcW w:w="2891" w:type="dxa"/>
            <w:hMerge w:val="restart"/>
            <w:vAlign w:val="center"/>
          </w:tcPr>
          <w:p>
            <w:pPr>
              <w:pStyle w:val="单元格样式2"/>
            </w:pPr>
            <w:r>
              <w:t xml:space="preserve">完成核查的时间</w:t>
            </w:r>
          </w:p>
        </w:tc>
        <w:tc>
          <w:tcPr>
            <w:tcW w:w="0" w:type="auto"/>
            <w:hMerge/>
            <w:vAlign w:val="center"/>
          </w:tcPr>
          <w:p>
            <w:pPr/>
          </w:p>
        </w:tc>
        <w:tc>
          <w:tcPr>
            <w:tcW w:w="1276" w:type="dxa"/>
            <w:vAlign w:val="center"/>
          </w:tcPr>
          <w:p>
            <w:pPr>
              <w:pStyle w:val="单元格样式2"/>
            </w:pPr>
            <w:r>
              <w:t xml:space="preserve">≤10月份</w:t>
            </w:r>
          </w:p>
        </w:tc>
        <w:tc>
          <w:tcPr>
            <w:tcW w:w="1843" w:type="dxa"/>
            <w:vAlign w:val="center"/>
          </w:tcPr>
          <w:p>
            <w:pPr>
              <w:pStyle w:val="单元格样式2"/>
            </w:pPr>
            <w:r>
              <w:t xml:space="preserve">计划标准（市财政预算下达文件）</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减免软件企业所得税数额</w:t>
            </w:r>
          </w:p>
        </w:tc>
        <w:tc>
          <w:tcPr>
            <w:tcW w:w="2891" w:type="dxa"/>
            <w:hMerge w:val="restart"/>
            <w:vAlign w:val="center"/>
          </w:tcPr>
          <w:p>
            <w:pPr>
              <w:pStyle w:val="单元格样式2"/>
            </w:pPr>
            <w:r>
              <w:t xml:space="preserve">通过核查的企业减免的软件企业所得税数额 </w:t>
            </w:r>
          </w:p>
        </w:tc>
        <w:tc>
          <w:tcPr>
            <w:tcW w:w="0" w:type="auto"/>
            <w:hMerge/>
            <w:vAlign w:val="center"/>
          </w:tcPr>
          <w:p>
            <w:pPr/>
          </w:p>
        </w:tc>
        <w:tc>
          <w:tcPr>
            <w:tcW w:w="1276" w:type="dxa"/>
            <w:vAlign w:val="center"/>
          </w:tcPr>
          <w:p>
            <w:pPr>
              <w:pStyle w:val="单元格样式2"/>
            </w:pPr>
            <w:r>
              <w:t xml:space="preserve">≥1000万元</w:t>
            </w:r>
          </w:p>
        </w:tc>
        <w:tc>
          <w:tcPr>
            <w:tcW w:w="1843" w:type="dxa"/>
            <w:vAlign w:val="center"/>
          </w:tcPr>
          <w:p>
            <w:pPr>
              <w:pStyle w:val="单元格样式2"/>
            </w:pPr>
            <w:r>
              <w:t xml:space="preserve">根据工信和信息化部及国家统计局《软件和信息技术服务业统计调查制度》执行</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核查所得税企业满意度</w:t>
            </w:r>
          </w:p>
        </w:tc>
        <w:tc>
          <w:tcPr>
            <w:tcW w:w="2891" w:type="dxa"/>
            <w:hMerge w:val="restart"/>
            <w:vAlign w:val="center"/>
          </w:tcPr>
          <w:p>
            <w:pPr>
              <w:pStyle w:val="单元格样式2"/>
            </w:pPr>
            <w:r>
              <w:t xml:space="preserve">核查享受所得税优惠政策企业的满意度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其他标准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14.无线电管理经费绩效目标表</w:t>
      </w:r>
      <w:bookmarkEnd w:id="1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502001青岛市工业和信息化局本级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37020023P230016100051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无线电管理经费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1981.00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1981.00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推进无线电管理基础和技术设施建设，提升技术能力；保障技术设施处于良好状态；加强人员培训、技术研发，提升技术软实力。服务经济和社会发展，开展频率协调和行政许可、及时查处干扰、加强监督检查，完成重大活动和重要考试无线电安全保障任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30.00</w:t>
            </w:r>
          </w:p>
        </w:tc>
        <w:tc>
          <w:tcPr>
            <w:tcW w:w="0" w:type="auto"/>
            <w:hMerge/>
          </w:tcPr>
          <w:p>
            <w:pPr/>
          </w:p>
        </w:tc>
        <w:tc>
          <w:tcPr>
            <w:tcW w:w="1587" w:type="dxa"/>
            <w:vAlign w:val="center"/>
          </w:tcPr>
          <w:p>
            <w:pPr>
              <w:pStyle w:val="单元格样式3"/>
            </w:pPr>
            <w:r>
              <w:t xml:space="preserve">500.00</w:t>
            </w:r>
          </w:p>
        </w:tc>
        <w:tc>
          <w:tcPr>
            <w:tcW w:w="1304" w:type="dxa"/>
            <w:vAlign w:val="center"/>
          </w:tcPr>
          <w:p>
            <w:pPr>
              <w:pStyle w:val="单元格样式3"/>
            </w:pPr>
            <w:r>
              <w:t xml:space="preserve">1000.00</w:t>
            </w:r>
          </w:p>
        </w:tc>
        <w:tc>
          <w:tcPr>
            <w:tcW w:w="3118" w:type="dxa"/>
            <w:hMerge w:val="restart"/>
            <w:vAlign w:val="center"/>
          </w:tcPr>
          <w:p>
            <w:pPr>
              <w:pStyle w:val="单元格样式3"/>
            </w:pPr>
            <w:r>
              <w:t xml:space="preserve">1981.00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根据“十四五”规划，推进无线电管理基础和技术设施建设，提升技术能力；保障技术设施处于良好状态；加强人员培训、技术研发，提升技术软实力。服务经济和社会发展，开展频率协调和行政许可、及时查处干扰、加强监督检查，完成重大活动和重要考试无线电安全保障任务，提高无线电管理工作满意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建设项目成本控制</w:t>
            </w:r>
          </w:p>
        </w:tc>
        <w:tc>
          <w:tcPr>
            <w:tcW w:w="2891" w:type="dxa"/>
            <w:hMerge w:val="restart"/>
            <w:vAlign w:val="center"/>
          </w:tcPr>
          <w:p>
            <w:pPr>
              <w:pStyle w:val="单元格样式2"/>
            </w:pPr>
            <w:r>
              <w:t xml:space="preserve">成本控制率</w:t>
            </w:r>
          </w:p>
        </w:tc>
        <w:tc>
          <w:tcPr>
            <w:tcW w:w="0" w:type="auto"/>
            <w:hMerge/>
            <w:vAlign w:val="center"/>
          </w:tcPr>
          <w:p>
            <w:pPr/>
          </w:p>
        </w:tc>
        <w:tc>
          <w:tcPr>
            <w:tcW w:w="1276" w:type="dxa"/>
            <w:vAlign w:val="center"/>
          </w:tcPr>
          <w:p>
            <w:pPr>
              <w:pStyle w:val="单元格样式2"/>
            </w:pPr>
            <w:r>
              <w:t xml:space="preserve">≦10百分比</w:t>
            </w:r>
          </w:p>
        </w:tc>
        <w:tc>
          <w:tcPr>
            <w:tcW w:w="1843" w:type="dxa"/>
            <w:vAlign w:val="center"/>
          </w:tcPr>
          <w:p>
            <w:pPr>
              <w:pStyle w:val="单元格样式2"/>
            </w:pPr>
            <w:r>
              <w:t xml:space="preserve">国无办函[2022]40号</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建设项目数量</w:t>
            </w:r>
          </w:p>
        </w:tc>
        <w:tc>
          <w:tcPr>
            <w:tcW w:w="2891" w:type="dxa"/>
            <w:hMerge w:val="restart"/>
            <w:vAlign w:val="center"/>
          </w:tcPr>
          <w:p>
            <w:pPr>
              <w:pStyle w:val="单元格样式2"/>
            </w:pPr>
            <w:r>
              <w:t xml:space="preserve">建设项目数量</w:t>
            </w:r>
          </w:p>
        </w:tc>
        <w:tc>
          <w:tcPr>
            <w:tcW w:w="0" w:type="auto"/>
            <w:hMerge/>
            <w:vAlign w:val="center"/>
          </w:tcPr>
          <w:p>
            <w:pPr/>
          </w:p>
        </w:tc>
        <w:tc>
          <w:tcPr>
            <w:tcW w:w="1276" w:type="dxa"/>
            <w:vAlign w:val="center"/>
          </w:tcPr>
          <w:p>
            <w:pPr>
              <w:pStyle w:val="单元格样式2"/>
            </w:pPr>
            <w:r>
              <w:t xml:space="preserve">≥8个</w:t>
            </w:r>
          </w:p>
        </w:tc>
        <w:tc>
          <w:tcPr>
            <w:tcW w:w="1843" w:type="dxa"/>
            <w:vAlign w:val="center"/>
          </w:tcPr>
          <w:p>
            <w:pPr>
              <w:pStyle w:val="单元格样式2"/>
            </w:pPr>
            <w:r>
              <w:t xml:space="preserve">国无办函[2022]40号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巡检次数</w:t>
            </w:r>
          </w:p>
        </w:tc>
        <w:tc>
          <w:tcPr>
            <w:tcW w:w="2891" w:type="dxa"/>
            <w:hMerge w:val="restart"/>
            <w:vAlign w:val="center"/>
          </w:tcPr>
          <w:p>
            <w:pPr>
              <w:pStyle w:val="单元格样式2"/>
            </w:pPr>
            <w:r>
              <w:t xml:space="preserve">固定站巡检次数</w:t>
            </w:r>
          </w:p>
        </w:tc>
        <w:tc>
          <w:tcPr>
            <w:tcW w:w="0" w:type="auto"/>
            <w:hMerge/>
            <w:vAlign w:val="center"/>
          </w:tcPr>
          <w:p>
            <w:pPr/>
          </w:p>
        </w:tc>
        <w:tc>
          <w:tcPr>
            <w:tcW w:w="1276" w:type="dxa"/>
            <w:vAlign w:val="center"/>
          </w:tcPr>
          <w:p>
            <w:pPr>
              <w:pStyle w:val="单元格样式2"/>
            </w:pPr>
            <w:r>
              <w:t xml:space="preserve">≥24次</w:t>
            </w:r>
          </w:p>
        </w:tc>
        <w:tc>
          <w:tcPr>
            <w:tcW w:w="1843" w:type="dxa"/>
            <w:vAlign w:val="center"/>
          </w:tcPr>
          <w:p>
            <w:pPr>
              <w:pStyle w:val="单元格样式2"/>
            </w:pPr>
            <w:r>
              <w:t xml:space="preserve">国无办函[2022]40号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开展次数</w:t>
            </w:r>
          </w:p>
        </w:tc>
        <w:tc>
          <w:tcPr>
            <w:tcW w:w="2891" w:type="dxa"/>
            <w:hMerge w:val="restart"/>
            <w:vAlign w:val="center"/>
          </w:tcPr>
          <w:p>
            <w:pPr>
              <w:pStyle w:val="单元格样式2"/>
            </w:pPr>
            <w:r>
              <w:t xml:space="preserve">重大活动、重要考试无线电保障次数</w:t>
            </w:r>
          </w:p>
        </w:tc>
        <w:tc>
          <w:tcPr>
            <w:tcW w:w="0" w:type="auto"/>
            <w:hMerge/>
            <w:vAlign w:val="center"/>
          </w:tcPr>
          <w:p>
            <w:pPr/>
          </w:p>
        </w:tc>
        <w:tc>
          <w:tcPr>
            <w:tcW w:w="1276" w:type="dxa"/>
            <w:vAlign w:val="center"/>
          </w:tcPr>
          <w:p>
            <w:pPr>
              <w:pStyle w:val="单元格样式2"/>
            </w:pPr>
            <w:r>
              <w:t xml:space="preserve">≥14次</w:t>
            </w:r>
          </w:p>
        </w:tc>
        <w:tc>
          <w:tcPr>
            <w:tcW w:w="1843" w:type="dxa"/>
            <w:vAlign w:val="center"/>
          </w:tcPr>
          <w:p>
            <w:pPr>
              <w:pStyle w:val="单元格样式2"/>
            </w:pPr>
            <w:r>
              <w:t xml:space="preserve">国无办函[2022]40号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检查次数</w:t>
            </w:r>
          </w:p>
        </w:tc>
        <w:tc>
          <w:tcPr>
            <w:tcW w:w="2891" w:type="dxa"/>
            <w:hMerge w:val="restart"/>
            <w:vAlign w:val="center"/>
          </w:tcPr>
          <w:p>
            <w:pPr>
              <w:pStyle w:val="单元格样式2"/>
            </w:pPr>
            <w:r>
              <w:t xml:space="preserve">开展行政执法、干扰查处、监测巡查</w:t>
            </w:r>
          </w:p>
        </w:tc>
        <w:tc>
          <w:tcPr>
            <w:tcW w:w="0" w:type="auto"/>
            <w:hMerge/>
            <w:vAlign w:val="center"/>
          </w:tcPr>
          <w:p>
            <w:pPr/>
          </w:p>
        </w:tc>
        <w:tc>
          <w:tcPr>
            <w:tcW w:w="1276" w:type="dxa"/>
            <w:vAlign w:val="center"/>
          </w:tcPr>
          <w:p>
            <w:pPr>
              <w:pStyle w:val="单元格样式2"/>
            </w:pPr>
            <w:r>
              <w:t xml:space="preserve">≥28次</w:t>
            </w:r>
          </w:p>
        </w:tc>
        <w:tc>
          <w:tcPr>
            <w:tcW w:w="1843" w:type="dxa"/>
            <w:vAlign w:val="center"/>
          </w:tcPr>
          <w:p>
            <w:pPr>
              <w:pStyle w:val="单元格样式2"/>
            </w:pPr>
            <w:r>
              <w:t xml:space="preserve">国无办函[2022]40号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建设合格率</w:t>
            </w:r>
          </w:p>
        </w:tc>
        <w:tc>
          <w:tcPr>
            <w:tcW w:w="2891" w:type="dxa"/>
            <w:hMerge w:val="restart"/>
            <w:vAlign w:val="center"/>
          </w:tcPr>
          <w:p>
            <w:pPr>
              <w:pStyle w:val="单元格样式2"/>
            </w:pPr>
            <w:r>
              <w:t xml:space="preserve">建设合格率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国无办函[2022]40号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投诉处理率</w:t>
            </w:r>
          </w:p>
        </w:tc>
        <w:tc>
          <w:tcPr>
            <w:tcW w:w="2891" w:type="dxa"/>
            <w:hMerge w:val="restart"/>
            <w:vAlign w:val="center"/>
          </w:tcPr>
          <w:p>
            <w:pPr>
              <w:pStyle w:val="单元格样式2"/>
            </w:pPr>
            <w:r>
              <w:t xml:space="preserve">无线电干扰申述处理率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国无办函[2022]40号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设备运转正常率</w:t>
            </w:r>
          </w:p>
        </w:tc>
        <w:tc>
          <w:tcPr>
            <w:tcW w:w="2891" w:type="dxa"/>
            <w:hMerge w:val="restart"/>
            <w:vAlign w:val="center"/>
          </w:tcPr>
          <w:p>
            <w:pPr>
              <w:pStyle w:val="单元格样式2"/>
            </w:pPr>
            <w:r>
              <w:t xml:space="preserve">设备运转正常率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国无办函[2022]40号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按时完成情况</w:t>
            </w:r>
          </w:p>
        </w:tc>
        <w:tc>
          <w:tcPr>
            <w:tcW w:w="2891" w:type="dxa"/>
            <w:hMerge w:val="restart"/>
            <w:vAlign w:val="center"/>
          </w:tcPr>
          <w:p>
            <w:pPr>
              <w:pStyle w:val="单元格样式2"/>
            </w:pPr>
            <w:r>
              <w:t xml:space="preserve">建设项目按批复周期完成情况</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国无办函[2022]40号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重大安全事故发生率</w:t>
            </w:r>
          </w:p>
        </w:tc>
        <w:tc>
          <w:tcPr>
            <w:tcW w:w="2891" w:type="dxa"/>
            <w:hMerge w:val="restart"/>
            <w:vAlign w:val="center"/>
          </w:tcPr>
          <w:p>
            <w:pPr>
              <w:pStyle w:val="单元格样式2"/>
            </w:pPr>
            <w:r>
              <w:t xml:space="preserve">无线电管理重大安全事故发生数</w:t>
            </w:r>
          </w:p>
        </w:tc>
        <w:tc>
          <w:tcPr>
            <w:tcW w:w="0" w:type="auto"/>
            <w:hMerge/>
            <w:vAlign w:val="center"/>
          </w:tcPr>
          <w:p>
            <w:pPr/>
          </w:p>
        </w:tc>
        <w:tc>
          <w:tcPr>
            <w:tcW w:w="1276" w:type="dxa"/>
            <w:vAlign w:val="center"/>
          </w:tcPr>
          <w:p>
            <w:pPr>
              <w:pStyle w:val="单元格样式2"/>
            </w:pPr>
            <w:r>
              <w:t xml:space="preserve">无重大安全事故发生</w:t>
            </w:r>
          </w:p>
        </w:tc>
        <w:tc>
          <w:tcPr>
            <w:tcW w:w="1843" w:type="dxa"/>
            <w:vAlign w:val="center"/>
          </w:tcPr>
          <w:p>
            <w:pPr>
              <w:pStyle w:val="单元格样式2"/>
            </w:pPr>
            <w:r>
              <w:t xml:space="preserve">国无办函[2022]40号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监测能力提升以更好地为社会服务</w:t>
            </w:r>
          </w:p>
        </w:tc>
        <w:tc>
          <w:tcPr>
            <w:tcW w:w="2891" w:type="dxa"/>
            <w:hMerge w:val="restart"/>
            <w:vAlign w:val="center"/>
          </w:tcPr>
          <w:p>
            <w:pPr>
              <w:pStyle w:val="单元格样式2"/>
            </w:pPr>
            <w:r>
              <w:t xml:space="preserve">升级监测站监测频率上限</w:t>
            </w:r>
          </w:p>
        </w:tc>
        <w:tc>
          <w:tcPr>
            <w:tcW w:w="0" w:type="auto"/>
            <w:hMerge/>
            <w:vAlign w:val="center"/>
          </w:tcPr>
          <w:p>
            <w:pPr/>
          </w:p>
        </w:tc>
        <w:tc>
          <w:tcPr>
            <w:tcW w:w="1276" w:type="dxa"/>
            <w:vAlign w:val="center"/>
          </w:tcPr>
          <w:p>
            <w:pPr>
              <w:pStyle w:val="单元格样式2"/>
            </w:pPr>
            <w:r>
              <w:t xml:space="preserve">6GHz</w:t>
            </w:r>
          </w:p>
        </w:tc>
        <w:tc>
          <w:tcPr>
            <w:tcW w:w="1843" w:type="dxa"/>
            <w:vAlign w:val="center"/>
          </w:tcPr>
          <w:p>
            <w:pPr>
              <w:pStyle w:val="单元格样式2"/>
            </w:pPr>
            <w:r>
              <w:t xml:space="preserve">国无办函[2022]40号</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省厅下达收费任务完成率</w:t>
            </w:r>
          </w:p>
        </w:tc>
        <w:tc>
          <w:tcPr>
            <w:tcW w:w="2891" w:type="dxa"/>
            <w:hMerge w:val="restart"/>
            <w:vAlign w:val="center"/>
          </w:tcPr>
          <w:p>
            <w:pPr>
              <w:pStyle w:val="单元格样式2"/>
            </w:pPr>
            <w:r>
              <w:t xml:space="preserve">省厅下达收费任务完成率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国无办函[2022]40号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服务对象满意率</w:t>
            </w:r>
          </w:p>
        </w:tc>
        <w:tc>
          <w:tcPr>
            <w:tcW w:w="2891" w:type="dxa"/>
            <w:hMerge w:val="restart"/>
            <w:vAlign w:val="center"/>
          </w:tcPr>
          <w:p>
            <w:pPr>
              <w:pStyle w:val="单元格样式2"/>
            </w:pPr>
            <w:r>
              <w:t xml:space="preserve">服务对象满意率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国无办函[2022]40号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15.招商工作经费绩效目标表</w:t>
      </w:r>
      <w:bookmarkEnd w:id="1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502001青岛市工业和信息化局本级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37020023P17000110021D</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招商工作经费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用于招商工作相关费用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10.00</w:t>
            </w:r>
          </w:p>
        </w:tc>
        <w:tc>
          <w:tcPr>
            <w:tcW w:w="0" w:type="auto"/>
            <w:hMerge/>
          </w:tcPr>
          <w:p>
            <w:pPr/>
          </w:p>
        </w:tc>
        <w:tc>
          <w:tcPr>
            <w:tcW w:w="1587" w:type="dxa"/>
            <w:vAlign w:val="center"/>
          </w:tcPr>
          <w:p>
            <w:pPr>
              <w:pStyle w:val="单元格样式3"/>
            </w:pPr>
            <w:r>
              <w:t xml:space="preserve">50.00</w:t>
            </w:r>
          </w:p>
        </w:tc>
        <w:tc>
          <w:tcPr>
            <w:tcW w:w="1304" w:type="dxa"/>
            <w:vAlign w:val="center"/>
          </w:tcPr>
          <w:p>
            <w:pPr>
              <w:pStyle w:val="单元格样式3"/>
            </w:pPr>
            <w:r>
              <w:t xml:space="preserve">90.00</w:t>
            </w:r>
          </w:p>
        </w:tc>
        <w:tc>
          <w:tcPr>
            <w:tcW w:w="3118" w:type="dxa"/>
            <w:hMerge w:val="restart"/>
            <w:vAlign w:val="center"/>
          </w:tcPr>
          <w:p>
            <w:pPr>
              <w:pStyle w:val="单元格样式3"/>
            </w:pPr>
            <w:r>
              <w:t xml:space="preserve">150.00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6.目标内容1积极对接企业，促进项目落地，保障招商引资工作顺利开展</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招商工作预算控制数</w:t>
            </w:r>
          </w:p>
        </w:tc>
        <w:tc>
          <w:tcPr>
            <w:tcW w:w="2891" w:type="dxa"/>
            <w:hMerge w:val="restart"/>
            <w:vAlign w:val="center"/>
          </w:tcPr>
          <w:p>
            <w:pPr>
              <w:pStyle w:val="单元格样式2"/>
            </w:pPr>
            <w:r>
              <w:t xml:space="preserve">招商工作预算控制数</w:t>
            </w:r>
          </w:p>
        </w:tc>
        <w:tc>
          <w:tcPr>
            <w:tcW w:w="0" w:type="auto"/>
            <w:hMerge/>
            <w:vAlign w:val="center"/>
          </w:tcPr>
          <w:p>
            <w:pPr/>
          </w:p>
        </w:tc>
        <w:tc>
          <w:tcPr>
            <w:tcW w:w="1276" w:type="dxa"/>
            <w:vAlign w:val="center"/>
          </w:tcPr>
          <w:p>
            <w:pPr>
              <w:pStyle w:val="单元格样式2"/>
            </w:pPr>
            <w:r>
              <w:t xml:space="preserve">≤150万元</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专家评审次数</w:t>
            </w:r>
          </w:p>
        </w:tc>
        <w:tc>
          <w:tcPr>
            <w:tcW w:w="2891" w:type="dxa"/>
            <w:hMerge w:val="restart"/>
            <w:vAlign w:val="center"/>
          </w:tcPr>
          <w:p>
            <w:pPr>
              <w:pStyle w:val="单元格样式2"/>
            </w:pPr>
            <w:r>
              <w:t xml:space="preserve">参与项目评审的专家评审次数</w:t>
            </w:r>
          </w:p>
        </w:tc>
        <w:tc>
          <w:tcPr>
            <w:tcW w:w="0" w:type="auto"/>
            <w:hMerge/>
            <w:vAlign w:val="center"/>
          </w:tcPr>
          <w:p>
            <w:pPr/>
          </w:p>
        </w:tc>
        <w:tc>
          <w:tcPr>
            <w:tcW w:w="1276" w:type="dxa"/>
            <w:vAlign w:val="center"/>
          </w:tcPr>
          <w:p>
            <w:pPr>
              <w:pStyle w:val="单元格样式2"/>
            </w:pPr>
            <w:r>
              <w:t xml:space="preserve">≥15次</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走访企业次数</w:t>
            </w:r>
          </w:p>
        </w:tc>
        <w:tc>
          <w:tcPr>
            <w:tcW w:w="2891" w:type="dxa"/>
            <w:hMerge w:val="restart"/>
            <w:vAlign w:val="center"/>
          </w:tcPr>
          <w:p>
            <w:pPr>
              <w:pStyle w:val="单元格样式2"/>
            </w:pPr>
            <w:r>
              <w:t xml:space="preserve">走访企业次数</w:t>
            </w:r>
          </w:p>
        </w:tc>
        <w:tc>
          <w:tcPr>
            <w:tcW w:w="0" w:type="auto"/>
            <w:hMerge/>
            <w:vAlign w:val="center"/>
          </w:tcPr>
          <w:p>
            <w:pPr/>
          </w:p>
        </w:tc>
        <w:tc>
          <w:tcPr>
            <w:tcW w:w="1276" w:type="dxa"/>
            <w:vAlign w:val="center"/>
          </w:tcPr>
          <w:p>
            <w:pPr>
              <w:pStyle w:val="单元格样式2"/>
            </w:pPr>
            <w:r>
              <w:t xml:space="preserve">≥20次</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资金使用合规率</w:t>
            </w:r>
          </w:p>
        </w:tc>
        <w:tc>
          <w:tcPr>
            <w:tcW w:w="2891" w:type="dxa"/>
            <w:hMerge w:val="restart"/>
            <w:vAlign w:val="center"/>
          </w:tcPr>
          <w:p>
            <w:pPr>
              <w:pStyle w:val="单元格样式2"/>
            </w:pPr>
            <w:r>
              <w:t xml:space="preserve">资金使用合规情况</w:t>
            </w:r>
          </w:p>
        </w:tc>
        <w:tc>
          <w:tcPr>
            <w:tcW w:w="0" w:type="auto"/>
            <w:hMerge/>
            <w:vAlign w:val="center"/>
          </w:tcPr>
          <w:p>
            <w:pPr/>
          </w:p>
        </w:tc>
        <w:tc>
          <w:tcPr>
            <w:tcW w:w="1276" w:type="dxa"/>
            <w:vAlign w:val="center"/>
          </w:tcPr>
          <w:p>
            <w:pPr>
              <w:pStyle w:val="单元格样式2"/>
            </w:pPr>
            <w:r>
              <w:t xml:space="preserve">100百分号</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项目验收合格率</w:t>
            </w:r>
          </w:p>
        </w:tc>
        <w:tc>
          <w:tcPr>
            <w:tcW w:w="2891" w:type="dxa"/>
            <w:hMerge w:val="restart"/>
            <w:vAlign w:val="center"/>
          </w:tcPr>
          <w:p>
            <w:pPr>
              <w:pStyle w:val="单元格样式2"/>
            </w:pPr>
            <w:r>
              <w:t xml:space="preserve">项目验收合格率</w:t>
            </w:r>
          </w:p>
        </w:tc>
        <w:tc>
          <w:tcPr>
            <w:tcW w:w="0" w:type="auto"/>
            <w:hMerge/>
            <w:vAlign w:val="center"/>
          </w:tcPr>
          <w:p>
            <w:pPr/>
          </w:p>
        </w:tc>
        <w:tc>
          <w:tcPr>
            <w:tcW w:w="1276" w:type="dxa"/>
            <w:vAlign w:val="center"/>
          </w:tcPr>
          <w:p>
            <w:pPr>
              <w:pStyle w:val="单元格样式2"/>
            </w:pPr>
            <w:r>
              <w:t xml:space="preserve">≥90百分号</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发放及时率</w:t>
            </w:r>
          </w:p>
        </w:tc>
        <w:tc>
          <w:tcPr>
            <w:tcW w:w="2891" w:type="dxa"/>
            <w:hMerge w:val="restart"/>
            <w:vAlign w:val="center"/>
          </w:tcPr>
          <w:p>
            <w:pPr>
              <w:pStyle w:val="单元格样式2"/>
            </w:pPr>
            <w:r>
              <w:t xml:space="preserve">发放及时率</w:t>
            </w:r>
          </w:p>
        </w:tc>
        <w:tc>
          <w:tcPr>
            <w:tcW w:w="0" w:type="auto"/>
            <w:hMerge/>
            <w:vAlign w:val="center"/>
          </w:tcPr>
          <w:p>
            <w:pPr/>
          </w:p>
        </w:tc>
        <w:tc>
          <w:tcPr>
            <w:tcW w:w="1276" w:type="dxa"/>
            <w:vAlign w:val="center"/>
          </w:tcPr>
          <w:p>
            <w:pPr>
              <w:pStyle w:val="单元格样式2"/>
            </w:pPr>
            <w:r>
              <w:t xml:space="preserve">100百分号</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保障招商引资工作顺利开展</w:t>
            </w:r>
          </w:p>
        </w:tc>
        <w:tc>
          <w:tcPr>
            <w:tcW w:w="2891" w:type="dxa"/>
            <w:hMerge w:val="restart"/>
            <w:vAlign w:val="center"/>
          </w:tcPr>
          <w:p>
            <w:pPr>
              <w:pStyle w:val="单元格样式2"/>
            </w:pPr>
            <w:r>
              <w:t xml:space="preserve">保障招商引资工作顺利开展</w:t>
            </w:r>
          </w:p>
        </w:tc>
        <w:tc>
          <w:tcPr>
            <w:tcW w:w="0" w:type="auto"/>
            <w:hMerge/>
            <w:vAlign w:val="center"/>
          </w:tcPr>
          <w:p>
            <w:pPr/>
          </w:p>
        </w:tc>
        <w:tc>
          <w:tcPr>
            <w:tcW w:w="1276" w:type="dxa"/>
            <w:vAlign w:val="center"/>
          </w:tcPr>
          <w:p>
            <w:pPr>
              <w:pStyle w:val="单元格样式2"/>
            </w:pPr>
            <w:r>
              <w:t xml:space="preserve">有效保障</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≥90百分号</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color w:val="000000"/>
          <w:sz w:val="28"/>
        </w:rPr>
        <w:t xml:space="preserve">16.支持化工产业转型升级资金绩效目标表</w:t>
      </w:r>
      <w:bookmarkEnd w:id="1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502001青岛市工业和信息化局本级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37020023P130002100316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支持化工产业转型升级资金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支持化工产业转型升级资金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6.为400多家化工企业购买化工产业安全环保公众责任保险（以下简称“化工险”）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化工产业转型升级预算控制数</w:t>
            </w:r>
          </w:p>
        </w:tc>
        <w:tc>
          <w:tcPr>
            <w:tcW w:w="2891" w:type="dxa"/>
            <w:hMerge w:val="restart"/>
            <w:vAlign w:val="center"/>
          </w:tcPr>
          <w:p>
            <w:pPr>
              <w:pStyle w:val="单元格样式2"/>
            </w:pPr>
            <w:r>
              <w:t xml:space="preserve">化工产业转型升级预算控制数</w:t>
            </w:r>
          </w:p>
        </w:tc>
        <w:tc>
          <w:tcPr>
            <w:tcW w:w="0" w:type="auto"/>
            <w:hMerge/>
            <w:vAlign w:val="center"/>
          </w:tcPr>
          <w:p>
            <w:pPr/>
          </w:p>
        </w:tc>
        <w:tc>
          <w:tcPr>
            <w:tcW w:w="1276" w:type="dxa"/>
            <w:vAlign w:val="center"/>
          </w:tcPr>
          <w:p>
            <w:pPr>
              <w:pStyle w:val="单元格样式2"/>
            </w:pPr>
            <w:r>
              <w:t xml:space="preserve">≤1000万元</w:t>
            </w:r>
          </w:p>
        </w:tc>
        <w:tc>
          <w:tcPr>
            <w:tcW w:w="1843" w:type="dxa"/>
            <w:vAlign w:val="center"/>
          </w:tcPr>
          <w:p>
            <w:pPr>
              <w:pStyle w:val="单元格样式2"/>
            </w:pPr>
            <w:r>
              <w:t xml:space="preserve">计划标准（青政发〔2021〕18号文件）</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购买“化工险”数量</w:t>
            </w:r>
          </w:p>
        </w:tc>
        <w:tc>
          <w:tcPr>
            <w:tcW w:w="2891" w:type="dxa"/>
            <w:hMerge w:val="restart"/>
            <w:vAlign w:val="center"/>
          </w:tcPr>
          <w:p>
            <w:pPr>
              <w:pStyle w:val="单元格样式2"/>
            </w:pPr>
            <w:r>
              <w:t xml:space="preserve">为化工企业购买“化工险”数量</w:t>
            </w:r>
          </w:p>
        </w:tc>
        <w:tc>
          <w:tcPr>
            <w:tcW w:w="0" w:type="auto"/>
            <w:hMerge/>
            <w:vAlign w:val="center"/>
          </w:tcPr>
          <w:p>
            <w:pPr/>
          </w:p>
        </w:tc>
        <w:tc>
          <w:tcPr>
            <w:tcW w:w="1276" w:type="dxa"/>
            <w:vAlign w:val="center"/>
          </w:tcPr>
          <w:p>
            <w:pPr>
              <w:pStyle w:val="单元格样式2"/>
            </w:pPr>
            <w:r>
              <w:t xml:space="preserve">≥400家</w:t>
            </w:r>
          </w:p>
        </w:tc>
        <w:tc>
          <w:tcPr>
            <w:tcW w:w="1843" w:type="dxa"/>
            <w:vAlign w:val="center"/>
          </w:tcPr>
          <w:p>
            <w:pPr>
              <w:pStyle w:val="单元格样式2"/>
            </w:pPr>
            <w:r>
              <w:t xml:space="preserve">计划标准（青政发〔2021〕18号）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为被保险企业开展风险防控服务和员工培训次数</w:t>
            </w:r>
          </w:p>
        </w:tc>
        <w:tc>
          <w:tcPr>
            <w:tcW w:w="2891" w:type="dxa"/>
            <w:hMerge w:val="restart"/>
            <w:vAlign w:val="center"/>
          </w:tcPr>
          <w:p>
            <w:pPr>
              <w:pStyle w:val="单元格样式2"/>
            </w:pPr>
            <w:r>
              <w:t xml:space="preserve">为被保险企业开展风险防控服务和员工培训次数</w:t>
            </w:r>
          </w:p>
        </w:tc>
        <w:tc>
          <w:tcPr>
            <w:tcW w:w="0" w:type="auto"/>
            <w:hMerge/>
            <w:vAlign w:val="center"/>
          </w:tcPr>
          <w:p>
            <w:pPr/>
          </w:p>
        </w:tc>
        <w:tc>
          <w:tcPr>
            <w:tcW w:w="1276" w:type="dxa"/>
            <w:vAlign w:val="center"/>
          </w:tcPr>
          <w:p>
            <w:pPr>
              <w:pStyle w:val="单元格样式2"/>
            </w:pPr>
            <w:r>
              <w:t xml:space="preserve">≥400次</w:t>
            </w:r>
          </w:p>
        </w:tc>
        <w:tc>
          <w:tcPr>
            <w:tcW w:w="1843" w:type="dxa"/>
            <w:vAlign w:val="center"/>
          </w:tcPr>
          <w:p>
            <w:pPr>
              <w:pStyle w:val="单元格样式2"/>
            </w:pPr>
            <w:r>
              <w:t xml:space="preserve">其他标准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奖补对象政策符合度</w:t>
            </w:r>
          </w:p>
        </w:tc>
        <w:tc>
          <w:tcPr>
            <w:tcW w:w="2891" w:type="dxa"/>
            <w:hMerge w:val="restart"/>
            <w:vAlign w:val="center"/>
          </w:tcPr>
          <w:p>
            <w:pPr>
              <w:pStyle w:val="单元格样式2"/>
            </w:pPr>
            <w:r>
              <w:t xml:space="preserve">奖补对象政策符合情况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计划标准（青政发〔2021〕18号文件）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资金使用合规率</w:t>
            </w:r>
          </w:p>
        </w:tc>
        <w:tc>
          <w:tcPr>
            <w:tcW w:w="2891" w:type="dxa"/>
            <w:hMerge w:val="restart"/>
            <w:vAlign w:val="center"/>
          </w:tcPr>
          <w:p>
            <w:pPr>
              <w:pStyle w:val="单元格样式2"/>
            </w:pPr>
            <w:r>
              <w:t xml:space="preserve">资金主管部门在资金使用过程中合法合规情况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计划标准（青工信字〔2019〕28号文件）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“化工险”项目资金拨付时间</w:t>
            </w:r>
          </w:p>
        </w:tc>
        <w:tc>
          <w:tcPr>
            <w:tcW w:w="2891" w:type="dxa"/>
            <w:hMerge w:val="restart"/>
            <w:vAlign w:val="center"/>
          </w:tcPr>
          <w:p>
            <w:pPr>
              <w:pStyle w:val="单元格样式2"/>
            </w:pPr>
            <w:r>
              <w:t xml:space="preserve">“化工险”项目资金拨付时间</w:t>
            </w:r>
          </w:p>
        </w:tc>
        <w:tc>
          <w:tcPr>
            <w:tcW w:w="0" w:type="auto"/>
            <w:hMerge/>
            <w:vAlign w:val="center"/>
          </w:tcPr>
          <w:p>
            <w:pPr/>
          </w:p>
        </w:tc>
        <w:tc>
          <w:tcPr>
            <w:tcW w:w="1276" w:type="dxa"/>
            <w:vAlign w:val="center"/>
          </w:tcPr>
          <w:p>
            <w:pPr>
              <w:pStyle w:val="单元格样式2"/>
            </w:pPr>
            <w:r>
              <w:t xml:space="preserve">≤12.05月|日</w:t>
            </w:r>
          </w:p>
        </w:tc>
        <w:tc>
          <w:tcPr>
            <w:tcW w:w="1843" w:type="dxa"/>
            <w:vAlign w:val="center"/>
          </w:tcPr>
          <w:p>
            <w:pPr>
              <w:pStyle w:val="单元格样式2"/>
            </w:pPr>
            <w:r>
              <w:t xml:space="preserve">计划标准（市财政预算下达文件）</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排查发现的企业安全隐患整改率</w:t>
            </w:r>
          </w:p>
        </w:tc>
        <w:tc>
          <w:tcPr>
            <w:tcW w:w="2891" w:type="dxa"/>
            <w:hMerge w:val="restart"/>
            <w:vAlign w:val="center"/>
          </w:tcPr>
          <w:p>
            <w:pPr>
              <w:pStyle w:val="单元格样式2"/>
            </w:pPr>
            <w:r>
              <w:t xml:space="preserve">针对排查发现的安全隐患，督促企业依法依规整改情况</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其他标准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hMerge w:val="restart"/>
            <w:vAlign w:val="center"/>
          </w:tcPr>
          <w:p>
            <w:pPr>
              <w:pStyle w:val="单元格样式2"/>
            </w:pPr>
            <w:r>
              <w:t xml:space="preserve">被保险企业满意度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其他标准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 w:name="_Toc_4_4_0000000017"/>
      <w:r>
        <w:rPr>
          <w:rFonts w:ascii="方正仿宋_GBK" w:eastAsia="方正仿宋_GBK" w:hAnsi="方正仿宋_GBK" w:cs="方正仿宋_GBK"/>
          <w:color w:val="000000"/>
          <w:sz w:val="28"/>
        </w:rPr>
        <w:t xml:space="preserve">17.制造业开拓市场资金绩效目标表</w:t>
      </w:r>
      <w:bookmarkEnd w:id="1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502001青岛市工业和信息化局本级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37020023P13000210025Q</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制造业开拓市场资金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制造业开拓市场资金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180.00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6.1.组织5家协会参与活动。</w:t>
            </w:r>
          </w:p>
          <w:p>
            <w:pPr>
              <w:pStyle w:val="单元格样式2"/>
            </w:pPr>
            <w:r>
              <w:t xml:space="preserve">2.帮助参与企业实现合同和意向订单超过2亿元。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企业补贴金额</w:t>
            </w:r>
          </w:p>
        </w:tc>
        <w:tc>
          <w:tcPr>
            <w:tcW w:w="2891" w:type="dxa"/>
            <w:hMerge w:val="restart"/>
            <w:vAlign w:val="center"/>
          </w:tcPr>
          <w:p>
            <w:pPr>
              <w:pStyle w:val="单元格样式2"/>
            </w:pPr>
            <w:r>
              <w:t xml:space="preserve">参与活动企业补贴资金标准</w:t>
            </w:r>
          </w:p>
        </w:tc>
        <w:tc>
          <w:tcPr>
            <w:tcW w:w="0" w:type="auto"/>
            <w:hMerge/>
            <w:vAlign w:val="center"/>
          </w:tcPr>
          <w:p>
            <w:pPr/>
          </w:p>
        </w:tc>
        <w:tc>
          <w:tcPr>
            <w:tcW w:w="1276" w:type="dxa"/>
            <w:vAlign w:val="center"/>
          </w:tcPr>
          <w:p>
            <w:pPr>
              <w:pStyle w:val="单元格样式2"/>
            </w:pPr>
            <w:r>
              <w:t xml:space="preserve">≤10万元|家</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协会补贴金额</w:t>
            </w:r>
          </w:p>
        </w:tc>
        <w:tc>
          <w:tcPr>
            <w:tcW w:w="2891" w:type="dxa"/>
            <w:hMerge w:val="restart"/>
            <w:vAlign w:val="center"/>
          </w:tcPr>
          <w:p>
            <w:pPr>
              <w:pStyle w:val="单元格样式2"/>
            </w:pPr>
            <w:r>
              <w:t xml:space="preserve">参与活动协会补贴资金标准</w:t>
            </w:r>
          </w:p>
        </w:tc>
        <w:tc>
          <w:tcPr>
            <w:tcW w:w="0" w:type="auto"/>
            <w:hMerge/>
            <w:vAlign w:val="center"/>
          </w:tcPr>
          <w:p>
            <w:pPr/>
          </w:p>
        </w:tc>
        <w:tc>
          <w:tcPr>
            <w:tcW w:w="1276" w:type="dxa"/>
            <w:vAlign w:val="center"/>
          </w:tcPr>
          <w:p>
            <w:pPr>
              <w:pStyle w:val="单元格样式2"/>
            </w:pPr>
            <w:r>
              <w:t xml:space="preserve">≤50万元|家</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开展活动数量</w:t>
            </w:r>
          </w:p>
        </w:tc>
        <w:tc>
          <w:tcPr>
            <w:tcW w:w="2891" w:type="dxa"/>
            <w:hMerge w:val="restart"/>
            <w:vAlign w:val="center"/>
          </w:tcPr>
          <w:p>
            <w:pPr>
              <w:pStyle w:val="单元格样式2"/>
            </w:pPr>
            <w:r>
              <w:t xml:space="preserve">开展活动数量</w:t>
            </w:r>
          </w:p>
        </w:tc>
        <w:tc>
          <w:tcPr>
            <w:tcW w:w="0" w:type="auto"/>
            <w:hMerge/>
            <w:vAlign w:val="center"/>
          </w:tcPr>
          <w:p>
            <w:pPr/>
          </w:p>
        </w:tc>
        <w:tc>
          <w:tcPr>
            <w:tcW w:w="1276" w:type="dxa"/>
            <w:vAlign w:val="center"/>
          </w:tcPr>
          <w:p>
            <w:pPr>
              <w:pStyle w:val="单元格样式2"/>
            </w:pPr>
            <w:r>
              <w:t xml:space="preserve">≤5次 </w:t>
            </w:r>
          </w:p>
        </w:tc>
        <w:tc>
          <w:tcPr>
            <w:tcW w:w="1843" w:type="dxa"/>
            <w:vAlign w:val="center"/>
          </w:tcPr>
          <w:p>
            <w:pPr>
              <w:pStyle w:val="单元格样式2"/>
            </w:pPr>
            <w:r>
              <w:t xml:space="preserve">历史标准</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参与协会数量</w:t>
            </w:r>
          </w:p>
        </w:tc>
        <w:tc>
          <w:tcPr>
            <w:tcW w:w="2891" w:type="dxa"/>
            <w:hMerge w:val="restart"/>
            <w:vAlign w:val="center"/>
          </w:tcPr>
          <w:p>
            <w:pPr>
              <w:pStyle w:val="单元格样式2"/>
            </w:pPr>
            <w:r>
              <w:t xml:space="preserve">参与协会数量</w:t>
            </w:r>
          </w:p>
        </w:tc>
        <w:tc>
          <w:tcPr>
            <w:tcW w:w="0" w:type="auto"/>
            <w:hMerge/>
            <w:vAlign w:val="center"/>
          </w:tcPr>
          <w:p>
            <w:pPr/>
          </w:p>
        </w:tc>
        <w:tc>
          <w:tcPr>
            <w:tcW w:w="1276" w:type="dxa"/>
            <w:vAlign w:val="center"/>
          </w:tcPr>
          <w:p>
            <w:pPr>
              <w:pStyle w:val="单元格样式2"/>
            </w:pPr>
            <w:r>
              <w:t xml:space="preserve">≤5家 </w:t>
            </w:r>
          </w:p>
        </w:tc>
        <w:tc>
          <w:tcPr>
            <w:tcW w:w="1843" w:type="dxa"/>
            <w:vAlign w:val="center"/>
          </w:tcPr>
          <w:p>
            <w:pPr>
              <w:pStyle w:val="单元格样式2"/>
            </w:pPr>
            <w:r>
              <w:t xml:space="preserve">历史标准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奖补对象政策符合率</w:t>
            </w:r>
          </w:p>
        </w:tc>
        <w:tc>
          <w:tcPr>
            <w:tcW w:w="2891" w:type="dxa"/>
            <w:hMerge w:val="restart"/>
            <w:vAlign w:val="center"/>
          </w:tcPr>
          <w:p>
            <w:pPr>
              <w:pStyle w:val="单元格样式2"/>
            </w:pPr>
            <w:r>
              <w:t xml:space="preserve">奖补对象政策符合率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活动内容与协会和企业需求匹配率</w:t>
            </w:r>
          </w:p>
        </w:tc>
        <w:tc>
          <w:tcPr>
            <w:tcW w:w="2891" w:type="dxa"/>
            <w:hMerge w:val="restart"/>
            <w:vAlign w:val="center"/>
          </w:tcPr>
          <w:p>
            <w:pPr>
              <w:pStyle w:val="单元格样式2"/>
            </w:pPr>
            <w:r>
              <w:t xml:space="preserve">活动内容与协会和企业需求匹配情况</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历史标准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完成时限</w:t>
            </w:r>
          </w:p>
        </w:tc>
        <w:tc>
          <w:tcPr>
            <w:tcW w:w="2891" w:type="dxa"/>
            <w:hMerge w:val="restart"/>
            <w:vAlign w:val="center"/>
          </w:tcPr>
          <w:p>
            <w:pPr>
              <w:pStyle w:val="单元格样式2"/>
            </w:pPr>
            <w:r>
              <w:t xml:space="preserve">活动项目完成时间</w:t>
            </w:r>
          </w:p>
        </w:tc>
        <w:tc>
          <w:tcPr>
            <w:tcW w:w="0" w:type="auto"/>
            <w:hMerge/>
            <w:vAlign w:val="center"/>
          </w:tcPr>
          <w:p>
            <w:pPr/>
          </w:p>
        </w:tc>
        <w:tc>
          <w:tcPr>
            <w:tcW w:w="1276" w:type="dxa"/>
            <w:vAlign w:val="center"/>
          </w:tcPr>
          <w:p>
            <w:pPr>
              <w:pStyle w:val="单元格样式2"/>
            </w:pPr>
            <w:r>
              <w:t xml:space="preserve">≤12月份</w:t>
            </w:r>
          </w:p>
        </w:tc>
        <w:tc>
          <w:tcPr>
            <w:tcW w:w="1843" w:type="dxa"/>
            <w:vAlign w:val="center"/>
          </w:tcPr>
          <w:p>
            <w:pPr>
              <w:pStyle w:val="单元格样式2"/>
            </w:pPr>
            <w:r>
              <w:t xml:space="preserve">历史标准</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意向成交额</w:t>
            </w:r>
          </w:p>
        </w:tc>
        <w:tc>
          <w:tcPr>
            <w:tcW w:w="2891" w:type="dxa"/>
            <w:hMerge w:val="restart"/>
            <w:vAlign w:val="center"/>
          </w:tcPr>
          <w:p>
            <w:pPr>
              <w:pStyle w:val="单元格样式2"/>
            </w:pPr>
            <w:r>
              <w:t xml:space="preserve">活动期间意向成交额</w:t>
            </w:r>
          </w:p>
        </w:tc>
        <w:tc>
          <w:tcPr>
            <w:tcW w:w="0" w:type="auto"/>
            <w:hMerge/>
            <w:vAlign w:val="center"/>
          </w:tcPr>
          <w:p>
            <w:pPr/>
          </w:p>
        </w:tc>
        <w:tc>
          <w:tcPr>
            <w:tcW w:w="1276" w:type="dxa"/>
            <w:vAlign w:val="center"/>
          </w:tcPr>
          <w:p>
            <w:pPr>
              <w:pStyle w:val="单元格样式2"/>
            </w:pPr>
            <w:r>
              <w:t xml:space="preserve">≥2亿元</w:t>
            </w:r>
          </w:p>
        </w:tc>
        <w:tc>
          <w:tcPr>
            <w:tcW w:w="1843" w:type="dxa"/>
            <w:vAlign w:val="center"/>
          </w:tcPr>
          <w:p>
            <w:pPr>
              <w:pStyle w:val="单元格样式2"/>
            </w:pPr>
            <w:r>
              <w:t xml:space="preserve">其他标准</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企业满意率</w:t>
            </w:r>
          </w:p>
        </w:tc>
        <w:tc>
          <w:tcPr>
            <w:tcW w:w="2891" w:type="dxa"/>
            <w:hMerge w:val="restart"/>
            <w:vAlign w:val="center"/>
          </w:tcPr>
          <w:p>
            <w:pPr>
              <w:pStyle w:val="单元格样式2"/>
            </w:pPr>
            <w:r>
              <w:t xml:space="preserve">表示参与活动企业满意率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历史标准</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协会满意率</w:t>
            </w:r>
          </w:p>
        </w:tc>
        <w:tc>
          <w:tcPr>
            <w:tcW w:w="2891" w:type="dxa"/>
            <w:hMerge w:val="restart"/>
            <w:vAlign w:val="center"/>
          </w:tcPr>
          <w:p>
            <w:pPr>
              <w:pStyle w:val="单元格样式2"/>
            </w:pPr>
            <w:r>
              <w:t xml:space="preserve">表示参与活动协会满意度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历史标准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 w:name="_Toc_4_4_0000000018"/>
      <w:r>
        <w:rPr>
          <w:rFonts w:ascii="方正仿宋_GBK" w:eastAsia="方正仿宋_GBK" w:hAnsi="方正仿宋_GBK" w:cs="方正仿宋_GBK"/>
          <w:color w:val="000000"/>
          <w:sz w:val="28"/>
        </w:rPr>
        <w:t xml:space="preserve">18.智能网联汽车专项资金绩效目标表</w:t>
      </w:r>
      <w:bookmarkEnd w:id="1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502001青岛市工业和信息化局本级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37020023P130001100201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智能网联汽车专项资金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343.14</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343.14</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智能网联汽车专项资金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343.14</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6.1.开放青岛智能网联汽车测试与示范道路（区域）</w:t>
            </w:r>
          </w:p>
          <w:p>
            <w:pPr>
              <w:pStyle w:val="单元格样式2"/>
            </w:pPr>
            <w:r>
              <w:t xml:space="preserve">2.发放智能网联汽车道路测试许可</w:t>
            </w:r>
          </w:p>
          <w:p>
            <w:pPr>
              <w:pStyle w:val="单元格样式2"/>
            </w:pPr>
            <w:r>
              <w:t xml:space="preserve">3.智能网联汽车（装备）测试管理与指导</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购买智能网联汽车道路测试与示范应用第三方机构服务费用</w:t>
            </w:r>
          </w:p>
        </w:tc>
        <w:tc>
          <w:tcPr>
            <w:tcW w:w="2891" w:type="dxa"/>
            <w:hMerge w:val="restart"/>
            <w:vAlign w:val="center"/>
          </w:tcPr>
          <w:p>
            <w:pPr>
              <w:pStyle w:val="单元格样式2"/>
            </w:pPr>
            <w:r>
              <w:t xml:space="preserve">使用专项资金用于购买智能网联汽车道路测试与示范应用第三方机构服务费用</w:t>
            </w:r>
          </w:p>
        </w:tc>
        <w:tc>
          <w:tcPr>
            <w:tcW w:w="0" w:type="auto"/>
            <w:hMerge/>
            <w:vAlign w:val="center"/>
          </w:tcPr>
          <w:p>
            <w:pPr/>
          </w:p>
        </w:tc>
        <w:tc>
          <w:tcPr>
            <w:tcW w:w="1276" w:type="dxa"/>
            <w:vAlign w:val="center"/>
          </w:tcPr>
          <w:p>
            <w:pPr>
              <w:pStyle w:val="单元格样式2"/>
            </w:pPr>
            <w:r>
              <w:t xml:space="preserve">≤343.14万元</w:t>
            </w:r>
          </w:p>
        </w:tc>
        <w:tc>
          <w:tcPr>
            <w:tcW w:w="1843" w:type="dxa"/>
            <w:vAlign w:val="center"/>
          </w:tcPr>
          <w:p>
            <w:pPr>
              <w:pStyle w:val="单元格样式2"/>
            </w:pPr>
            <w:r>
              <w:t xml:space="preserve">《青岛市智能网联汽车道路测试与示范应用管理实施细则》（青工信规〔2022〕1号）</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青岛市智能网联汽车道路测试与示范应用先行示范新增区域（或道路）数量</w:t>
            </w:r>
          </w:p>
        </w:tc>
        <w:tc>
          <w:tcPr>
            <w:tcW w:w="2891" w:type="dxa"/>
            <w:hMerge w:val="restart"/>
            <w:vAlign w:val="center"/>
          </w:tcPr>
          <w:p>
            <w:pPr>
              <w:pStyle w:val="单元格样式2"/>
            </w:pPr>
            <w:r>
              <w:t xml:space="preserve">青岛市智能网联汽车道路测试与示范应用先行示范新增区域（或道路）数量</w:t>
            </w:r>
          </w:p>
        </w:tc>
        <w:tc>
          <w:tcPr>
            <w:tcW w:w="0" w:type="auto"/>
            <w:hMerge/>
            <w:vAlign w:val="center"/>
          </w:tcPr>
          <w:p>
            <w:pPr/>
          </w:p>
        </w:tc>
        <w:tc>
          <w:tcPr>
            <w:tcW w:w="1276" w:type="dxa"/>
            <w:vAlign w:val="center"/>
          </w:tcPr>
          <w:p>
            <w:pPr>
              <w:pStyle w:val="单元格样式2"/>
            </w:pPr>
            <w:r>
              <w:t xml:space="preserve">≥2个</w:t>
            </w:r>
          </w:p>
        </w:tc>
        <w:tc>
          <w:tcPr>
            <w:tcW w:w="1843" w:type="dxa"/>
            <w:vAlign w:val="center"/>
          </w:tcPr>
          <w:p>
            <w:pPr>
              <w:pStyle w:val="单元格样式2"/>
            </w:pPr>
            <w:r>
              <w:t xml:space="preserve">其他标准</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进行道路测试与示范应用的智能网联汽车（或装备）上路许可合计数量</w:t>
            </w:r>
          </w:p>
        </w:tc>
        <w:tc>
          <w:tcPr>
            <w:tcW w:w="2891" w:type="dxa"/>
            <w:hMerge w:val="restart"/>
            <w:vAlign w:val="center"/>
          </w:tcPr>
          <w:p>
            <w:pPr>
              <w:pStyle w:val="单元格样式2"/>
            </w:pPr>
            <w:r>
              <w:t xml:space="preserve">进行道路测试与示范应用的智能网联汽车（或装备）上路许可合计数量</w:t>
            </w:r>
          </w:p>
        </w:tc>
        <w:tc>
          <w:tcPr>
            <w:tcW w:w="0" w:type="auto"/>
            <w:hMerge/>
            <w:vAlign w:val="center"/>
          </w:tcPr>
          <w:p>
            <w:pPr/>
          </w:p>
        </w:tc>
        <w:tc>
          <w:tcPr>
            <w:tcW w:w="1276" w:type="dxa"/>
            <w:vAlign w:val="center"/>
          </w:tcPr>
          <w:p>
            <w:pPr>
              <w:pStyle w:val="单元格样式2"/>
            </w:pPr>
            <w:r>
              <w:t xml:space="preserve">≥15个</w:t>
            </w:r>
          </w:p>
        </w:tc>
        <w:tc>
          <w:tcPr>
            <w:tcW w:w="1843" w:type="dxa"/>
            <w:vAlign w:val="center"/>
          </w:tcPr>
          <w:p>
            <w:pPr>
              <w:pStyle w:val="单元格样式2"/>
            </w:pPr>
            <w:r>
              <w:t xml:space="preserve">其他标准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资金使用合规率</w:t>
            </w:r>
          </w:p>
        </w:tc>
        <w:tc>
          <w:tcPr>
            <w:tcW w:w="2891" w:type="dxa"/>
            <w:hMerge w:val="restart"/>
            <w:vAlign w:val="center"/>
          </w:tcPr>
          <w:p>
            <w:pPr>
              <w:pStyle w:val="单元格样式2"/>
            </w:pPr>
            <w:r>
              <w:t xml:space="preserve">资金主管部门在资金使用过程中合法合规情况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计划标准（青工信字〔2019〕28号文件）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智能网联道路测试与示范应用主体与相关规定的符合率</w:t>
            </w:r>
          </w:p>
        </w:tc>
        <w:tc>
          <w:tcPr>
            <w:tcW w:w="2891" w:type="dxa"/>
            <w:hMerge w:val="restart"/>
            <w:vAlign w:val="center"/>
          </w:tcPr>
          <w:p>
            <w:pPr>
              <w:pStyle w:val="单元格样式2"/>
            </w:pPr>
            <w:r>
              <w:t xml:space="preserve">智能网联道路测试与示范应用主体与相关规定的符合情况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《青岛市智能网联汽车道路测试与示范应用管理实施细则》（青工信规〔2022〕1号）等有关规定</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智能网联汽车道路测试与示范应用主体主体审核周期</w:t>
            </w:r>
          </w:p>
        </w:tc>
        <w:tc>
          <w:tcPr>
            <w:tcW w:w="2891" w:type="dxa"/>
            <w:hMerge w:val="restart"/>
            <w:vAlign w:val="center"/>
          </w:tcPr>
          <w:p>
            <w:pPr>
              <w:pStyle w:val="单元格样式2"/>
            </w:pPr>
            <w:r>
              <w:t xml:space="preserve">智能网联汽车道路测试与示范应用主体主体审核周期</w:t>
            </w:r>
          </w:p>
        </w:tc>
        <w:tc>
          <w:tcPr>
            <w:tcW w:w="0" w:type="auto"/>
            <w:hMerge/>
            <w:vAlign w:val="center"/>
          </w:tcPr>
          <w:p>
            <w:pPr/>
          </w:p>
        </w:tc>
        <w:tc>
          <w:tcPr>
            <w:tcW w:w="1276" w:type="dxa"/>
            <w:vAlign w:val="center"/>
          </w:tcPr>
          <w:p>
            <w:pPr>
              <w:pStyle w:val="单元格样式2"/>
            </w:pPr>
            <w:r>
              <w:t xml:space="preserve">≤2个月</w:t>
            </w:r>
          </w:p>
        </w:tc>
        <w:tc>
          <w:tcPr>
            <w:tcW w:w="1843" w:type="dxa"/>
            <w:vAlign w:val="center"/>
          </w:tcPr>
          <w:p>
            <w:pPr>
              <w:pStyle w:val="单元格样式2"/>
            </w:pPr>
            <w:r>
              <w:t xml:space="preserve">其他标准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招引智能网联产业链企业落户青岛</w:t>
            </w:r>
          </w:p>
        </w:tc>
        <w:tc>
          <w:tcPr>
            <w:tcW w:w="2891" w:type="dxa"/>
            <w:hMerge w:val="restart"/>
            <w:vAlign w:val="center"/>
          </w:tcPr>
          <w:p>
            <w:pPr>
              <w:pStyle w:val="单元格样式2"/>
            </w:pPr>
            <w:r>
              <w:t xml:space="preserve">新增智能网联汽车产业链企业</w:t>
            </w:r>
          </w:p>
        </w:tc>
        <w:tc>
          <w:tcPr>
            <w:tcW w:w="0" w:type="auto"/>
            <w:hMerge/>
            <w:vAlign w:val="center"/>
          </w:tcPr>
          <w:p>
            <w:pPr/>
          </w:p>
        </w:tc>
        <w:tc>
          <w:tcPr>
            <w:tcW w:w="1276" w:type="dxa"/>
            <w:vAlign w:val="center"/>
          </w:tcPr>
          <w:p>
            <w:pPr>
              <w:pStyle w:val="单元格样式2"/>
            </w:pPr>
            <w:r>
              <w:t xml:space="preserve">≥2家</w:t>
            </w:r>
          </w:p>
        </w:tc>
        <w:tc>
          <w:tcPr>
            <w:tcW w:w="1843" w:type="dxa"/>
            <w:vAlign w:val="center"/>
          </w:tcPr>
          <w:p>
            <w:pPr>
              <w:pStyle w:val="单元格样式2"/>
            </w:pPr>
            <w:r>
              <w:t xml:space="preserve">其他标准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编写智能网联汽车产业分析报告</w:t>
            </w:r>
          </w:p>
        </w:tc>
        <w:tc>
          <w:tcPr>
            <w:tcW w:w="2891" w:type="dxa"/>
            <w:hMerge w:val="restart"/>
            <w:vAlign w:val="center"/>
          </w:tcPr>
          <w:p>
            <w:pPr>
              <w:pStyle w:val="单元格样式2"/>
            </w:pPr>
            <w:r>
              <w:t xml:space="preserve">编写智能网联汽车产业报告</w:t>
            </w:r>
          </w:p>
        </w:tc>
        <w:tc>
          <w:tcPr>
            <w:tcW w:w="0" w:type="auto"/>
            <w:hMerge/>
            <w:vAlign w:val="center"/>
          </w:tcPr>
          <w:p>
            <w:pPr/>
          </w:p>
        </w:tc>
        <w:tc>
          <w:tcPr>
            <w:tcW w:w="1276" w:type="dxa"/>
            <w:vAlign w:val="center"/>
          </w:tcPr>
          <w:p>
            <w:pPr>
              <w:pStyle w:val="单元格样式2"/>
            </w:pPr>
            <w:r>
              <w:t xml:space="preserve">≥4个</w:t>
            </w:r>
          </w:p>
        </w:tc>
        <w:tc>
          <w:tcPr>
            <w:tcW w:w="1843" w:type="dxa"/>
            <w:vAlign w:val="center"/>
          </w:tcPr>
          <w:p>
            <w:pPr>
              <w:pStyle w:val="单元格样式2"/>
            </w:pPr>
            <w:r>
              <w:t xml:space="preserve">其他标准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接受服务的智能网联汽车道路测试与示范应用主体的满意度</w:t>
            </w:r>
          </w:p>
        </w:tc>
        <w:tc>
          <w:tcPr>
            <w:tcW w:w="2891" w:type="dxa"/>
            <w:hMerge w:val="restart"/>
            <w:vAlign w:val="center"/>
          </w:tcPr>
          <w:p>
            <w:pPr>
              <w:pStyle w:val="单元格样式2"/>
            </w:pPr>
            <w:r>
              <w:t xml:space="preserve">智能网联汽车道路测试与示范应用主体满意度对项目实施效果的满意程度 </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其他标准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 w:name="_Toc_4_4_0000000019"/>
      <w:r>
        <w:rPr>
          <w:rFonts w:ascii="方正仿宋_GBK" w:eastAsia="方正仿宋_GBK" w:hAnsi="方正仿宋_GBK" w:cs="方正仿宋_GBK"/>
          <w:color w:val="000000"/>
          <w:sz w:val="28"/>
        </w:rPr>
        <w:t xml:space="preserve">19.无线电监测管理经费绩效目标表</w:t>
      </w:r>
      <w:bookmarkEnd w:id="1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502002青岛市无线电监测站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37020023P880028110027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无线电监测管理经费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用于无线电监测业务日常运转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1.50</w:t>
            </w:r>
          </w:p>
        </w:tc>
        <w:tc>
          <w:tcPr>
            <w:tcW w:w="0" w:type="auto"/>
            <w:hMerge/>
          </w:tcPr>
          <w:p>
            <w:pPr/>
          </w:p>
        </w:tc>
        <w:tc>
          <w:tcPr>
            <w:tcW w:w="1587" w:type="dxa"/>
            <w:vAlign w:val="center"/>
          </w:tcPr>
          <w:p>
            <w:pPr>
              <w:pStyle w:val="单元格样式3"/>
            </w:pPr>
            <w:r>
              <w:t xml:space="preserve">3.00</w:t>
            </w:r>
          </w:p>
        </w:tc>
        <w:tc>
          <w:tcPr>
            <w:tcW w:w="1304" w:type="dxa"/>
            <w:vAlign w:val="center"/>
          </w:tcPr>
          <w:p>
            <w:pPr>
              <w:pStyle w:val="单元格样式3"/>
            </w:pPr>
            <w:r>
              <w:t xml:space="preserve">4.50</w:t>
            </w:r>
          </w:p>
        </w:tc>
        <w:tc>
          <w:tcPr>
            <w:tcW w:w="3118" w:type="dxa"/>
            <w:hMerge w:val="restart"/>
            <w:vAlign w:val="center"/>
          </w:tcPr>
          <w:p>
            <w:pPr>
              <w:pStyle w:val="单元格样式3"/>
            </w:pPr>
            <w:r>
              <w:t xml:space="preserve">6.00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6.缴纳单位日常运转费用，采购单位日常运转物资和服务，保障无线电监测工作正常运转。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预算控制数</w:t>
            </w:r>
          </w:p>
        </w:tc>
        <w:tc>
          <w:tcPr>
            <w:tcW w:w="2891" w:type="dxa"/>
            <w:hMerge w:val="restart"/>
            <w:vAlign w:val="center"/>
          </w:tcPr>
          <w:p>
            <w:pPr>
              <w:pStyle w:val="单元格样式2"/>
            </w:pPr>
            <w:r>
              <w:t xml:space="preserve">预算控制数</w:t>
            </w:r>
          </w:p>
        </w:tc>
        <w:tc>
          <w:tcPr>
            <w:tcW w:w="0" w:type="auto"/>
            <w:hMerge/>
            <w:vAlign w:val="center"/>
          </w:tcPr>
          <w:p>
            <w:pPr/>
          </w:p>
        </w:tc>
        <w:tc>
          <w:tcPr>
            <w:tcW w:w="1276" w:type="dxa"/>
            <w:vAlign w:val="center"/>
          </w:tcPr>
          <w:p>
            <w:pPr>
              <w:pStyle w:val="单元格样式2"/>
            </w:pPr>
            <w:r>
              <w:t xml:space="preserve">≤6万元</w:t>
            </w:r>
          </w:p>
        </w:tc>
        <w:tc>
          <w:tcPr>
            <w:tcW w:w="1843" w:type="dxa"/>
            <w:vAlign w:val="center"/>
          </w:tcPr>
          <w:p>
            <w:pPr>
              <w:pStyle w:val="单元格样式2"/>
            </w:pPr>
            <w:r>
              <w:t xml:space="preserve">历史标准</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支付固定电话通讯费次数</w:t>
            </w:r>
          </w:p>
        </w:tc>
        <w:tc>
          <w:tcPr>
            <w:tcW w:w="2891" w:type="dxa"/>
            <w:hMerge w:val="restart"/>
            <w:vAlign w:val="center"/>
          </w:tcPr>
          <w:p>
            <w:pPr>
              <w:pStyle w:val="单元格样式2"/>
            </w:pPr>
            <w:r>
              <w:t xml:space="preserve">支付固定电话通讯费次数</w:t>
            </w:r>
          </w:p>
        </w:tc>
        <w:tc>
          <w:tcPr>
            <w:tcW w:w="0" w:type="auto"/>
            <w:hMerge/>
            <w:vAlign w:val="center"/>
          </w:tcPr>
          <w:p>
            <w:pPr/>
          </w:p>
        </w:tc>
        <w:tc>
          <w:tcPr>
            <w:tcW w:w="1276" w:type="dxa"/>
            <w:vAlign w:val="center"/>
          </w:tcPr>
          <w:p>
            <w:pPr>
              <w:pStyle w:val="单元格样式2"/>
            </w:pPr>
            <w:r>
              <w:t xml:space="preserve">≥11次</w:t>
            </w:r>
          </w:p>
        </w:tc>
        <w:tc>
          <w:tcPr>
            <w:tcW w:w="1843" w:type="dxa"/>
            <w:vAlign w:val="center"/>
          </w:tcPr>
          <w:p>
            <w:pPr>
              <w:pStyle w:val="单元格样式2"/>
            </w:pPr>
            <w:r>
              <w:t xml:space="preserve">历史标准</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电脑、打印机终端维护数量</w:t>
            </w:r>
          </w:p>
        </w:tc>
        <w:tc>
          <w:tcPr>
            <w:tcW w:w="2891" w:type="dxa"/>
            <w:hMerge w:val="restart"/>
            <w:vAlign w:val="center"/>
          </w:tcPr>
          <w:p>
            <w:pPr>
              <w:pStyle w:val="单元格样式2"/>
            </w:pPr>
            <w:r>
              <w:t xml:space="preserve">正常供应打印机墨盒台数</w:t>
            </w:r>
          </w:p>
        </w:tc>
        <w:tc>
          <w:tcPr>
            <w:tcW w:w="0" w:type="auto"/>
            <w:hMerge/>
            <w:vAlign w:val="center"/>
          </w:tcPr>
          <w:p>
            <w:pPr/>
          </w:p>
        </w:tc>
        <w:tc>
          <w:tcPr>
            <w:tcW w:w="1276" w:type="dxa"/>
            <w:vAlign w:val="center"/>
          </w:tcPr>
          <w:p>
            <w:pPr>
              <w:pStyle w:val="单元格样式2"/>
            </w:pPr>
            <w:r>
              <w:t xml:space="preserve">≥7台</w:t>
            </w:r>
          </w:p>
        </w:tc>
        <w:tc>
          <w:tcPr>
            <w:tcW w:w="1843" w:type="dxa"/>
            <w:vAlign w:val="center"/>
          </w:tcPr>
          <w:p>
            <w:pPr>
              <w:pStyle w:val="单元格样式2"/>
            </w:pPr>
            <w:r>
              <w:t xml:space="preserve">历史标准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采购产品合格率</w:t>
            </w:r>
          </w:p>
        </w:tc>
        <w:tc>
          <w:tcPr>
            <w:tcW w:w="2891" w:type="dxa"/>
            <w:hMerge w:val="restart"/>
            <w:vAlign w:val="center"/>
          </w:tcPr>
          <w:p>
            <w:pPr>
              <w:pStyle w:val="单元格样式2"/>
            </w:pPr>
            <w:r>
              <w:t xml:space="preserve">采购产品合格率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历史标准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日常运行正常</w:t>
            </w:r>
          </w:p>
        </w:tc>
        <w:tc>
          <w:tcPr>
            <w:tcW w:w="2891" w:type="dxa"/>
            <w:hMerge w:val="restart"/>
            <w:vAlign w:val="center"/>
          </w:tcPr>
          <w:p>
            <w:pPr>
              <w:pStyle w:val="单元格样式2"/>
            </w:pPr>
            <w:r>
              <w:t xml:space="preserve">无线电管理业务正常运转率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历史标准</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重大安全事故发生数</w:t>
            </w:r>
          </w:p>
        </w:tc>
        <w:tc>
          <w:tcPr>
            <w:tcW w:w="2891" w:type="dxa"/>
            <w:hMerge w:val="restart"/>
            <w:vAlign w:val="center"/>
          </w:tcPr>
          <w:p>
            <w:pPr>
              <w:pStyle w:val="单元格样式2"/>
            </w:pPr>
            <w:r>
              <w:t xml:space="preserve">重大无线电安全事故发生数</w:t>
            </w:r>
          </w:p>
        </w:tc>
        <w:tc>
          <w:tcPr>
            <w:tcW w:w="0" w:type="auto"/>
            <w:hMerge/>
            <w:vAlign w:val="center"/>
          </w:tcPr>
          <w:p>
            <w:pPr/>
          </w:p>
        </w:tc>
        <w:tc>
          <w:tcPr>
            <w:tcW w:w="1276" w:type="dxa"/>
            <w:vAlign w:val="center"/>
          </w:tcPr>
          <w:p>
            <w:pPr>
              <w:pStyle w:val="单元格样式2"/>
            </w:pPr>
            <w:r>
              <w:t xml:space="preserve">0次</w:t>
            </w:r>
          </w:p>
        </w:tc>
        <w:tc>
          <w:tcPr>
            <w:tcW w:w="1843" w:type="dxa"/>
            <w:vAlign w:val="center"/>
          </w:tcPr>
          <w:p>
            <w:pPr>
              <w:pStyle w:val="单元格样式2"/>
            </w:pPr>
            <w:r>
              <w:t xml:space="preserve">历史标准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上级主管部门满意度</w:t>
            </w:r>
          </w:p>
        </w:tc>
        <w:tc>
          <w:tcPr>
            <w:tcW w:w="2891" w:type="dxa"/>
            <w:hMerge w:val="restart"/>
            <w:vAlign w:val="center"/>
          </w:tcPr>
          <w:p>
            <w:pPr>
              <w:pStyle w:val="单元格样式2"/>
            </w:pPr>
            <w:r>
              <w:t xml:space="preserve">上级主管部门满意度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历史标准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 w:name="_Toc_4_4_0000000020"/>
      <w:r>
        <w:rPr>
          <w:rFonts w:ascii="方正仿宋_GBK" w:eastAsia="方正仿宋_GBK" w:hAnsi="方正仿宋_GBK" w:cs="方正仿宋_GBK"/>
          <w:color w:val="000000"/>
          <w:sz w:val="28"/>
        </w:rPr>
        <w:t xml:space="preserve">20.无线电管理经费绩效目标表</w:t>
      </w:r>
      <w:bookmarkEnd w:id="1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502002青岛市无线电监测站</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37020023P230016100051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无线电管理经费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用于无线电设施建设、基础设施运行维护、无管电业务专项监管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150.00</w:t>
            </w:r>
          </w:p>
        </w:tc>
        <w:tc>
          <w:tcPr>
            <w:tcW w:w="0" w:type="auto"/>
            <w:hMerge/>
          </w:tcPr>
          <w:p>
            <w:pPr/>
          </w:p>
        </w:tc>
        <w:tc>
          <w:tcPr>
            <w:tcW w:w="1587" w:type="dxa"/>
            <w:vAlign w:val="center"/>
          </w:tcPr>
          <w:p>
            <w:pPr>
              <w:pStyle w:val="单元格样式3"/>
            </w:pPr>
            <w:r>
              <w:t xml:space="preserve">300.00</w:t>
            </w:r>
          </w:p>
        </w:tc>
        <w:tc>
          <w:tcPr>
            <w:tcW w:w="1304" w:type="dxa"/>
            <w:vAlign w:val="center"/>
          </w:tcPr>
          <w:p>
            <w:pPr>
              <w:pStyle w:val="单元格样式3"/>
            </w:pPr>
            <w:r>
              <w:t xml:space="preserve">450.00</w:t>
            </w:r>
          </w:p>
        </w:tc>
        <w:tc>
          <w:tcPr>
            <w:tcW w:w="3118" w:type="dxa"/>
            <w:hMerge w:val="restart"/>
            <w:vAlign w:val="center"/>
          </w:tcPr>
          <w:p>
            <w:pPr>
              <w:pStyle w:val="单元格样式3"/>
            </w:pPr>
            <w:r>
              <w:t xml:space="preserve">600.00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根据“十四五”规划，推进无线电管理基础和技术设施建设，提升技术能力；保障技术设施处于良好状态；加强人员培训，提升技术软实力。服务经济和社会发展，及时查处干扰、加强监督检查，完成重大活动和重要考试无线电安全保障任务，提高无线电管理工作满意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建设项目成本控制率</w:t>
            </w:r>
          </w:p>
        </w:tc>
        <w:tc>
          <w:tcPr>
            <w:tcW w:w="2891" w:type="dxa"/>
            <w:hMerge w:val="restart"/>
            <w:vAlign w:val="center"/>
          </w:tcPr>
          <w:p>
            <w:pPr>
              <w:pStyle w:val="单元格样式2"/>
            </w:pPr>
            <w:r>
              <w:t xml:space="preserve">建设项目成本控制率</w:t>
            </w:r>
          </w:p>
        </w:tc>
        <w:tc>
          <w:tcPr>
            <w:tcW w:w="0" w:type="auto"/>
            <w:hMerge/>
            <w:vAlign w:val="center"/>
          </w:tcPr>
          <w:p>
            <w:pPr/>
          </w:p>
        </w:tc>
        <w:tc>
          <w:tcPr>
            <w:tcW w:w="1276" w:type="dxa"/>
            <w:vAlign w:val="center"/>
          </w:tcPr>
          <w:p>
            <w:pPr>
              <w:pStyle w:val="单元格样式2"/>
            </w:pPr>
            <w:r>
              <w:t xml:space="preserve">≤10百分比</w:t>
            </w:r>
          </w:p>
        </w:tc>
        <w:tc>
          <w:tcPr>
            <w:tcW w:w="1843" w:type="dxa"/>
            <w:vAlign w:val="center"/>
          </w:tcPr>
          <w:p>
            <w:pPr>
              <w:pStyle w:val="单元格样式2"/>
            </w:pPr>
            <w:r>
              <w:t xml:space="preserve">国无办函[2022]40号</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建设项目数</w:t>
            </w:r>
          </w:p>
        </w:tc>
        <w:tc>
          <w:tcPr>
            <w:tcW w:w="2891" w:type="dxa"/>
            <w:hMerge w:val="restart"/>
            <w:vAlign w:val="center"/>
          </w:tcPr>
          <w:p>
            <w:pPr>
              <w:pStyle w:val="单元格样式2"/>
            </w:pPr>
            <w:r>
              <w:t xml:space="preserve">建设项目数</w:t>
            </w:r>
          </w:p>
        </w:tc>
        <w:tc>
          <w:tcPr>
            <w:tcW w:w="0" w:type="auto"/>
            <w:hMerge/>
            <w:vAlign w:val="center"/>
          </w:tcPr>
          <w:p>
            <w:pPr/>
          </w:p>
        </w:tc>
        <w:tc>
          <w:tcPr>
            <w:tcW w:w="1276" w:type="dxa"/>
            <w:vAlign w:val="center"/>
          </w:tcPr>
          <w:p>
            <w:pPr>
              <w:pStyle w:val="单元格样式2"/>
            </w:pPr>
            <w:r>
              <w:t xml:space="preserve">2项</w:t>
            </w:r>
          </w:p>
        </w:tc>
        <w:tc>
          <w:tcPr>
            <w:tcW w:w="1843" w:type="dxa"/>
            <w:vAlign w:val="center"/>
          </w:tcPr>
          <w:p>
            <w:pPr>
              <w:pStyle w:val="单元格样式2"/>
            </w:pPr>
            <w:r>
              <w:t xml:space="preserve">国无办函[2022]40号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重要考试保障次数</w:t>
            </w:r>
          </w:p>
        </w:tc>
        <w:tc>
          <w:tcPr>
            <w:tcW w:w="2891" w:type="dxa"/>
            <w:hMerge w:val="restart"/>
            <w:vAlign w:val="center"/>
          </w:tcPr>
          <w:p>
            <w:pPr>
              <w:pStyle w:val="单元格样式2"/>
            </w:pPr>
            <w:r>
              <w:t xml:space="preserve">重要考试保障次数</w:t>
            </w:r>
          </w:p>
        </w:tc>
        <w:tc>
          <w:tcPr>
            <w:tcW w:w="0" w:type="auto"/>
            <w:hMerge/>
            <w:vAlign w:val="center"/>
          </w:tcPr>
          <w:p>
            <w:pPr/>
          </w:p>
        </w:tc>
        <w:tc>
          <w:tcPr>
            <w:tcW w:w="1276" w:type="dxa"/>
            <w:vAlign w:val="center"/>
          </w:tcPr>
          <w:p>
            <w:pPr>
              <w:pStyle w:val="单元格样式2"/>
            </w:pPr>
            <w:r>
              <w:t xml:space="preserve">≥7次</w:t>
            </w:r>
          </w:p>
        </w:tc>
        <w:tc>
          <w:tcPr>
            <w:tcW w:w="1843" w:type="dxa"/>
            <w:vAlign w:val="center"/>
          </w:tcPr>
          <w:p>
            <w:pPr>
              <w:pStyle w:val="单元格样式2"/>
            </w:pPr>
            <w:r>
              <w:t xml:space="preserve">国无办函[2022]40号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建设合格率</w:t>
            </w:r>
          </w:p>
        </w:tc>
        <w:tc>
          <w:tcPr>
            <w:tcW w:w="2891" w:type="dxa"/>
            <w:hMerge w:val="restart"/>
            <w:vAlign w:val="center"/>
          </w:tcPr>
          <w:p>
            <w:pPr>
              <w:pStyle w:val="单元格样式2"/>
            </w:pPr>
            <w:r>
              <w:t xml:space="preserve">建设合格率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国无办函[2022]40号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年度建设任务完成及时率</w:t>
            </w:r>
          </w:p>
        </w:tc>
        <w:tc>
          <w:tcPr>
            <w:tcW w:w="2891" w:type="dxa"/>
            <w:hMerge w:val="restart"/>
            <w:vAlign w:val="center"/>
          </w:tcPr>
          <w:p>
            <w:pPr>
              <w:pStyle w:val="单元格样式2"/>
            </w:pPr>
            <w:r>
              <w:t xml:space="preserve">年度建设任务完成及时率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国无办函[2022]40号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投诉处理率</w:t>
            </w:r>
          </w:p>
        </w:tc>
        <w:tc>
          <w:tcPr>
            <w:tcW w:w="2891" w:type="dxa"/>
            <w:hMerge w:val="restart"/>
            <w:vAlign w:val="center"/>
          </w:tcPr>
          <w:p>
            <w:pPr>
              <w:pStyle w:val="单元格样式2"/>
            </w:pPr>
            <w:r>
              <w:t xml:space="preserve">无线电干扰申诉处理率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国无办函[2022]40号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重大安全事故发生率</w:t>
            </w:r>
          </w:p>
        </w:tc>
        <w:tc>
          <w:tcPr>
            <w:tcW w:w="2891" w:type="dxa"/>
            <w:hMerge w:val="restart"/>
            <w:vAlign w:val="center"/>
          </w:tcPr>
          <w:p>
            <w:pPr>
              <w:pStyle w:val="单元格样式2"/>
            </w:pPr>
            <w:r>
              <w:t xml:space="preserve">无线电管理重大安全事故发生率</w:t>
            </w:r>
          </w:p>
        </w:tc>
        <w:tc>
          <w:tcPr>
            <w:tcW w:w="0" w:type="auto"/>
            <w:hMerge/>
            <w:vAlign w:val="center"/>
          </w:tcPr>
          <w:p>
            <w:pPr/>
          </w:p>
        </w:tc>
        <w:tc>
          <w:tcPr>
            <w:tcW w:w="1276" w:type="dxa"/>
            <w:vAlign w:val="center"/>
          </w:tcPr>
          <w:p>
            <w:pPr>
              <w:pStyle w:val="单元格样式2"/>
            </w:pPr>
            <w:r>
              <w:t xml:space="preserve">0个</w:t>
            </w:r>
          </w:p>
        </w:tc>
        <w:tc>
          <w:tcPr>
            <w:tcW w:w="1843" w:type="dxa"/>
            <w:vAlign w:val="center"/>
          </w:tcPr>
          <w:p>
            <w:pPr>
              <w:pStyle w:val="单元格样式2"/>
            </w:pPr>
            <w:r>
              <w:t xml:space="preserve">国无办函[2022]40号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监测能力提升以更好的为社会服务</w:t>
            </w:r>
          </w:p>
        </w:tc>
        <w:tc>
          <w:tcPr>
            <w:tcW w:w="2891" w:type="dxa"/>
            <w:hMerge w:val="restart"/>
            <w:vAlign w:val="center"/>
          </w:tcPr>
          <w:p>
            <w:pPr>
              <w:pStyle w:val="单元格样式2"/>
            </w:pPr>
            <w:r>
              <w:t xml:space="preserve">移动监测站监测频率上限提升</w:t>
            </w:r>
          </w:p>
        </w:tc>
        <w:tc>
          <w:tcPr>
            <w:tcW w:w="0" w:type="auto"/>
            <w:hMerge/>
            <w:vAlign w:val="center"/>
          </w:tcPr>
          <w:p>
            <w:pPr/>
          </w:p>
        </w:tc>
        <w:tc>
          <w:tcPr>
            <w:tcW w:w="1276" w:type="dxa"/>
            <w:vAlign w:val="center"/>
          </w:tcPr>
          <w:p>
            <w:pPr>
              <w:pStyle w:val="单元格样式2"/>
            </w:pPr>
            <w:r>
              <w:t xml:space="preserve">18Ghz</w:t>
            </w:r>
          </w:p>
        </w:tc>
        <w:tc>
          <w:tcPr>
            <w:tcW w:w="1843" w:type="dxa"/>
            <w:vAlign w:val="center"/>
          </w:tcPr>
          <w:p>
            <w:pPr>
              <w:pStyle w:val="单元格样式2"/>
            </w:pPr>
            <w:r>
              <w:t xml:space="preserve">国无办函[2022]40号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服务对象满意率</w:t>
            </w:r>
          </w:p>
        </w:tc>
        <w:tc>
          <w:tcPr>
            <w:tcW w:w="2891" w:type="dxa"/>
            <w:hMerge w:val="restart"/>
            <w:vAlign w:val="center"/>
          </w:tcPr>
          <w:p>
            <w:pPr>
              <w:pStyle w:val="单元格样式2"/>
            </w:pPr>
            <w:r>
              <w:t xml:space="preserve">服务对象满意率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国无办函[2022]40号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 w:name="_Toc_4_4_0000000021"/>
      <w:r>
        <w:rPr>
          <w:rFonts w:ascii="方正仿宋_GBK" w:eastAsia="方正仿宋_GBK" w:hAnsi="方正仿宋_GBK" w:cs="方正仿宋_GBK"/>
          <w:color w:val="000000"/>
          <w:sz w:val="28"/>
        </w:rPr>
        <w:t xml:space="preserve">21.工业互联网创新发展工作经费绩效目标表</w:t>
      </w:r>
      <w:bookmarkEnd w:id="2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502004青岛市工业互联网创新发展中心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37020023P88002811001K</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工业互联网创新发展工作经费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29.00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29.00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工业互联网创新发展工作经费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29.00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6.1.全年组织4场以上工业赋能场景活动，推动企业数字化转型升级过程中供需双方精准对接</w:t>
            </w:r>
          </w:p>
          <w:p>
            <w:pPr>
              <w:pStyle w:val="单元格样式2"/>
            </w:pPr>
            <w:r>
              <w:t xml:space="preserve">7.2.发布新闻报道不少于30篇</w:t>
            </w:r>
          </w:p>
          <w:p>
            <w:pPr>
              <w:pStyle w:val="单元格样式2"/>
            </w:pPr>
            <w:r>
              <w:t xml:space="preserve">8.推广各类工业互联网平台行业应用，拓宽应用场景和交流渠道。3.。</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会议培训</w:t>
            </w:r>
          </w:p>
        </w:tc>
        <w:tc>
          <w:tcPr>
            <w:tcW w:w="2891" w:type="dxa"/>
            <w:hMerge w:val="restart"/>
            <w:vAlign w:val="center"/>
          </w:tcPr>
          <w:p>
            <w:pPr>
              <w:pStyle w:val="单元格样式2"/>
            </w:pPr>
            <w:r>
              <w:t xml:space="preserve">会议费标准</w:t>
            </w:r>
          </w:p>
        </w:tc>
        <w:tc>
          <w:tcPr>
            <w:tcW w:w="0" w:type="auto"/>
            <w:hMerge/>
            <w:vAlign w:val="center"/>
          </w:tcPr>
          <w:p>
            <w:pPr/>
          </w:p>
        </w:tc>
        <w:tc>
          <w:tcPr>
            <w:tcW w:w="1276" w:type="dxa"/>
            <w:vAlign w:val="center"/>
          </w:tcPr>
          <w:p>
            <w:pPr>
              <w:pStyle w:val="单元格样式2"/>
            </w:pPr>
            <w:r>
              <w:t xml:space="preserve">≤450元</w:t>
            </w:r>
          </w:p>
        </w:tc>
        <w:tc>
          <w:tcPr>
            <w:tcW w:w="1843" w:type="dxa"/>
            <w:vAlign w:val="center"/>
          </w:tcPr>
          <w:p>
            <w:pPr>
              <w:pStyle w:val="单元格样式2"/>
            </w:pPr>
            <w:r>
              <w:t xml:space="preserve">历史指标</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工业赋能场景对接活动场次</w:t>
            </w:r>
          </w:p>
        </w:tc>
        <w:tc>
          <w:tcPr>
            <w:tcW w:w="2891" w:type="dxa"/>
            <w:hMerge w:val="restart"/>
            <w:vAlign w:val="center"/>
          </w:tcPr>
          <w:p>
            <w:pPr>
              <w:pStyle w:val="单元格样式2"/>
            </w:pPr>
            <w:r>
              <w:t xml:space="preserve">工业赋能场景对接活动场次</w:t>
            </w:r>
          </w:p>
        </w:tc>
        <w:tc>
          <w:tcPr>
            <w:tcW w:w="0" w:type="auto"/>
            <w:hMerge/>
            <w:vAlign w:val="center"/>
          </w:tcPr>
          <w:p>
            <w:pPr/>
          </w:p>
        </w:tc>
        <w:tc>
          <w:tcPr>
            <w:tcW w:w="1276" w:type="dxa"/>
            <w:vAlign w:val="center"/>
          </w:tcPr>
          <w:p>
            <w:pPr>
              <w:pStyle w:val="单元格样式2"/>
            </w:pPr>
            <w:r>
              <w:t xml:space="preserve">≥4次</w:t>
            </w:r>
          </w:p>
        </w:tc>
        <w:tc>
          <w:tcPr>
            <w:tcW w:w="1843" w:type="dxa"/>
            <w:vAlign w:val="center"/>
          </w:tcPr>
          <w:p>
            <w:pPr>
              <w:pStyle w:val="单元格样式2"/>
            </w:pPr>
            <w:r>
              <w:t xml:space="preserve">历史指标</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发布新闻报道</w:t>
            </w:r>
          </w:p>
        </w:tc>
        <w:tc>
          <w:tcPr>
            <w:tcW w:w="2891" w:type="dxa"/>
            <w:hMerge w:val="restart"/>
            <w:vAlign w:val="center"/>
          </w:tcPr>
          <w:p>
            <w:pPr>
              <w:pStyle w:val="单元格样式2"/>
            </w:pPr>
            <w:r>
              <w:t xml:space="preserve">发布新闻报道</w:t>
            </w:r>
          </w:p>
        </w:tc>
        <w:tc>
          <w:tcPr>
            <w:tcW w:w="0" w:type="auto"/>
            <w:hMerge/>
            <w:vAlign w:val="center"/>
          </w:tcPr>
          <w:p>
            <w:pPr/>
          </w:p>
        </w:tc>
        <w:tc>
          <w:tcPr>
            <w:tcW w:w="1276" w:type="dxa"/>
            <w:vAlign w:val="center"/>
          </w:tcPr>
          <w:p>
            <w:pPr>
              <w:pStyle w:val="单元格样式2"/>
            </w:pPr>
            <w:r>
              <w:t xml:space="preserve">≥30个</w:t>
            </w:r>
          </w:p>
        </w:tc>
        <w:tc>
          <w:tcPr>
            <w:tcW w:w="1843" w:type="dxa"/>
            <w:vAlign w:val="center"/>
          </w:tcPr>
          <w:p>
            <w:pPr>
              <w:pStyle w:val="单元格样式2"/>
            </w:pPr>
            <w:r>
              <w:t xml:space="preserve">历史指标</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单场次对接会参加企业</w:t>
            </w:r>
          </w:p>
        </w:tc>
        <w:tc>
          <w:tcPr>
            <w:tcW w:w="2891" w:type="dxa"/>
            <w:hMerge w:val="restart"/>
            <w:vAlign w:val="center"/>
          </w:tcPr>
          <w:p>
            <w:pPr>
              <w:pStyle w:val="单元格样式2"/>
            </w:pPr>
            <w:r>
              <w:t xml:space="preserve">单场次对接会参加企业</w:t>
            </w:r>
          </w:p>
        </w:tc>
        <w:tc>
          <w:tcPr>
            <w:tcW w:w="0" w:type="auto"/>
            <w:hMerge/>
            <w:vAlign w:val="center"/>
          </w:tcPr>
          <w:p>
            <w:pPr/>
          </w:p>
        </w:tc>
        <w:tc>
          <w:tcPr>
            <w:tcW w:w="1276" w:type="dxa"/>
            <w:vAlign w:val="center"/>
          </w:tcPr>
          <w:p>
            <w:pPr>
              <w:pStyle w:val="单元格样式2"/>
            </w:pPr>
            <w:r>
              <w:t xml:space="preserve">20家</w:t>
            </w:r>
          </w:p>
        </w:tc>
        <w:tc>
          <w:tcPr>
            <w:tcW w:w="1843" w:type="dxa"/>
            <w:vAlign w:val="center"/>
          </w:tcPr>
          <w:p>
            <w:pPr>
              <w:pStyle w:val="单元格样式2"/>
            </w:pPr>
            <w:r>
              <w:t xml:space="preserve">历史指标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对接活动完成时间</w:t>
            </w:r>
          </w:p>
        </w:tc>
        <w:tc>
          <w:tcPr>
            <w:tcW w:w="2891" w:type="dxa"/>
            <w:hMerge w:val="restart"/>
            <w:vAlign w:val="center"/>
          </w:tcPr>
          <w:p>
            <w:pPr>
              <w:pStyle w:val="单元格样式2"/>
            </w:pPr>
            <w:r>
              <w:t xml:space="preserve">每季度至少组织一次对接会</w:t>
            </w:r>
          </w:p>
        </w:tc>
        <w:tc>
          <w:tcPr>
            <w:tcW w:w="0" w:type="auto"/>
            <w:hMerge/>
            <w:vAlign w:val="center"/>
          </w:tcPr>
          <w:p>
            <w:pPr/>
          </w:p>
        </w:tc>
        <w:tc>
          <w:tcPr>
            <w:tcW w:w="1276" w:type="dxa"/>
            <w:vAlign w:val="center"/>
          </w:tcPr>
          <w:p>
            <w:pPr>
              <w:pStyle w:val="单元格样式2"/>
            </w:pPr>
            <w:r>
              <w:t xml:space="preserve">1年</w:t>
            </w:r>
          </w:p>
        </w:tc>
        <w:tc>
          <w:tcPr>
            <w:tcW w:w="1843" w:type="dxa"/>
            <w:vAlign w:val="center"/>
          </w:tcPr>
          <w:p>
            <w:pPr>
              <w:pStyle w:val="单元格样式2"/>
            </w:pPr>
            <w:r>
              <w:t xml:space="preserve">历史指标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参会企业为互联网领域</w:t>
            </w:r>
          </w:p>
        </w:tc>
        <w:tc>
          <w:tcPr>
            <w:tcW w:w="2891" w:type="dxa"/>
            <w:hMerge w:val="restart"/>
            <w:vAlign w:val="center"/>
          </w:tcPr>
          <w:p>
            <w:pPr>
              <w:pStyle w:val="单元格样式2"/>
            </w:pPr>
            <w:r>
              <w:t xml:space="preserve">参会企业为互联网领域</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历史指标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企业参会率</w:t>
            </w:r>
          </w:p>
        </w:tc>
        <w:tc>
          <w:tcPr>
            <w:tcW w:w="2891" w:type="dxa"/>
            <w:hMerge w:val="restart"/>
            <w:vAlign w:val="center"/>
          </w:tcPr>
          <w:p>
            <w:pPr>
              <w:pStyle w:val="单元格样式2"/>
            </w:pPr>
            <w:r>
              <w:t xml:space="preserve">企业参会率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历史指标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服务企业，协助企业解决升级改造中存在问题</w:t>
            </w:r>
          </w:p>
        </w:tc>
        <w:tc>
          <w:tcPr>
            <w:tcW w:w="2891" w:type="dxa"/>
            <w:hMerge w:val="restart"/>
            <w:vAlign w:val="center"/>
          </w:tcPr>
          <w:p>
            <w:pPr>
              <w:pStyle w:val="单元格样式2"/>
            </w:pPr>
            <w:r>
              <w:t xml:space="preserve">服务企业，协助企业解决升级改造中存在问题</w:t>
            </w:r>
          </w:p>
        </w:tc>
        <w:tc>
          <w:tcPr>
            <w:tcW w:w="0" w:type="auto"/>
            <w:hMerge/>
            <w:vAlign w:val="center"/>
          </w:tcPr>
          <w:p>
            <w:pPr/>
          </w:p>
        </w:tc>
        <w:tc>
          <w:tcPr>
            <w:tcW w:w="1276" w:type="dxa"/>
            <w:vAlign w:val="center"/>
          </w:tcPr>
          <w:p>
            <w:pPr>
              <w:pStyle w:val="单元格样式2"/>
            </w:pPr>
            <w:r>
              <w:t xml:space="preserve">20家</w:t>
            </w:r>
          </w:p>
        </w:tc>
        <w:tc>
          <w:tcPr>
            <w:tcW w:w="1843" w:type="dxa"/>
            <w:vAlign w:val="center"/>
          </w:tcPr>
          <w:p>
            <w:pPr>
              <w:pStyle w:val="单元格样式2"/>
            </w:pPr>
            <w:r>
              <w:t xml:space="preserve">历史指标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推广优质解决方案数</w:t>
            </w:r>
          </w:p>
        </w:tc>
        <w:tc>
          <w:tcPr>
            <w:tcW w:w="2891" w:type="dxa"/>
            <w:hMerge w:val="restart"/>
            <w:vAlign w:val="center"/>
          </w:tcPr>
          <w:p>
            <w:pPr>
              <w:pStyle w:val="单元格样式2"/>
            </w:pPr>
            <w:r>
              <w:t xml:space="preserve">推广优质解决方案数</w:t>
            </w:r>
          </w:p>
        </w:tc>
        <w:tc>
          <w:tcPr>
            <w:tcW w:w="0" w:type="auto"/>
            <w:hMerge/>
            <w:vAlign w:val="center"/>
          </w:tcPr>
          <w:p>
            <w:pPr/>
          </w:p>
        </w:tc>
        <w:tc>
          <w:tcPr>
            <w:tcW w:w="1276" w:type="dxa"/>
            <w:vAlign w:val="center"/>
          </w:tcPr>
          <w:p>
            <w:pPr>
              <w:pStyle w:val="单元格样式2"/>
            </w:pPr>
            <w:r>
              <w:t xml:space="preserve">10个</w:t>
            </w:r>
          </w:p>
        </w:tc>
        <w:tc>
          <w:tcPr>
            <w:tcW w:w="1843" w:type="dxa"/>
            <w:vAlign w:val="center"/>
          </w:tcPr>
          <w:p>
            <w:pPr>
              <w:pStyle w:val="单元格样式2"/>
            </w:pPr>
            <w:r>
              <w:t xml:space="preserve">历史指标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受益企业满意度</w:t>
            </w:r>
          </w:p>
        </w:tc>
        <w:tc>
          <w:tcPr>
            <w:tcW w:w="2891" w:type="dxa"/>
            <w:hMerge w:val="restart"/>
            <w:vAlign w:val="center"/>
          </w:tcPr>
          <w:p>
            <w:pPr>
              <w:pStyle w:val="单元格样式2"/>
            </w:pPr>
            <w:r>
              <w:t xml:space="preserve">受益企业满意度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历史指标</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footer" Target="footer1.xml" /><Relationship Id="rId46" Type="http://schemas.openxmlformats.org/officeDocument/2006/relationships/footer" Target="footer2.xml" /><Relationship Id="rId47" Type="http://schemas.openxmlformats.org/officeDocument/2006/relationships/theme" Target="theme/theme1.xml" /><Relationship Id="rId48" Type="http://schemas.openxmlformats.org/officeDocument/2006/relationships/styles" Target="styles.xml" /><Relationship Id="rId49" Type="http://schemas.openxmlformats.org/officeDocument/2006/relationships/webSettings" Target="webSettings.xml" /><Relationship Id="rId5" Type="http://schemas.openxmlformats.org/officeDocument/2006/relationships/customXml" Target="../customXml/item5.xml" /><Relationship Id="rId50" Type="http://schemas.openxmlformats.org/officeDocument/2006/relationships/numbering" Target="numbering.xml" /><Relationship Id="rId51" Type="http://schemas.openxmlformats.org/officeDocument/2006/relationships/settings" Target="settings.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2023-01-17T09:07:04Z</dcterms:created>
  <dcterms:modified xsi:type="dcterms:W3CDTF">2023-01-17T01:07:04Z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2023-01-17T09:07:06Z</dcterms:created>
  <dcterms:modified xsi:type="dcterms:W3CDTF">2023-01-17T01:07:06Z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2023-01-17T09:07:07Z</dcterms:created>
  <dcterms:modified xsi:type="dcterms:W3CDTF">2023-01-17T01:07:06Z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2023-01-17T09:07:07Z</dcterms:created>
  <dcterms:modified xsi:type="dcterms:W3CDTF">2023-01-17T01:07:07Z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2023-01-17T09:07:07Z</dcterms:created>
  <dcterms:modified xsi:type="dcterms:W3CDTF">2023-01-17T01:07:07Z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2023-01-17T09:07:08Z</dcterms:created>
  <dcterms:modified xsi:type="dcterms:W3CDTF">2023-01-17T01:07:08Z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2023-01-17T09:07:08Z</dcterms:created>
  <dcterms:modified xsi:type="dcterms:W3CDTF">2023-01-17T01:07:08Z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2023-01-17T09:07:08Z</dcterms:created>
  <dcterms:modified xsi:type="dcterms:W3CDTF">2023-01-17T01:07:08Z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2023-01-17T09:07:08Z</dcterms:created>
  <dcterms:modified xsi:type="dcterms:W3CDTF">2023-01-17T01:07:08Z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2023-01-17T09:07:09Z</dcterms:created>
  <dcterms:modified xsi:type="dcterms:W3CDTF">2023-01-17T01:07:09Z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2023-01-17T09:07:09Z</dcterms:created>
  <dcterms:modified xsi:type="dcterms:W3CDTF">2023-01-17T01:07:09Z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2023-01-17T09:07:04Z</dcterms:created>
  <dcterms:modified xsi:type="dcterms:W3CDTF">2023-01-17T01:07:04Z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2023-01-17T09:07:09Z</dcterms:created>
  <dcterms:modified xsi:type="dcterms:W3CDTF">2023-01-17T01:07:09Z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2023-01-17T09:07:10Z</dcterms:created>
  <dcterms:modified xsi:type="dcterms:W3CDTF">2023-01-17T01:07:10Z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2023-01-17T09:07:10Z</dcterms:created>
  <dcterms:modified xsi:type="dcterms:W3CDTF">2023-01-17T01:07:10Z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2023-01-17T09:07:10Z</dcterms:created>
  <dcterms:modified xsi:type="dcterms:W3CDTF">2023-01-17T01:07:10Z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2023-01-17T09:07:11Z</dcterms:created>
  <dcterms:modified xsi:type="dcterms:W3CDTF">2023-01-17T01:07:11Z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2023-01-17T09:07:11Z</dcterms:created>
  <dcterms:modified xsi:type="dcterms:W3CDTF">2023-01-17T01:07:11Z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2023-01-17T09:07:11Z</dcterms:created>
  <dcterms:modified xsi:type="dcterms:W3CDTF">2023-01-17T01:07:11Z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2023-01-17T09:07:05Z</dcterms:created>
  <dcterms:modified xsi:type="dcterms:W3CDTF">2023-01-17T01:07:05Z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2023-01-17T09:07:05Z</dcterms:created>
  <dcterms:modified xsi:type="dcterms:W3CDTF">2023-01-17T01:07:05Z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2023-01-17T09:07:06Z</dcterms:created>
  <dcterms:modified xsi:type="dcterms:W3CDTF">2023-01-17T01:07:06Z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2023-01-17T09:07:11Z</dcterms:created>
  <dcterms:modified xsi:type="dcterms:W3CDTF">2023-01-17T01:07:16Z</dcterms:modified>
</cp:coreProperties>
</file>