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5EB" w:rsidRDefault="009E65EB" w:rsidP="009E65EB">
      <w:pPr>
        <w:spacing w:line="560" w:lineRule="exact"/>
        <w:jc w:val="center"/>
        <w:rPr>
          <w:rFonts w:ascii="仿宋_GB2312" w:eastAsia="仿宋_GB2312" w:hAnsi="仿宋"/>
          <w:b/>
          <w:color w:val="FF0000"/>
          <w:spacing w:val="-50"/>
          <w:w w:val="50"/>
          <w:sz w:val="32"/>
          <w:szCs w:val="32"/>
        </w:rPr>
      </w:pPr>
    </w:p>
    <w:p w:rsidR="009E65EB" w:rsidRDefault="009E65EB" w:rsidP="009E65EB">
      <w:pPr>
        <w:spacing w:line="560" w:lineRule="exact"/>
        <w:jc w:val="center"/>
        <w:rPr>
          <w:rFonts w:ascii="仿宋_GB2312" w:eastAsia="仿宋_GB2312" w:hAnsi="仿宋"/>
          <w:b/>
          <w:color w:val="FF0000"/>
          <w:spacing w:val="-50"/>
          <w:w w:val="50"/>
          <w:sz w:val="32"/>
          <w:szCs w:val="32"/>
        </w:rPr>
      </w:pPr>
    </w:p>
    <w:p w:rsidR="009E65EB" w:rsidRDefault="009E65EB" w:rsidP="009E65EB">
      <w:pPr>
        <w:spacing w:line="560" w:lineRule="exact"/>
        <w:rPr>
          <w:rFonts w:ascii="仿宋_GB2312" w:eastAsia="仿宋_GB2312" w:hAnsi="仿宋"/>
          <w:color w:val="FF0000"/>
          <w:spacing w:val="-50"/>
          <w:w w:val="50"/>
          <w:sz w:val="32"/>
          <w:szCs w:val="32"/>
        </w:rPr>
      </w:pPr>
    </w:p>
    <w:p w:rsidR="009E65EB" w:rsidRDefault="009E65EB" w:rsidP="009E65EB">
      <w:pPr>
        <w:spacing w:line="1200" w:lineRule="exact"/>
        <w:jc w:val="center"/>
        <w:rPr>
          <w:rFonts w:ascii="方正小标宋_GBK" w:eastAsia="方正小标宋_GBK" w:hAnsi="仿宋"/>
          <w:color w:val="FF0000"/>
          <w:spacing w:val="-50"/>
          <w:w w:val="50"/>
          <w:sz w:val="110"/>
          <w:szCs w:val="110"/>
        </w:rPr>
      </w:pPr>
      <w:r>
        <w:rPr>
          <w:rFonts w:ascii="方正小标宋_GBK" w:eastAsia="方正小标宋_GBK" w:hAnsi="仿宋" w:hint="eastAsia"/>
          <w:color w:val="FF0000"/>
          <w:spacing w:val="-50"/>
          <w:w w:val="50"/>
          <w:sz w:val="110"/>
          <w:szCs w:val="110"/>
        </w:rPr>
        <w:t>青岛高新技术产业开发区管理委员会综合部</w:t>
      </w:r>
    </w:p>
    <w:p w:rsidR="009E65EB" w:rsidRDefault="009E65EB" w:rsidP="009E65EB">
      <w:pPr>
        <w:spacing w:line="520" w:lineRule="exact"/>
        <w:jc w:val="center"/>
        <w:rPr>
          <w:rFonts w:ascii="仿宋_GB2312" w:eastAsia="仿宋_GB2312" w:hAnsi="Times New Roman"/>
          <w:sz w:val="32"/>
          <w:szCs w:val="32"/>
        </w:rPr>
      </w:pPr>
    </w:p>
    <w:p w:rsidR="009E65EB" w:rsidRDefault="009E65EB" w:rsidP="009E65EB">
      <w:pPr>
        <w:spacing w:line="520" w:lineRule="exact"/>
        <w:jc w:val="center"/>
        <w:rPr>
          <w:rFonts w:ascii="仿宋_GB2312" w:eastAsia="仿宋_GB2312" w:hAnsi="Times New Roman"/>
          <w:sz w:val="32"/>
          <w:szCs w:val="32"/>
        </w:rPr>
      </w:pPr>
    </w:p>
    <w:p w:rsidR="009E65EB" w:rsidRDefault="009E65EB" w:rsidP="009E65EB">
      <w:pPr>
        <w:spacing w:line="520" w:lineRule="exact"/>
        <w:jc w:val="center"/>
        <w:rPr>
          <w:rFonts w:ascii="仿宋_GB2312" w:eastAsia="仿宋_GB2312" w:hAnsi="Times New Roman"/>
          <w:sz w:val="32"/>
          <w:szCs w:val="32"/>
        </w:rPr>
      </w:pPr>
      <w:proofErr w:type="gramStart"/>
      <w:r>
        <w:rPr>
          <w:rFonts w:ascii="仿宋_GB2312" w:eastAsia="仿宋_GB2312" w:hAnsi="Times New Roman" w:hint="eastAsia"/>
          <w:sz w:val="32"/>
          <w:szCs w:val="32"/>
        </w:rPr>
        <w:t>青高新管综</w:t>
      </w:r>
      <w:proofErr w:type="gramEnd"/>
      <w:r>
        <w:rPr>
          <w:rFonts w:ascii="仿宋_GB2312" w:eastAsia="仿宋_GB2312" w:hAnsi="宋体" w:hint="eastAsia"/>
          <w:bCs/>
          <w:sz w:val="32"/>
          <w:szCs w:val="32"/>
        </w:rPr>
        <w:t>〔2024〕11</w:t>
      </w:r>
      <w:r>
        <w:rPr>
          <w:rFonts w:ascii="仿宋_GB2312" w:eastAsia="仿宋_GB2312" w:hAnsi="宋体" w:hint="eastAsia"/>
          <w:sz w:val="32"/>
          <w:szCs w:val="32"/>
        </w:rPr>
        <w:t>号</w:t>
      </w:r>
    </w:p>
    <w:p w:rsidR="009E65EB" w:rsidRDefault="009E65EB" w:rsidP="009E65EB">
      <w:pPr>
        <w:spacing w:line="520" w:lineRule="exact"/>
        <w:rPr>
          <w:rFonts w:ascii="仿宋_GB2312" w:eastAsia="仿宋_GB2312" w:hAnsi="宋体"/>
          <w:spacing w:val="-10"/>
          <w:sz w:val="32"/>
          <w:szCs w:val="32"/>
        </w:rPr>
      </w:pPr>
      <w:r>
        <w:rPr>
          <w:rFonts w:ascii="仿宋_GB2312" w:eastAsia="仿宋_GB2312" w:hAnsi="宋体" w:hint="eastAsia"/>
          <w:color w:val="FF0000"/>
          <w:spacing w:val="-30"/>
          <w:sz w:val="32"/>
          <w:szCs w:val="32"/>
        </w:rPr>
        <w:t>━━━━━━━━━━━━━━━━━━━━━━━━━━━━━━━━━</w:t>
      </w:r>
    </w:p>
    <w:p w:rsidR="00C16DD5" w:rsidRPr="009E65EB" w:rsidRDefault="00C16DD5" w:rsidP="009E65EB">
      <w:pPr>
        <w:spacing w:line="560" w:lineRule="exact"/>
        <w:rPr>
          <w:rFonts w:ascii="方正小标宋_GBK" w:eastAsia="方正小标宋_GBK" w:hAnsi="方正小标宋_GBK" w:cs="方正小标宋_GBK"/>
          <w:sz w:val="44"/>
          <w:szCs w:val="44"/>
        </w:rPr>
      </w:pPr>
    </w:p>
    <w:p w:rsidR="00C16DD5" w:rsidRDefault="00BE0C94">
      <w:pPr>
        <w:widowControl/>
        <w:spacing w:line="560" w:lineRule="exact"/>
        <w:jc w:val="center"/>
        <w:rPr>
          <w:rFonts w:eastAsia="方正小标宋_GBK"/>
        </w:rPr>
      </w:pPr>
      <w:r>
        <w:rPr>
          <w:rFonts w:ascii="方正小标宋_GBK" w:eastAsia="方正小标宋_GBK" w:hAnsi="方正小标宋_GBK" w:cs="方正小标宋_GBK" w:hint="eastAsia"/>
          <w:color w:val="000000"/>
          <w:kern w:val="0"/>
          <w:sz w:val="44"/>
          <w:szCs w:val="44"/>
        </w:rPr>
        <w:t>青岛高新区管委综合部</w:t>
      </w:r>
    </w:p>
    <w:p w:rsidR="00C16DD5" w:rsidRDefault="00BE0C94">
      <w:pPr>
        <w:widowControl/>
        <w:spacing w:line="560" w:lineRule="exact"/>
        <w:jc w:val="center"/>
      </w:pPr>
      <w:r>
        <w:rPr>
          <w:rFonts w:ascii="方正小标宋_GBK" w:eastAsia="方正小标宋_GBK" w:hAnsi="方正小标宋_GBK" w:cs="方正小标宋_GBK" w:hint="eastAsia"/>
          <w:color w:val="000000"/>
          <w:kern w:val="0"/>
          <w:sz w:val="44"/>
          <w:szCs w:val="44"/>
        </w:rPr>
        <w:t>关于印发</w:t>
      </w:r>
      <w:proofErr w:type="gramStart"/>
      <w:r w:rsidR="00694E9B">
        <w:rPr>
          <w:rFonts w:ascii="方正小标宋_GBK" w:eastAsia="方正小标宋_GBK" w:hAnsi="方正小标宋_GBK" w:cs="方正小标宋_GBK" w:hint="eastAsia"/>
          <w:color w:val="000000"/>
          <w:kern w:val="0"/>
          <w:sz w:val="44"/>
          <w:szCs w:val="44"/>
        </w:rPr>
        <w:t>《</w:t>
      </w:r>
      <w:proofErr w:type="gramEnd"/>
      <w:r>
        <w:rPr>
          <w:rFonts w:ascii="方正小标宋_GBK" w:eastAsia="方正小标宋_GBK" w:hAnsi="方正小标宋_GBK" w:cs="方正小标宋_GBK" w:hint="eastAsia"/>
          <w:color w:val="000000"/>
          <w:kern w:val="0"/>
          <w:sz w:val="44"/>
          <w:szCs w:val="44"/>
        </w:rPr>
        <w:t>高新区餐饮场所瓶装液化石油气</w:t>
      </w:r>
    </w:p>
    <w:p w:rsidR="00C16DD5" w:rsidRDefault="00BE0C94">
      <w:pPr>
        <w:widowControl/>
        <w:spacing w:line="560" w:lineRule="exact"/>
        <w:jc w:val="center"/>
      </w:pPr>
      <w:r>
        <w:rPr>
          <w:rFonts w:ascii="方正小标宋_GBK" w:eastAsia="方正小标宋_GBK" w:hAnsi="方正小标宋_GBK" w:cs="方正小标宋_GBK" w:hint="eastAsia"/>
          <w:color w:val="000000"/>
          <w:kern w:val="0"/>
          <w:sz w:val="44"/>
          <w:szCs w:val="44"/>
        </w:rPr>
        <w:t>转换管道天然气工作实施方案</w:t>
      </w:r>
      <w:proofErr w:type="gramStart"/>
      <w:r w:rsidR="00694E9B">
        <w:rPr>
          <w:rFonts w:ascii="方正小标宋_GBK" w:eastAsia="方正小标宋_GBK" w:hAnsi="方正小标宋_GBK" w:cs="方正小标宋_GBK" w:hint="eastAsia"/>
          <w:color w:val="000000"/>
          <w:kern w:val="0"/>
          <w:sz w:val="44"/>
          <w:szCs w:val="44"/>
        </w:rPr>
        <w:t>》</w:t>
      </w:r>
      <w:proofErr w:type="gramEnd"/>
      <w:r>
        <w:rPr>
          <w:rFonts w:ascii="方正小标宋_GBK" w:eastAsia="方正小标宋_GBK" w:hAnsi="方正小标宋_GBK" w:cs="方正小标宋_GBK" w:hint="eastAsia"/>
          <w:color w:val="000000"/>
          <w:kern w:val="0"/>
          <w:sz w:val="44"/>
          <w:szCs w:val="44"/>
        </w:rPr>
        <w:t>的通知</w:t>
      </w:r>
    </w:p>
    <w:p w:rsidR="00C16DD5" w:rsidRDefault="00C16DD5">
      <w:pPr>
        <w:widowControl/>
        <w:spacing w:line="560" w:lineRule="exact"/>
        <w:jc w:val="left"/>
        <w:rPr>
          <w:rFonts w:ascii="仿宋_GB2312" w:eastAsia="仿宋_GB2312" w:hAnsi="宋体" w:cs="仿宋_GB2312"/>
          <w:color w:val="000000"/>
          <w:kern w:val="0"/>
          <w:sz w:val="32"/>
          <w:szCs w:val="32"/>
        </w:rPr>
      </w:pPr>
    </w:p>
    <w:p w:rsidR="00C16DD5" w:rsidRDefault="00BE0C94">
      <w:pPr>
        <w:widowControl/>
        <w:spacing w:line="560" w:lineRule="exact"/>
        <w:jc w:val="left"/>
      </w:pPr>
      <w:r>
        <w:rPr>
          <w:rFonts w:ascii="仿宋_GB2312" w:eastAsia="仿宋_GB2312" w:hAnsi="宋体" w:cs="仿宋_GB2312"/>
          <w:color w:val="000000"/>
          <w:kern w:val="0"/>
          <w:sz w:val="32"/>
          <w:szCs w:val="32"/>
        </w:rPr>
        <w:t>各</w:t>
      </w:r>
      <w:r>
        <w:rPr>
          <w:rFonts w:ascii="仿宋_GB2312" w:eastAsia="仿宋_GB2312" w:hAnsi="宋体" w:cs="仿宋_GB2312" w:hint="eastAsia"/>
          <w:color w:val="000000"/>
          <w:kern w:val="0"/>
          <w:sz w:val="32"/>
          <w:szCs w:val="32"/>
        </w:rPr>
        <w:t xml:space="preserve">相关单位： </w:t>
      </w:r>
    </w:p>
    <w:p w:rsidR="00C16DD5" w:rsidRDefault="00BE0C94">
      <w:pPr>
        <w:widowControl/>
        <w:spacing w:line="560" w:lineRule="exact"/>
        <w:ind w:firstLineChars="200" w:firstLine="640"/>
        <w:jc w:val="left"/>
      </w:pPr>
      <w:r>
        <w:rPr>
          <w:rFonts w:ascii="仿宋_GB2312" w:eastAsia="仿宋_GB2312" w:hAnsi="宋体" w:cs="仿宋_GB2312" w:hint="eastAsia"/>
          <w:color w:val="000000"/>
          <w:kern w:val="0"/>
          <w:sz w:val="32"/>
          <w:szCs w:val="32"/>
        </w:rPr>
        <w:t xml:space="preserve">《高新区餐饮场所瓶装液化石油气转换管道天然气工作实施方案》已经管委同意，现印发给你们，请结合实际，认真组织实施。 </w:t>
      </w:r>
    </w:p>
    <w:p w:rsidR="00C16DD5" w:rsidRDefault="00C16DD5">
      <w:pPr>
        <w:widowControl/>
        <w:spacing w:line="560" w:lineRule="exact"/>
        <w:jc w:val="left"/>
        <w:rPr>
          <w:rFonts w:ascii="仿宋_GB2312" w:eastAsia="仿宋_GB2312" w:hAnsi="宋体" w:cs="仿宋_GB2312"/>
          <w:color w:val="000000"/>
          <w:kern w:val="0"/>
          <w:sz w:val="32"/>
          <w:szCs w:val="32"/>
        </w:rPr>
      </w:pPr>
    </w:p>
    <w:p w:rsidR="009E65EB" w:rsidRDefault="009E65EB">
      <w:pPr>
        <w:widowControl/>
        <w:spacing w:line="560" w:lineRule="exact"/>
        <w:jc w:val="left"/>
        <w:rPr>
          <w:rFonts w:ascii="仿宋_GB2312" w:eastAsia="仿宋_GB2312" w:hAnsi="宋体" w:cs="仿宋_GB2312"/>
          <w:color w:val="000000"/>
          <w:kern w:val="0"/>
          <w:sz w:val="32"/>
          <w:szCs w:val="32"/>
        </w:rPr>
      </w:pPr>
    </w:p>
    <w:p w:rsidR="00C16DD5" w:rsidRDefault="00BE0C94">
      <w:pPr>
        <w:widowControl/>
        <w:spacing w:line="560" w:lineRule="exact"/>
        <w:jc w:val="center"/>
      </w:pPr>
      <w:r>
        <w:rPr>
          <w:rFonts w:ascii="仿宋_GB2312" w:eastAsia="仿宋_GB2312" w:hAnsi="宋体" w:cs="仿宋_GB2312" w:hint="eastAsia"/>
          <w:color w:val="000000"/>
          <w:kern w:val="0"/>
          <w:sz w:val="32"/>
          <w:szCs w:val="32"/>
        </w:rPr>
        <w:t xml:space="preserve">                               青岛高新区管委综合部 </w:t>
      </w:r>
    </w:p>
    <w:p w:rsidR="00C16DD5" w:rsidRPr="00694E9B" w:rsidRDefault="00BE0C94" w:rsidP="00694E9B">
      <w:pPr>
        <w:widowControl/>
        <w:spacing w:line="560" w:lineRule="exact"/>
        <w:ind w:firstLineChars="1700" w:firstLine="5440"/>
        <w:jc w:val="left"/>
      </w:pPr>
      <w:r>
        <w:rPr>
          <w:rFonts w:ascii="仿宋_GB2312" w:eastAsia="仿宋_GB2312" w:hAnsi="宋体" w:cs="仿宋_GB2312" w:hint="eastAsia"/>
          <w:color w:val="000000"/>
          <w:kern w:val="0"/>
          <w:sz w:val="32"/>
          <w:szCs w:val="32"/>
        </w:rPr>
        <w:t>2024 年 12 月20日</w:t>
      </w:r>
    </w:p>
    <w:p w:rsidR="00C16DD5" w:rsidRDefault="00BE0C94">
      <w:pPr>
        <w:spacing w:line="560" w:lineRule="exact"/>
        <w:jc w:val="center"/>
        <w:textAlignment w:val="baseline"/>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高新区餐饮场所瓶装液化石油气转换</w:t>
      </w:r>
    </w:p>
    <w:p w:rsidR="00C16DD5" w:rsidRDefault="00BE0C94">
      <w:pPr>
        <w:spacing w:line="560" w:lineRule="exact"/>
        <w:jc w:val="center"/>
        <w:textAlignment w:val="baseline"/>
        <w:rPr>
          <w:rFonts w:ascii="楷体" w:eastAsia="楷体" w:hAnsi="楷体" w:cs="黑体"/>
          <w:sz w:val="32"/>
          <w:szCs w:val="32"/>
        </w:rPr>
      </w:pPr>
      <w:r>
        <w:rPr>
          <w:rFonts w:ascii="方正小标宋_GBK" w:eastAsia="方正小标宋_GBK" w:hAnsi="方正小标宋_GBK" w:cs="方正小标宋_GBK" w:hint="eastAsia"/>
          <w:sz w:val="44"/>
          <w:szCs w:val="44"/>
        </w:rPr>
        <w:t>管道天然气工作实施方案</w:t>
      </w:r>
    </w:p>
    <w:p w:rsidR="00C16DD5" w:rsidRDefault="00C16DD5">
      <w:pPr>
        <w:pStyle w:val="a3"/>
      </w:pPr>
    </w:p>
    <w:p w:rsidR="00C16DD5" w:rsidRDefault="00BE0C94">
      <w:pPr>
        <w:spacing w:line="560" w:lineRule="exact"/>
        <w:ind w:firstLineChars="200" w:firstLine="640"/>
        <w:textAlignment w:val="baseline"/>
        <w:rPr>
          <w:rFonts w:ascii="仿宋_GB2312" w:eastAsia="仿宋_GB2312" w:cs="黑体"/>
          <w:sz w:val="32"/>
          <w:szCs w:val="32"/>
        </w:rPr>
      </w:pPr>
      <w:r>
        <w:rPr>
          <w:rFonts w:ascii="仿宋_GB2312" w:eastAsia="仿宋_GB2312" w:cs="黑体" w:hint="eastAsia"/>
          <w:sz w:val="32"/>
          <w:szCs w:val="32"/>
        </w:rPr>
        <w:t>为贯彻落实国家、省、市城镇燃气安全专项治理工作部署，提高餐饮场所燃气使用本质安全水平，从源头防范化解餐饮场所燃气安全风险，有序推进瓶装液化石油气转换管道天然气（以下简称“瓶改管”）工作，根据《青岛市城镇燃气管道设施“带病运行”专项治理实施方案》（</w:t>
      </w:r>
      <w:proofErr w:type="gramStart"/>
      <w:r>
        <w:rPr>
          <w:rFonts w:ascii="仿宋_GB2312" w:eastAsia="仿宋_GB2312" w:cs="黑体" w:hint="eastAsia"/>
          <w:sz w:val="32"/>
          <w:szCs w:val="32"/>
        </w:rPr>
        <w:t>青办发电</w:t>
      </w:r>
      <w:proofErr w:type="gramEnd"/>
      <w:r>
        <w:rPr>
          <w:rFonts w:ascii="仿宋_GB2312" w:eastAsia="仿宋_GB2312" w:cs="黑体" w:hint="eastAsia"/>
          <w:sz w:val="32"/>
          <w:szCs w:val="32"/>
        </w:rPr>
        <w:t>〔2024〕6号）、《高新区城镇燃气管道设施“带病运行”专项治理实施方案》（</w:t>
      </w:r>
      <w:proofErr w:type="gramStart"/>
      <w:r>
        <w:rPr>
          <w:rFonts w:ascii="仿宋_GB2312" w:eastAsia="仿宋_GB2312" w:cs="黑体" w:hint="eastAsia"/>
          <w:sz w:val="32"/>
          <w:szCs w:val="32"/>
        </w:rPr>
        <w:t>青高新城管</w:t>
      </w:r>
      <w:proofErr w:type="gramEnd"/>
      <w:r>
        <w:rPr>
          <w:rFonts w:ascii="仿宋_GB2312" w:eastAsia="仿宋_GB2312" w:cs="黑体" w:hint="eastAsia"/>
          <w:sz w:val="32"/>
          <w:szCs w:val="32"/>
        </w:rPr>
        <w:t>（燃气）专委会〔2024〕2号），制定本方案。</w:t>
      </w:r>
    </w:p>
    <w:p w:rsidR="00C16DD5" w:rsidRDefault="00BE0C94">
      <w:pPr>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一、工作目标</w:t>
      </w:r>
    </w:p>
    <w:p w:rsidR="00C16DD5" w:rsidRDefault="00BE0C94">
      <w:pPr>
        <w:spacing w:line="560" w:lineRule="exact"/>
        <w:ind w:firstLineChars="200" w:firstLine="640"/>
        <w:textAlignment w:val="baseline"/>
        <w:rPr>
          <w:rFonts w:ascii="仿宋_GB2312" w:eastAsia="仿宋_GB2312" w:cs="黑体"/>
          <w:sz w:val="32"/>
          <w:szCs w:val="32"/>
        </w:rPr>
      </w:pPr>
      <w:r>
        <w:rPr>
          <w:rFonts w:ascii="仿宋_GB2312" w:eastAsia="仿宋_GB2312" w:cs="黑体" w:hint="eastAsia"/>
          <w:sz w:val="32"/>
          <w:szCs w:val="32"/>
        </w:rPr>
        <w:t>建立管委负责、管道燃气企业实施的工作体系，加快推进餐饮场所“瓶改管”工作，有效降低餐饮场所用气风险。2025</w:t>
      </w:r>
      <w:r>
        <w:rPr>
          <w:rFonts w:ascii="仿宋_GB2312" w:eastAsia="仿宋_GB2312" w:cs="黑体"/>
          <w:sz w:val="32"/>
          <w:szCs w:val="32"/>
        </w:rPr>
        <w:t>年</w:t>
      </w:r>
      <w:r>
        <w:rPr>
          <w:rFonts w:ascii="仿宋_GB2312" w:eastAsia="仿宋_GB2312" w:cs="黑体" w:hint="eastAsia"/>
          <w:sz w:val="32"/>
          <w:szCs w:val="32"/>
        </w:rPr>
        <w:t>年底前，按照“政府奖补、企业优惠、愿改尽改”</w:t>
      </w:r>
      <w:r>
        <w:rPr>
          <w:rFonts w:ascii="仿宋_GB2312" w:eastAsia="仿宋_GB2312" w:cs="黑体"/>
          <w:sz w:val="32"/>
          <w:szCs w:val="32"/>
        </w:rPr>
        <w:t>的</w:t>
      </w:r>
      <w:r>
        <w:rPr>
          <w:rFonts w:ascii="仿宋_GB2312" w:eastAsia="仿宋_GB2312" w:cs="黑体" w:hint="eastAsia"/>
          <w:sz w:val="32"/>
          <w:szCs w:val="32"/>
        </w:rPr>
        <w:t>原则，在全区范围内开展餐饮场所“</w:t>
      </w:r>
      <w:r>
        <w:rPr>
          <w:rFonts w:ascii="仿宋_GB2312" w:eastAsia="仿宋_GB2312" w:cs="黑体"/>
          <w:sz w:val="32"/>
          <w:szCs w:val="32"/>
        </w:rPr>
        <w:t>瓶改管</w:t>
      </w:r>
      <w:r>
        <w:rPr>
          <w:rFonts w:ascii="仿宋_GB2312" w:eastAsia="仿宋_GB2312" w:cs="黑体" w:hint="eastAsia"/>
          <w:sz w:val="32"/>
          <w:szCs w:val="32"/>
        </w:rPr>
        <w:t>”工作，基本实现符合条件、有安装意愿的餐饮场所管道天然气全覆盖。</w:t>
      </w:r>
    </w:p>
    <w:p w:rsidR="00C16DD5" w:rsidRDefault="00BE0C94">
      <w:pPr>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二、适用范围</w:t>
      </w:r>
    </w:p>
    <w:p w:rsidR="00C16DD5" w:rsidRDefault="00BE0C94">
      <w:pPr>
        <w:spacing w:line="560" w:lineRule="exact"/>
        <w:ind w:firstLineChars="200" w:firstLine="640"/>
        <w:textAlignment w:val="baseline"/>
        <w:rPr>
          <w:rFonts w:ascii="仿宋_GB2312" w:eastAsia="仿宋_GB2312" w:cs="黑体"/>
          <w:dstrike/>
          <w:sz w:val="32"/>
          <w:szCs w:val="32"/>
        </w:rPr>
      </w:pPr>
      <w:r>
        <w:rPr>
          <w:rFonts w:ascii="仿宋_GB2312" w:eastAsia="仿宋_GB2312" w:cs="黑体" w:hint="eastAsia"/>
          <w:sz w:val="32"/>
          <w:szCs w:val="32"/>
        </w:rPr>
        <w:t>在城市燃气管网覆盖范围内、符合管道天然气设施建设规范、产权明晰、取得营业执照及食品经营许可证的餐饮经营、食品加工单位，以及机关事业、医院、民政服务机构、学校（含幼儿园）、企业单位食堂等各类提供餐饮服务的场所。</w:t>
      </w:r>
    </w:p>
    <w:p w:rsidR="00C16DD5" w:rsidRDefault="00BE0C94">
      <w:pPr>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三、支持政策</w:t>
      </w:r>
    </w:p>
    <w:p w:rsidR="00C16DD5" w:rsidRDefault="00BE0C94">
      <w:pPr>
        <w:spacing w:line="560" w:lineRule="exact"/>
        <w:ind w:firstLineChars="200" w:firstLine="640"/>
        <w:textAlignment w:val="baseline"/>
        <w:rPr>
          <w:rFonts w:ascii="仿宋_GB2312" w:eastAsia="仿宋_GB2312" w:cs="黑体"/>
          <w:sz w:val="32"/>
          <w:szCs w:val="32"/>
        </w:rPr>
      </w:pPr>
      <w:r>
        <w:rPr>
          <w:rFonts w:ascii="楷体_GB2312" w:eastAsia="楷体_GB2312" w:hAnsi="楷体_GB2312" w:cs="楷体_GB2312" w:hint="eastAsia"/>
          <w:sz w:val="32"/>
          <w:szCs w:val="32"/>
        </w:rPr>
        <w:t>（一）中小餐饮场所</w:t>
      </w:r>
      <w:proofErr w:type="gramStart"/>
      <w:r>
        <w:rPr>
          <w:rFonts w:ascii="楷体_GB2312" w:eastAsia="楷体_GB2312" w:hAnsi="楷体_GB2312" w:cs="楷体_GB2312" w:hint="eastAsia"/>
          <w:sz w:val="32"/>
          <w:szCs w:val="32"/>
        </w:rPr>
        <w:t>改造奖补</w:t>
      </w:r>
      <w:proofErr w:type="gramEnd"/>
      <w:r>
        <w:rPr>
          <w:rFonts w:ascii="楷体_GB2312" w:eastAsia="楷体_GB2312" w:hAnsi="楷体_GB2312" w:cs="楷体_GB2312" w:hint="eastAsia"/>
          <w:sz w:val="32"/>
          <w:szCs w:val="32"/>
        </w:rPr>
        <w:t>。</w:t>
      </w:r>
      <w:r>
        <w:rPr>
          <w:rFonts w:ascii="仿宋_GB2312" w:eastAsia="仿宋_GB2312" w:cs="黑体" w:hint="eastAsia"/>
          <w:sz w:val="32"/>
          <w:szCs w:val="32"/>
        </w:rPr>
        <w:t>自本方案印发之日起至2025</w:t>
      </w:r>
      <w:r>
        <w:rPr>
          <w:rFonts w:ascii="仿宋_GB2312" w:eastAsia="仿宋_GB2312" w:cs="黑体" w:hint="eastAsia"/>
          <w:sz w:val="32"/>
          <w:szCs w:val="32"/>
        </w:rPr>
        <w:lastRenderedPageBreak/>
        <w:t>年12月31日，对高新区范围内，改造后燃气表额定流量之和不大于16立方米/小时的中小餐饮场所的建筑红线内工程费用，由区财政给予奖补，其中：对自本方案印发之日起至2025年10月底前实施并完成改造的，</w:t>
      </w:r>
      <w:r>
        <w:rPr>
          <w:rStyle w:val="NormalCharacter"/>
          <w:rFonts w:ascii="仿宋_GB2312" w:eastAsia="仿宋_GB2312" w:hAnsi="仿宋_GB2312" w:cs="仿宋_GB2312" w:hint="eastAsia"/>
          <w:sz w:val="32"/>
          <w:szCs w:val="32"/>
        </w:rPr>
        <w:t>按照5000元/户</w:t>
      </w:r>
      <w:proofErr w:type="gramStart"/>
      <w:r>
        <w:rPr>
          <w:rStyle w:val="NormalCharacter"/>
          <w:rFonts w:ascii="仿宋_GB2312" w:eastAsia="仿宋_GB2312" w:hAnsi="仿宋_GB2312" w:cs="仿宋_GB2312" w:hint="eastAsia"/>
          <w:sz w:val="32"/>
          <w:szCs w:val="32"/>
        </w:rPr>
        <w:t>标准奖补</w:t>
      </w:r>
      <w:proofErr w:type="gramEnd"/>
      <w:r>
        <w:rPr>
          <w:rStyle w:val="NormalCharacter"/>
          <w:rFonts w:ascii="仿宋_GB2312" w:eastAsia="仿宋_GB2312" w:hAnsi="仿宋_GB2312" w:cs="仿宋_GB2312" w:hint="eastAsia"/>
          <w:sz w:val="32"/>
          <w:szCs w:val="32"/>
        </w:rPr>
        <w:t>；对2025年11月至2025年年底前实施并完成改造的，按照3000元/户</w:t>
      </w:r>
      <w:proofErr w:type="gramStart"/>
      <w:r>
        <w:rPr>
          <w:rStyle w:val="NormalCharacter"/>
          <w:rFonts w:ascii="仿宋_GB2312" w:eastAsia="仿宋_GB2312" w:hAnsi="仿宋_GB2312" w:cs="仿宋_GB2312" w:hint="eastAsia"/>
          <w:sz w:val="32"/>
          <w:szCs w:val="32"/>
        </w:rPr>
        <w:t>标准奖补</w:t>
      </w:r>
      <w:proofErr w:type="gramEnd"/>
      <w:r>
        <w:rPr>
          <w:rStyle w:val="NormalCharacter"/>
          <w:rFonts w:ascii="仿宋_GB2312" w:eastAsia="仿宋_GB2312" w:hAnsi="仿宋_GB2312" w:cs="仿宋_GB2312" w:hint="eastAsia"/>
          <w:sz w:val="32"/>
          <w:szCs w:val="32"/>
        </w:rPr>
        <w:t>；对工程费用低于上述标准的，据实奖补。符合条件的中小餐饮场所用户仅需</w:t>
      </w:r>
      <w:r>
        <w:rPr>
          <w:rStyle w:val="NormalCharacter"/>
          <w:rFonts w:ascii="仿宋_GB2312" w:eastAsia="仿宋_GB2312" w:hAnsi="仿宋_GB2312" w:cs="仿宋_GB2312"/>
          <w:sz w:val="32"/>
          <w:szCs w:val="32"/>
        </w:rPr>
        <w:t>向</w:t>
      </w:r>
      <w:r>
        <w:rPr>
          <w:rStyle w:val="NormalCharacter"/>
          <w:rFonts w:ascii="仿宋_GB2312" w:eastAsia="仿宋_GB2312" w:hAnsi="仿宋_GB2312" w:cs="仿宋_GB2312" w:hint="eastAsia"/>
          <w:sz w:val="32"/>
          <w:szCs w:val="32"/>
        </w:rPr>
        <w:t>燃气</w:t>
      </w:r>
      <w:r>
        <w:rPr>
          <w:rStyle w:val="NormalCharacter"/>
          <w:rFonts w:ascii="仿宋_GB2312" w:eastAsia="仿宋_GB2312" w:hAnsi="仿宋_GB2312" w:cs="仿宋_GB2312"/>
          <w:sz w:val="32"/>
          <w:szCs w:val="32"/>
        </w:rPr>
        <w:t>企业支付</w:t>
      </w:r>
      <w:r>
        <w:rPr>
          <w:rStyle w:val="NormalCharacter"/>
          <w:rFonts w:ascii="仿宋_GB2312" w:eastAsia="仿宋_GB2312" w:hAnsi="仿宋_GB2312" w:cs="仿宋_GB2312" w:hint="eastAsia"/>
          <w:sz w:val="32"/>
          <w:szCs w:val="32"/>
        </w:rPr>
        <w:t>扣除</w:t>
      </w:r>
      <w:proofErr w:type="gramStart"/>
      <w:r>
        <w:rPr>
          <w:rStyle w:val="NormalCharacter"/>
          <w:rFonts w:ascii="仿宋_GB2312" w:eastAsia="仿宋_GB2312" w:hAnsi="仿宋_GB2312" w:cs="仿宋_GB2312" w:hint="eastAsia"/>
          <w:sz w:val="32"/>
          <w:szCs w:val="32"/>
        </w:rPr>
        <w:t>政府奖补后</w:t>
      </w:r>
      <w:proofErr w:type="gramEnd"/>
      <w:r>
        <w:rPr>
          <w:rStyle w:val="NormalCharacter"/>
          <w:rFonts w:ascii="仿宋_GB2312" w:eastAsia="仿宋_GB2312" w:hAnsi="仿宋_GB2312" w:cs="仿宋_GB2312" w:hint="eastAsia"/>
          <w:sz w:val="32"/>
          <w:szCs w:val="32"/>
        </w:rPr>
        <w:t>的费用</w:t>
      </w:r>
      <w:r>
        <w:rPr>
          <w:rFonts w:ascii="仿宋_GB2312" w:eastAsia="仿宋_GB2312" w:cs="黑体" w:hint="eastAsia"/>
          <w:sz w:val="32"/>
          <w:szCs w:val="32"/>
        </w:rPr>
        <w:t>。</w:t>
      </w:r>
    </w:p>
    <w:p w:rsidR="00C16DD5" w:rsidRDefault="00BE0C94">
      <w:pPr>
        <w:spacing w:line="560" w:lineRule="exact"/>
        <w:ind w:firstLineChars="200" w:firstLine="640"/>
        <w:textAlignment w:val="baseline"/>
        <w:rPr>
          <w:rStyle w:val="NormalCharacter"/>
          <w:rFonts w:ascii="仿宋_GB2312" w:eastAsia="仿宋_GB2312" w:hAnsi="仿宋_GB2312" w:cs="仿宋_GB2312"/>
          <w:sz w:val="32"/>
          <w:szCs w:val="32"/>
        </w:rPr>
      </w:pPr>
      <w:r>
        <w:rPr>
          <w:rFonts w:ascii="楷体_GB2312" w:eastAsia="楷体_GB2312" w:hAnsi="楷体_GB2312" w:cs="楷体_GB2312" w:hint="eastAsia"/>
          <w:sz w:val="32"/>
          <w:szCs w:val="32"/>
        </w:rPr>
        <w:t>（二）管道燃气企业优惠让利。</w:t>
      </w:r>
      <w:r>
        <w:rPr>
          <w:rFonts w:ascii="仿宋_GB2312" w:eastAsia="仿宋_GB2312" w:cs="黑体" w:hint="eastAsia"/>
          <w:sz w:val="32"/>
          <w:szCs w:val="32"/>
        </w:rPr>
        <w:t>自本方案印发之日起至2025年12月31日，对高新区范围内，改造后燃气表额定流量之和不大于16立方米/小时的中小餐饮场所,在用气集中区域</w:t>
      </w:r>
      <w:r>
        <w:rPr>
          <w:rStyle w:val="NormalCharacter"/>
          <w:rFonts w:ascii="仿宋_GB2312" w:eastAsia="仿宋_GB2312" w:hAnsi="仿宋_GB2312" w:cs="仿宋_GB2312" w:hint="eastAsia"/>
          <w:sz w:val="32"/>
          <w:szCs w:val="32"/>
        </w:rPr>
        <w:t>一次性开发3户及以上的</w:t>
      </w:r>
      <w:r>
        <w:rPr>
          <w:rFonts w:ascii="仿宋_GB2312" w:eastAsia="仿宋_GB2312" w:cs="黑体" w:hint="eastAsia"/>
          <w:sz w:val="32"/>
          <w:szCs w:val="32"/>
        </w:rPr>
        <w:t>，由管道燃气企业免费配管至用气点外，逐户预留气源接口</w:t>
      </w:r>
      <w:r>
        <w:rPr>
          <w:rStyle w:val="NormalCharacter"/>
          <w:rFonts w:ascii="仿宋_GB2312" w:eastAsia="仿宋_GB2312" w:hAnsi="仿宋_GB2312" w:cs="仿宋_GB2312" w:hint="eastAsia"/>
          <w:sz w:val="32"/>
          <w:szCs w:val="32"/>
        </w:rPr>
        <w:t>；免收</w:t>
      </w:r>
      <w:r>
        <w:rPr>
          <w:rFonts w:ascii="仿宋_GB2312" w:eastAsia="仿宋_GB2312" w:cs="黑体" w:hint="eastAsia"/>
          <w:sz w:val="32"/>
          <w:szCs w:val="32"/>
        </w:rPr>
        <w:t>中小餐饮场所</w:t>
      </w:r>
      <w:r>
        <w:rPr>
          <w:rStyle w:val="NormalCharacter"/>
          <w:rFonts w:ascii="仿宋_GB2312" w:eastAsia="仿宋_GB2312" w:hAnsi="仿宋_GB2312" w:cs="仿宋_GB2312" w:hint="eastAsia"/>
          <w:sz w:val="32"/>
          <w:szCs w:val="32"/>
        </w:rPr>
        <w:t>的前期勘察测绘费、设计费、监理费及不可预见费。</w:t>
      </w:r>
    </w:p>
    <w:p w:rsidR="00C16DD5" w:rsidRDefault="00BE0C94">
      <w:pPr>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四、保障措施</w:t>
      </w:r>
    </w:p>
    <w:p w:rsidR="00C16DD5" w:rsidRDefault="00BE0C94">
      <w:pPr>
        <w:spacing w:line="560" w:lineRule="exact"/>
        <w:ind w:firstLineChars="200" w:firstLine="640"/>
        <w:textAlignment w:val="baseline"/>
        <w:rPr>
          <w:rFonts w:ascii="仿宋_GB2312" w:eastAsia="仿宋_GB2312" w:cs="黑体"/>
          <w:sz w:val="32"/>
          <w:szCs w:val="32"/>
        </w:rPr>
      </w:pPr>
      <w:r>
        <w:rPr>
          <w:rFonts w:ascii="楷体_GB2312" w:eastAsia="楷体_GB2312" w:hAnsi="楷体_GB2312" w:cs="楷体_GB2312" w:hint="eastAsia"/>
          <w:sz w:val="32"/>
          <w:szCs w:val="32"/>
        </w:rPr>
        <w:t>（一）资金保障。</w:t>
      </w:r>
      <w:r>
        <w:rPr>
          <w:rFonts w:ascii="仿宋_GB2312" w:eastAsia="仿宋_GB2312" w:cs="黑体" w:hint="eastAsia"/>
          <w:sz w:val="32"/>
          <w:szCs w:val="32"/>
        </w:rPr>
        <w:t>管道燃气企业向建设部报送</w:t>
      </w:r>
      <w:r>
        <w:rPr>
          <w:rFonts w:ascii="仿宋_GB2312" w:eastAsia="仿宋_GB2312" w:cs="黑体"/>
          <w:sz w:val="32"/>
          <w:szCs w:val="32"/>
        </w:rPr>
        <w:t>用户发展明细</w:t>
      </w:r>
      <w:r>
        <w:rPr>
          <w:rFonts w:ascii="仿宋_GB2312" w:eastAsia="仿宋_GB2312" w:cs="黑体" w:hint="eastAsia"/>
          <w:sz w:val="32"/>
          <w:szCs w:val="32"/>
        </w:rPr>
        <w:t>等，经建设部组织第三方机构对建筑红线内燃气工程费用及</w:t>
      </w:r>
      <w:proofErr w:type="gramStart"/>
      <w:r>
        <w:rPr>
          <w:rFonts w:ascii="仿宋_GB2312" w:eastAsia="仿宋_GB2312" w:cs="黑体" w:hint="eastAsia"/>
          <w:sz w:val="32"/>
          <w:szCs w:val="32"/>
        </w:rPr>
        <w:t>应奖补金额</w:t>
      </w:r>
      <w:proofErr w:type="gramEnd"/>
      <w:r>
        <w:rPr>
          <w:rFonts w:ascii="仿宋_GB2312" w:eastAsia="仿宋_GB2312" w:cs="黑体" w:hint="eastAsia"/>
          <w:sz w:val="32"/>
          <w:szCs w:val="32"/>
        </w:rPr>
        <w:t>审核认定后</w:t>
      </w:r>
      <w:bookmarkStart w:id="0" w:name="_GoBack"/>
      <w:bookmarkEnd w:id="0"/>
      <w:r>
        <w:rPr>
          <w:rFonts w:ascii="仿宋_GB2312" w:eastAsia="仿宋_GB2312" w:cs="黑体" w:hint="eastAsia"/>
          <w:sz w:val="32"/>
          <w:szCs w:val="32"/>
        </w:rPr>
        <w:t>，按程序报财政金融部</w:t>
      </w:r>
      <w:proofErr w:type="gramStart"/>
      <w:r>
        <w:rPr>
          <w:rFonts w:ascii="仿宋_GB2312" w:eastAsia="仿宋_GB2312" w:cs="黑体" w:hint="eastAsia"/>
          <w:sz w:val="32"/>
          <w:szCs w:val="32"/>
        </w:rPr>
        <w:t>申请奖补资金</w:t>
      </w:r>
      <w:proofErr w:type="gramEnd"/>
      <w:r>
        <w:rPr>
          <w:rFonts w:ascii="仿宋_GB2312" w:eastAsia="仿宋_GB2312" w:cs="黑体" w:hint="eastAsia"/>
          <w:sz w:val="32"/>
          <w:szCs w:val="32"/>
        </w:rPr>
        <w:t>。</w:t>
      </w:r>
    </w:p>
    <w:p w:rsidR="00C16DD5" w:rsidRDefault="00BE0C94">
      <w:pPr>
        <w:spacing w:line="560" w:lineRule="exact"/>
        <w:ind w:firstLineChars="200" w:firstLine="640"/>
        <w:textAlignment w:val="baseline"/>
        <w:rPr>
          <w:rFonts w:ascii="仿宋_GB2312" w:eastAsia="仿宋_GB2312" w:cs="黑体"/>
          <w:strike/>
          <w:color w:val="0000FF"/>
          <w:sz w:val="32"/>
          <w:szCs w:val="32"/>
        </w:rPr>
      </w:pPr>
      <w:r>
        <w:rPr>
          <w:rFonts w:ascii="楷体_GB2312" w:eastAsia="楷体_GB2312" w:hAnsi="楷体_GB2312" w:cs="楷体_GB2312" w:hint="eastAsia"/>
          <w:sz w:val="32"/>
          <w:szCs w:val="32"/>
        </w:rPr>
        <w:t>（二）市政管线配套建设保障。</w:t>
      </w:r>
      <w:r>
        <w:rPr>
          <w:rFonts w:ascii="仿宋_GB2312" w:eastAsia="仿宋_GB2312" w:hAnsi="E-BX" w:cs="仿宋_GB2312" w:hint="eastAsia"/>
          <w:sz w:val="32"/>
          <w:szCs w:val="32"/>
        </w:rPr>
        <w:t>餐饮场所建筑红线外燃气管道接入工程涉及道路开挖修复、城市绿化补偿等相关费用，</w:t>
      </w:r>
      <w:r>
        <w:rPr>
          <w:rFonts w:ascii="仿宋_GB2312" w:eastAsia="仿宋_GB2312" w:cs="黑体" w:hint="eastAsia"/>
          <w:sz w:val="32"/>
          <w:szCs w:val="32"/>
        </w:rPr>
        <w:t>按照“成本补偿”原则，合理确定收费标准，不收取惩罚性费用，对占道施工等政府性收费按规定落实有关减免政策。</w:t>
      </w:r>
      <w:r>
        <w:rPr>
          <w:rFonts w:ascii="仿宋_GB2312" w:eastAsia="仿宋_GB2312" w:hAnsi="E-BX" w:cs="仿宋_GB2312" w:hint="eastAsia"/>
          <w:sz w:val="32"/>
          <w:szCs w:val="32"/>
        </w:rPr>
        <w:t>涉及市政道路挖掘、园林绿化占用的，行政审批等相关部门按有关</w:t>
      </w:r>
      <w:proofErr w:type="gramStart"/>
      <w:r>
        <w:rPr>
          <w:rFonts w:ascii="仿宋_GB2312" w:eastAsia="仿宋_GB2312" w:hAnsi="E-BX" w:cs="仿宋_GB2312" w:hint="eastAsia"/>
          <w:sz w:val="32"/>
          <w:szCs w:val="32"/>
        </w:rPr>
        <w:t>规定容缺受</w:t>
      </w:r>
      <w:r>
        <w:rPr>
          <w:rFonts w:ascii="仿宋_GB2312" w:eastAsia="仿宋_GB2312" w:hAnsi="E-BX" w:cs="仿宋_GB2312" w:hint="eastAsia"/>
          <w:sz w:val="32"/>
          <w:szCs w:val="32"/>
        </w:rPr>
        <w:lastRenderedPageBreak/>
        <w:t>理</w:t>
      </w:r>
      <w:proofErr w:type="gramEnd"/>
      <w:r>
        <w:rPr>
          <w:rFonts w:ascii="仿宋_GB2312" w:eastAsia="仿宋_GB2312" w:hAnsi="E-BX" w:cs="仿宋_GB2312" w:hint="eastAsia"/>
          <w:sz w:val="32"/>
          <w:szCs w:val="32"/>
        </w:rPr>
        <w:t>、并联审批，在规定时限内加快完成审批工作。</w:t>
      </w:r>
    </w:p>
    <w:p w:rsidR="00C16DD5" w:rsidRDefault="00BE0C94">
      <w:pPr>
        <w:spacing w:line="560" w:lineRule="exact"/>
        <w:ind w:firstLineChars="200" w:firstLine="640"/>
        <w:textAlignment w:val="baseline"/>
        <w:rPr>
          <w:rFonts w:ascii="仿宋_GB2312" w:eastAsia="仿宋_GB2312" w:cs="黑体"/>
          <w:sz w:val="32"/>
          <w:szCs w:val="32"/>
        </w:rPr>
      </w:pPr>
      <w:r>
        <w:rPr>
          <w:rFonts w:ascii="楷体_GB2312" w:eastAsia="楷体_GB2312" w:hAnsi="楷体_GB2312" w:cs="楷体_GB2312" w:hint="eastAsia"/>
          <w:sz w:val="32"/>
          <w:szCs w:val="32"/>
        </w:rPr>
        <w:t>（三）加快管道天然气普及工作。</w:t>
      </w:r>
      <w:r>
        <w:rPr>
          <w:rFonts w:ascii="仿宋_GB2312" w:eastAsia="仿宋_GB2312" w:cs="黑体" w:hint="eastAsia"/>
          <w:sz w:val="32"/>
          <w:szCs w:val="32"/>
        </w:rPr>
        <w:t>在燃气设施专项规划确定的管道燃气覆盖范围内，新建住宅（</w:t>
      </w:r>
      <w:proofErr w:type="gramStart"/>
      <w:r>
        <w:rPr>
          <w:rFonts w:ascii="仿宋_GB2312" w:eastAsia="仿宋_GB2312" w:cs="黑体" w:hint="eastAsia"/>
          <w:sz w:val="32"/>
          <w:szCs w:val="32"/>
        </w:rPr>
        <w:t>含底商</w:t>
      </w:r>
      <w:proofErr w:type="gramEnd"/>
      <w:r>
        <w:rPr>
          <w:rFonts w:ascii="仿宋_GB2312" w:eastAsia="仿宋_GB2312" w:cs="黑体" w:hint="eastAsia"/>
          <w:sz w:val="32"/>
          <w:szCs w:val="32"/>
        </w:rPr>
        <w:t>）、</w:t>
      </w:r>
      <w:proofErr w:type="gramStart"/>
      <w:r>
        <w:rPr>
          <w:rFonts w:ascii="仿宋_GB2312" w:eastAsia="仿宋_GB2312" w:cs="黑体" w:hint="eastAsia"/>
          <w:sz w:val="32"/>
          <w:szCs w:val="32"/>
        </w:rPr>
        <w:t>科创园区</w:t>
      </w:r>
      <w:proofErr w:type="gramEnd"/>
      <w:r>
        <w:rPr>
          <w:rFonts w:ascii="仿宋_GB2312" w:eastAsia="仿宋_GB2312" w:cs="黑体" w:hint="eastAsia"/>
          <w:sz w:val="32"/>
          <w:szCs w:val="32"/>
        </w:rPr>
        <w:t>以及需要使用燃气的建设项目，应当配套建设相应的管道燃气设施。管道燃气企业应当将燃气管道配套至新建住宅的底商外，并预留气源接口。</w:t>
      </w:r>
    </w:p>
    <w:p w:rsidR="00C16DD5" w:rsidRDefault="00BE0C94">
      <w:pPr>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五、工作分工</w:t>
      </w:r>
    </w:p>
    <w:p w:rsidR="00C16DD5" w:rsidRDefault="00BE0C94">
      <w:pPr>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建设部负责统筹调度“瓶改管”工作，协调有关部门和管道燃气企业在工作推进过程中需要解决的问题，负责组织第三方机构对辖区中小餐饮场所建筑红线内燃气工程费用及</w:t>
      </w:r>
      <w:proofErr w:type="gramStart"/>
      <w:r>
        <w:rPr>
          <w:rFonts w:ascii="仿宋_GB2312" w:eastAsia="仿宋_GB2312" w:cs="黑体" w:hint="eastAsia"/>
          <w:sz w:val="32"/>
          <w:szCs w:val="32"/>
        </w:rPr>
        <w:t>应奖补金额</w:t>
      </w:r>
      <w:proofErr w:type="gramEnd"/>
      <w:r>
        <w:rPr>
          <w:rFonts w:ascii="仿宋_GB2312" w:eastAsia="仿宋_GB2312" w:cs="黑体" w:hint="eastAsia"/>
          <w:sz w:val="32"/>
          <w:szCs w:val="32"/>
        </w:rPr>
        <w:t>进行审核认定。</w:t>
      </w:r>
    </w:p>
    <w:p w:rsidR="00C16DD5" w:rsidRDefault="00BE0C94">
      <w:pPr>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财政金融部负责</w:t>
      </w:r>
      <w:proofErr w:type="gramStart"/>
      <w:r>
        <w:rPr>
          <w:rFonts w:ascii="仿宋_GB2312" w:eastAsia="仿宋_GB2312" w:cs="黑体" w:hint="eastAsia"/>
          <w:sz w:val="32"/>
          <w:szCs w:val="32"/>
        </w:rPr>
        <w:t>辖区奖补</w:t>
      </w:r>
      <w:proofErr w:type="gramEnd"/>
      <w:r>
        <w:rPr>
          <w:rFonts w:ascii="仿宋_GB2312" w:eastAsia="仿宋_GB2312" w:cs="黑体" w:hint="eastAsia"/>
          <w:sz w:val="32"/>
          <w:szCs w:val="32"/>
        </w:rPr>
        <w:t>资金筹措及拨付工作。</w:t>
      </w:r>
    </w:p>
    <w:p w:rsidR="00C16DD5" w:rsidRDefault="00BE0C94">
      <w:pPr>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经济发展部、科技创新部、城阳区高新便民服务中心负责督促餐饮经营单位积极申请配套管道天然气。</w:t>
      </w:r>
    </w:p>
    <w:p w:rsidR="00C16DD5" w:rsidRDefault="00BE0C94">
      <w:pPr>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城阳区民政局负责督促民政服务机构积极申请配套管道天然气。</w:t>
      </w:r>
    </w:p>
    <w:p w:rsidR="00C16DD5" w:rsidRDefault="00BE0C94">
      <w:pPr>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党群工作部负责督促学校（含幼儿园）积极申请配套管道天然气。</w:t>
      </w:r>
    </w:p>
    <w:p w:rsidR="00C16DD5" w:rsidRDefault="00BE0C94">
      <w:pPr>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行政审批服务部、高新区交警大队、市自然资源和</w:t>
      </w:r>
      <w:proofErr w:type="gramStart"/>
      <w:r>
        <w:rPr>
          <w:rFonts w:ascii="仿宋_GB2312" w:eastAsia="仿宋_GB2312" w:cs="黑体" w:hint="eastAsia"/>
          <w:sz w:val="32"/>
          <w:szCs w:val="32"/>
        </w:rPr>
        <w:t>规划局高新区</w:t>
      </w:r>
      <w:proofErr w:type="gramEnd"/>
      <w:r>
        <w:rPr>
          <w:rFonts w:ascii="仿宋_GB2312" w:eastAsia="仿宋_GB2312" w:cs="黑体" w:hint="eastAsia"/>
          <w:sz w:val="32"/>
          <w:szCs w:val="32"/>
        </w:rPr>
        <w:t>分局照职责分工高效办理“瓶改管”工程项目涉及的行政许可等事项。</w:t>
      </w:r>
    </w:p>
    <w:p w:rsidR="00C16DD5" w:rsidRDefault="00BE0C94">
      <w:pPr>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管道燃气企业负责制定具体工作方案、出台优惠让利政策、科学有序组织施工、合理安排验收通气；负责建立“瓶改管”餐饮用户有关</w:t>
      </w:r>
      <w:proofErr w:type="gramStart"/>
      <w:r>
        <w:rPr>
          <w:rFonts w:ascii="仿宋_GB2312" w:eastAsia="仿宋_GB2312" w:cs="黑体" w:hint="eastAsia"/>
          <w:sz w:val="32"/>
          <w:szCs w:val="32"/>
        </w:rPr>
        <w:t>资料台</w:t>
      </w:r>
      <w:proofErr w:type="gramEnd"/>
      <w:r>
        <w:rPr>
          <w:rFonts w:ascii="仿宋_GB2312" w:eastAsia="仿宋_GB2312" w:cs="黑体" w:hint="eastAsia"/>
          <w:sz w:val="32"/>
          <w:szCs w:val="32"/>
        </w:rPr>
        <w:t>账，配合做好核查、统计等工作。</w:t>
      </w:r>
    </w:p>
    <w:p w:rsidR="00C16DD5" w:rsidRDefault="00BE0C94">
      <w:pPr>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六、工作要求</w:t>
      </w:r>
    </w:p>
    <w:p w:rsidR="00C16DD5" w:rsidRDefault="00BE0C94">
      <w:pPr>
        <w:spacing w:line="560" w:lineRule="exact"/>
        <w:ind w:firstLineChars="200" w:firstLine="640"/>
        <w:textAlignment w:val="baseline"/>
        <w:rPr>
          <w:rFonts w:ascii="仿宋_GB2312" w:eastAsia="仿宋_GB2312" w:cs="黑体"/>
          <w:sz w:val="32"/>
          <w:szCs w:val="32"/>
        </w:rPr>
      </w:pPr>
      <w:r>
        <w:rPr>
          <w:rFonts w:ascii="楷体_GB2312" w:eastAsia="楷体_GB2312" w:hAnsi="楷体_GB2312" w:cs="楷体_GB2312" w:hint="eastAsia"/>
          <w:sz w:val="32"/>
          <w:szCs w:val="32"/>
        </w:rPr>
        <w:t>（一）提高站位，聚力推进。</w:t>
      </w:r>
      <w:r>
        <w:rPr>
          <w:rFonts w:ascii="仿宋_GB2312" w:eastAsia="仿宋_GB2312" w:cs="黑体" w:hint="eastAsia"/>
          <w:sz w:val="32"/>
          <w:szCs w:val="32"/>
        </w:rPr>
        <w:t>采取</w:t>
      </w:r>
      <w:proofErr w:type="gramStart"/>
      <w:r>
        <w:rPr>
          <w:rFonts w:ascii="仿宋_GB2312" w:eastAsia="仿宋_GB2312" w:cs="黑体" w:hint="eastAsia"/>
          <w:sz w:val="32"/>
          <w:szCs w:val="32"/>
        </w:rPr>
        <w:t>奖补方式</w:t>
      </w:r>
      <w:proofErr w:type="gramEnd"/>
      <w:r>
        <w:rPr>
          <w:rFonts w:ascii="仿宋_GB2312" w:eastAsia="仿宋_GB2312" w:cs="黑体" w:hint="eastAsia"/>
          <w:sz w:val="32"/>
          <w:szCs w:val="32"/>
        </w:rPr>
        <w:t>发展管道天然气餐饮用户是</w:t>
      </w:r>
      <w:r>
        <w:rPr>
          <w:rFonts w:ascii="仿宋_GB2312" w:eastAsia="仿宋_GB2312" w:cs="黑体"/>
          <w:sz w:val="32"/>
          <w:szCs w:val="32"/>
        </w:rPr>
        <w:t>我市</w:t>
      </w:r>
      <w:r>
        <w:rPr>
          <w:rFonts w:ascii="仿宋_GB2312" w:eastAsia="仿宋_GB2312" w:cs="黑体" w:hint="eastAsia"/>
          <w:sz w:val="32"/>
          <w:szCs w:val="32"/>
        </w:rPr>
        <w:t>为民办实事的具体体现，是保障社会公共安全的有力举措，各相关部门、管道燃气企业要高度重视，加强信息沟通和协作配合，形成联动机制和工作合力，及时协调解决实施过程中的困难和问题，确保“</w:t>
      </w:r>
      <w:r>
        <w:rPr>
          <w:rFonts w:ascii="仿宋_GB2312" w:eastAsia="仿宋_GB2312" w:cs="黑体"/>
          <w:sz w:val="32"/>
          <w:szCs w:val="32"/>
        </w:rPr>
        <w:t>瓶改管</w:t>
      </w:r>
      <w:r>
        <w:rPr>
          <w:rFonts w:ascii="仿宋_GB2312" w:eastAsia="仿宋_GB2312" w:cs="黑体" w:hint="eastAsia"/>
          <w:sz w:val="32"/>
          <w:szCs w:val="32"/>
        </w:rPr>
        <w:t>”工作有力有序推进。</w:t>
      </w:r>
    </w:p>
    <w:p w:rsidR="00C16DD5" w:rsidRDefault="00BE0C94">
      <w:pPr>
        <w:spacing w:line="560" w:lineRule="exact"/>
        <w:ind w:firstLineChars="200" w:firstLine="640"/>
        <w:textAlignment w:val="baseline"/>
        <w:rPr>
          <w:rFonts w:ascii="仿宋_GB2312" w:eastAsia="仿宋_GB2312" w:cs="黑体"/>
          <w:sz w:val="32"/>
          <w:szCs w:val="32"/>
        </w:rPr>
      </w:pPr>
      <w:r>
        <w:rPr>
          <w:rFonts w:ascii="楷体_GB2312" w:eastAsia="楷体_GB2312" w:hAnsi="楷体_GB2312" w:cs="楷体_GB2312" w:hint="eastAsia"/>
          <w:sz w:val="32"/>
          <w:szCs w:val="32"/>
        </w:rPr>
        <w:t>（二）严密组织，科学实施。</w:t>
      </w:r>
      <w:r>
        <w:rPr>
          <w:rFonts w:ascii="仿宋_GB2312" w:eastAsia="仿宋_GB2312" w:cs="黑体" w:hint="eastAsia"/>
          <w:sz w:val="32"/>
          <w:szCs w:val="32"/>
        </w:rPr>
        <w:t>管道燃气企业要建立用户发展台账，于每月5日前将上月发展用户情况及相关证明材料报建设部，并留存施工图、工程合同、工程预（结）算、工程费发票、费用审计等相关</w:t>
      </w:r>
      <w:r>
        <w:rPr>
          <w:rFonts w:ascii="仿宋_GB2312" w:eastAsia="仿宋_GB2312" w:cs="黑体"/>
          <w:sz w:val="32"/>
          <w:szCs w:val="32"/>
        </w:rPr>
        <w:t>证明</w:t>
      </w:r>
      <w:r>
        <w:rPr>
          <w:rFonts w:ascii="仿宋_GB2312" w:eastAsia="仿宋_GB2312" w:cs="黑体" w:hint="eastAsia"/>
          <w:sz w:val="32"/>
          <w:szCs w:val="32"/>
        </w:rPr>
        <w:t>资料备查。</w:t>
      </w:r>
    </w:p>
    <w:p w:rsidR="00C16DD5" w:rsidRDefault="00BE0C94">
      <w:pPr>
        <w:spacing w:line="560" w:lineRule="exact"/>
        <w:ind w:firstLineChars="200" w:firstLine="640"/>
        <w:textAlignment w:val="baseline"/>
        <w:rPr>
          <w:rFonts w:ascii="仿宋_GB2312" w:eastAsia="仿宋_GB2312" w:cs="黑体"/>
          <w:sz w:val="32"/>
          <w:szCs w:val="32"/>
        </w:rPr>
      </w:pPr>
      <w:r>
        <w:rPr>
          <w:rFonts w:ascii="楷体_GB2312" w:eastAsia="楷体_GB2312" w:hAnsi="楷体_GB2312" w:cs="楷体_GB2312" w:hint="eastAsia"/>
          <w:sz w:val="32"/>
          <w:szCs w:val="32"/>
        </w:rPr>
        <w:t>（三）强化宣传，增进共识。</w:t>
      </w:r>
      <w:r>
        <w:rPr>
          <w:rFonts w:ascii="仿宋_GB2312" w:eastAsia="仿宋_GB2312" w:cs="黑体" w:hint="eastAsia"/>
          <w:sz w:val="32"/>
          <w:szCs w:val="32"/>
        </w:rPr>
        <w:t>各相关单位、管道燃气企业要利用多种渠道，广泛开展政策宣传和燃气安全常识宣传，营造浓厚的工作氛围，凝聚广泛的社会共识，助力“</w:t>
      </w:r>
      <w:r>
        <w:rPr>
          <w:rFonts w:ascii="仿宋_GB2312" w:eastAsia="仿宋_GB2312" w:cs="黑体"/>
          <w:sz w:val="32"/>
          <w:szCs w:val="32"/>
        </w:rPr>
        <w:t>瓶改管</w:t>
      </w:r>
      <w:r>
        <w:rPr>
          <w:rFonts w:ascii="仿宋_GB2312" w:eastAsia="仿宋_GB2312" w:cs="黑体" w:hint="eastAsia"/>
          <w:sz w:val="32"/>
          <w:szCs w:val="32"/>
        </w:rPr>
        <w:t>”工作顺利开展。</w:t>
      </w:r>
    </w:p>
    <w:p w:rsidR="00C16DD5" w:rsidRDefault="00C16DD5">
      <w:pPr>
        <w:pStyle w:val="a3"/>
        <w:spacing w:line="560" w:lineRule="exact"/>
        <w:ind w:firstLineChars="0" w:firstLine="0"/>
        <w:rPr>
          <w:rFonts w:ascii="仿宋_GB2312" w:eastAsia="仿宋_GB2312" w:cs="黑体"/>
          <w:sz w:val="32"/>
          <w:szCs w:val="32"/>
        </w:rPr>
      </w:pPr>
    </w:p>
    <w:p w:rsidR="00C16DD5" w:rsidRDefault="00C16DD5"/>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jc w:val="center"/>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4960C1" w:rsidRPr="004960C1" w:rsidRDefault="004960C1" w:rsidP="009E65EB">
      <w:pPr>
        <w:spacing w:line="560" w:lineRule="exact"/>
        <w:ind w:firstLineChars="200" w:firstLine="640"/>
        <w:rPr>
          <w:rFonts w:ascii="楷体_GB2312" w:eastAsia="楷体_GB2312" w:hAnsi="楷体_GB2312" w:cs="楷体_GB2312"/>
          <w:sz w:val="32"/>
          <w:szCs w:val="32"/>
        </w:rPr>
      </w:pPr>
    </w:p>
    <w:p w:rsidR="009E65EB" w:rsidRDefault="009E65EB" w:rsidP="009E65EB">
      <w:pPr>
        <w:spacing w:line="560" w:lineRule="exact"/>
        <w:ind w:firstLineChars="200" w:firstLine="640"/>
        <w:rPr>
          <w:rFonts w:ascii="楷体_GB2312" w:eastAsia="楷体_GB2312" w:hAnsi="楷体_GB2312" w:cs="楷体_GB2312"/>
          <w:sz w:val="32"/>
          <w:szCs w:val="32"/>
        </w:rPr>
      </w:pPr>
    </w:p>
    <w:p w:rsidR="009E65EB" w:rsidRPr="009E65EB" w:rsidRDefault="009E65EB" w:rsidP="009E65EB">
      <w:pPr>
        <w:pBdr>
          <w:top w:val="single" w:sz="6" w:space="0" w:color="auto"/>
          <w:bottom w:val="single" w:sz="6" w:space="1" w:color="auto"/>
        </w:pBdr>
        <w:spacing w:line="540" w:lineRule="exact"/>
        <w:ind w:firstLineChars="100" w:firstLine="280"/>
        <w:jc w:val="left"/>
        <w:rPr>
          <w:rFonts w:ascii="Times New Roman" w:eastAsia="仿宋" w:hAnsi="Times New Roman"/>
          <w:sz w:val="28"/>
          <w:szCs w:val="28"/>
        </w:rPr>
      </w:pPr>
      <w:r>
        <w:rPr>
          <w:rFonts w:ascii="仿宋_GB2312" w:eastAsia="仿宋_GB2312" w:hint="eastAsia"/>
          <w:sz w:val="28"/>
          <w:szCs w:val="28"/>
        </w:rPr>
        <w:t xml:space="preserve">青岛高新区管委综合部                   </w:t>
      </w:r>
      <w:r>
        <w:rPr>
          <w:rFonts w:ascii="仿宋_GB2312" w:eastAsia="仿宋_GB2312"/>
          <w:sz w:val="28"/>
          <w:szCs w:val="28"/>
        </w:rPr>
        <w:t>202</w:t>
      </w:r>
      <w:r>
        <w:rPr>
          <w:rFonts w:ascii="仿宋_GB2312" w:eastAsia="仿宋_GB2312" w:hint="eastAsia"/>
          <w:sz w:val="28"/>
          <w:szCs w:val="28"/>
        </w:rPr>
        <w:t>4年12月20日印发</w:t>
      </w:r>
    </w:p>
    <w:sectPr w:rsidR="009E65EB" w:rsidRPr="009E65EB" w:rsidSect="00716D61">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709" w:gutter="0"/>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DD5" w:rsidRDefault="00C16DD5" w:rsidP="00C16DD5">
      <w:r>
        <w:separator/>
      </w:r>
    </w:p>
  </w:endnote>
  <w:endnote w:type="continuationSeparator" w:id="1">
    <w:p w:rsidR="00C16DD5" w:rsidRDefault="00C16DD5" w:rsidP="00C16DD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ell MT"/>
    <w:panose1 w:val="020206030504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altName w:val="Arial Unicode MS"/>
    <w:charset w:val="7A"/>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E-BX">
    <w:altName w:val="Times New Roman"/>
    <w:charset w:val="00"/>
    <w:family w:val="auto"/>
    <w:pitch w:val="default"/>
    <w:sig w:usb0="00000000" w:usb1="00000000" w:usb2="00000000" w:usb3="00000000" w:csb0="00000001" w:csb1="00000000"/>
  </w:font>
  <w:font w:name="Calibri Ligh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61" w:rsidRDefault="00716D6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DD5" w:rsidRDefault="00AA78D2">
    <w:pPr>
      <w:pStyle w:val="a5"/>
    </w:pPr>
    <w:r>
      <w:pict>
        <v:rect id="_x0000_s1026" style="position:absolute;margin-left:36pt;margin-top:-27.8pt;width:49pt;height:18.25pt;z-index:251659264;mso-wrap-style:none;mso-position-horizontal:outside;mso-position-horizontal-relative:margin;mso-width-relative:page;mso-height-relative:page" o:gfxdata="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hblDLUAAAABwEAAA8AAAAAAAAAAQAgAAAAIgAAAGRycy9kb3ducmV2Lnht&#10;bFBLAQIUABQAAAAIAIdO4kDpzvflxAEAAIoDAAAOAAAAAAAAAAEAIAAAACMBAABkcnMvZTJvRG9j&#10;LnhtbFBLBQYAAAAABgAGAFkBAABZBQAAAAA=&#10;" filled="f" stroked="f">
          <v:textbox style="mso-next-textbox:#_x0000_s1026;mso-fit-shape-to-text:t" inset="0,0,0,0">
            <w:txbxContent>
              <w:p w:rsidR="00C16DD5" w:rsidRPr="009E65EB" w:rsidRDefault="00BE0C94">
                <w:pPr>
                  <w:pStyle w:val="a5"/>
                  <w:rPr>
                    <w:rFonts w:ascii="宋体" w:hAnsi="宋体" w:cs="宋体"/>
                    <w:sz w:val="24"/>
                  </w:rPr>
                </w:pPr>
                <w:r w:rsidRPr="009E65EB">
                  <w:rPr>
                    <w:rFonts w:ascii="宋体" w:hAnsi="宋体" w:cs="宋体" w:hint="eastAsia"/>
                    <w:sz w:val="24"/>
                  </w:rPr>
                  <w:t>—</w:t>
                </w:r>
                <w:r w:rsidR="00AA78D2" w:rsidRPr="009E65EB">
                  <w:rPr>
                    <w:rFonts w:ascii="宋体" w:hAnsi="宋体" w:cs="宋体" w:hint="eastAsia"/>
                    <w:sz w:val="24"/>
                  </w:rPr>
                  <w:fldChar w:fldCharType="begin"/>
                </w:r>
                <w:r w:rsidRPr="009E65EB">
                  <w:rPr>
                    <w:rFonts w:ascii="宋体" w:hAnsi="宋体" w:cs="宋体" w:hint="eastAsia"/>
                    <w:sz w:val="24"/>
                  </w:rPr>
                  <w:instrText xml:space="preserve"> PAGE  \* MERGEFORMAT </w:instrText>
                </w:r>
                <w:r w:rsidR="00AA78D2" w:rsidRPr="009E65EB">
                  <w:rPr>
                    <w:rFonts w:ascii="宋体" w:hAnsi="宋体" w:cs="宋体" w:hint="eastAsia"/>
                    <w:sz w:val="24"/>
                  </w:rPr>
                  <w:fldChar w:fldCharType="separate"/>
                </w:r>
                <w:r w:rsidR="00716D61">
                  <w:rPr>
                    <w:rFonts w:ascii="宋体" w:hAnsi="宋体" w:cs="宋体"/>
                    <w:noProof/>
                    <w:sz w:val="24"/>
                  </w:rPr>
                  <w:t>2</w:t>
                </w:r>
                <w:r w:rsidR="00AA78D2" w:rsidRPr="009E65EB">
                  <w:rPr>
                    <w:rFonts w:ascii="宋体" w:hAnsi="宋体" w:cs="宋体" w:hint="eastAsia"/>
                    <w:sz w:val="24"/>
                  </w:rPr>
                  <w:fldChar w:fldCharType="end"/>
                </w:r>
                <w:r w:rsidRPr="009E65EB">
                  <w:rPr>
                    <w:rFonts w:ascii="宋体" w:hAnsi="宋体" w:cs="宋体" w:hint="eastAsia"/>
                    <w:sz w:val="24"/>
                  </w:rPr>
                  <w:t>—</w:t>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61" w:rsidRDefault="00716D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DD5" w:rsidRDefault="00C16DD5" w:rsidP="00C16DD5">
      <w:r>
        <w:separator/>
      </w:r>
    </w:p>
  </w:footnote>
  <w:footnote w:type="continuationSeparator" w:id="1">
    <w:p w:rsidR="00C16DD5" w:rsidRDefault="00C16DD5" w:rsidP="00C16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61" w:rsidRDefault="00716D6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EB" w:rsidRDefault="009E65EB" w:rsidP="00716D61">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61" w:rsidRDefault="00716D6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NhNmViMzJiOWZlYThiN2JjNWQ0MWViMjI2ZWViNDcifQ=="/>
  </w:docVars>
  <w:rsids>
    <w:rsidRoot w:val="00C16DD5"/>
    <w:rsid w:val="002A520B"/>
    <w:rsid w:val="004960C1"/>
    <w:rsid w:val="00694E9B"/>
    <w:rsid w:val="00716D61"/>
    <w:rsid w:val="00897C33"/>
    <w:rsid w:val="00912BE2"/>
    <w:rsid w:val="009E65EB"/>
    <w:rsid w:val="00AA78D2"/>
    <w:rsid w:val="00B526D2"/>
    <w:rsid w:val="00BE0C94"/>
    <w:rsid w:val="00C16DD5"/>
    <w:rsid w:val="015A07C7"/>
    <w:rsid w:val="0B1C1BCC"/>
    <w:rsid w:val="0CAE6912"/>
    <w:rsid w:val="0D527537"/>
    <w:rsid w:val="0EA37FCC"/>
    <w:rsid w:val="133F1590"/>
    <w:rsid w:val="167D0081"/>
    <w:rsid w:val="1A3F1E62"/>
    <w:rsid w:val="1DA5053D"/>
    <w:rsid w:val="25045824"/>
    <w:rsid w:val="2EE574EA"/>
    <w:rsid w:val="42136B47"/>
    <w:rsid w:val="53FC343B"/>
    <w:rsid w:val="5E257683"/>
    <w:rsid w:val="63F062BA"/>
    <w:rsid w:val="66DD5F97"/>
    <w:rsid w:val="67CA57C0"/>
    <w:rsid w:val="6AAD1DFD"/>
    <w:rsid w:val="71DD7704"/>
    <w:rsid w:val="73C86FF9"/>
    <w:rsid w:val="77D17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DD5"/>
    <w:pPr>
      <w:widowControl w:val="0"/>
      <w:jc w:val="both"/>
    </w:pPr>
    <w:rPr>
      <w:rFonts w:ascii="Calibri" w:hAnsi="Calibri"/>
      <w:kern w:val="2"/>
      <w:sz w:val="21"/>
      <w:szCs w:val="24"/>
    </w:rPr>
  </w:style>
  <w:style w:type="paragraph" w:styleId="1">
    <w:name w:val="heading 1"/>
    <w:basedOn w:val="a"/>
    <w:next w:val="a"/>
    <w:qFormat/>
    <w:rsid w:val="00C16DD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C16DD5"/>
    <w:pPr>
      <w:ind w:firstLineChars="200" w:firstLine="420"/>
    </w:pPr>
  </w:style>
  <w:style w:type="paragraph" w:styleId="a4">
    <w:name w:val="Body Text Indent"/>
    <w:basedOn w:val="a"/>
    <w:next w:val="a3"/>
    <w:uiPriority w:val="99"/>
    <w:qFormat/>
    <w:rsid w:val="00C16DD5"/>
    <w:pPr>
      <w:spacing w:after="120"/>
      <w:ind w:leftChars="200" w:left="420"/>
    </w:pPr>
  </w:style>
  <w:style w:type="paragraph" w:styleId="a5">
    <w:name w:val="footer"/>
    <w:basedOn w:val="a"/>
    <w:qFormat/>
    <w:rsid w:val="00C16DD5"/>
    <w:pPr>
      <w:tabs>
        <w:tab w:val="center" w:pos="4153"/>
        <w:tab w:val="right" w:pos="8306"/>
      </w:tabs>
      <w:snapToGrid w:val="0"/>
      <w:jc w:val="left"/>
    </w:pPr>
    <w:rPr>
      <w:sz w:val="18"/>
    </w:rPr>
  </w:style>
  <w:style w:type="paragraph" w:styleId="2">
    <w:name w:val="Body Text First Indent 2"/>
    <w:basedOn w:val="a4"/>
    <w:uiPriority w:val="99"/>
    <w:qFormat/>
    <w:rsid w:val="00C16DD5"/>
    <w:pPr>
      <w:ind w:firstLineChars="200" w:firstLine="420"/>
    </w:pPr>
  </w:style>
  <w:style w:type="character" w:customStyle="1" w:styleId="NormalCharacter">
    <w:name w:val="NormalCharacter"/>
    <w:uiPriority w:val="99"/>
    <w:semiHidden/>
    <w:qFormat/>
    <w:rsid w:val="00C16DD5"/>
  </w:style>
  <w:style w:type="paragraph" w:styleId="a6">
    <w:name w:val="header"/>
    <w:basedOn w:val="a"/>
    <w:link w:val="Char"/>
    <w:rsid w:val="009E65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E65E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194</Characters>
  <Application>Microsoft Office Word</Application>
  <DocSecurity>0</DocSecurity>
  <Lines>1</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lanwan</cp:lastModifiedBy>
  <cp:revision>3</cp:revision>
  <cp:lastPrinted>2024-12-16T06:01:00Z</cp:lastPrinted>
  <dcterms:created xsi:type="dcterms:W3CDTF">2024-12-20T07:59:00Z</dcterms:created>
  <dcterms:modified xsi:type="dcterms:W3CDTF">2024-12-20T07:59:00Z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8522CF867D064042BD745E5DF9C21E11_12</vt:lpwstr>
  </property>
</Properties>
</file>