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2390" w:firstLineChars="700"/>
        <w:rPr>
          <w:rFonts w:ascii="宋体" w:hAnsi="宋体"/>
          <w:b/>
          <w:bCs/>
          <w:spacing w:val="-10"/>
          <w:sz w:val="36"/>
          <w:szCs w:val="36"/>
        </w:rPr>
      </w:pPr>
      <w:bookmarkStart w:id="0" w:name="_GoBack"/>
      <w:bookmarkEnd w:id="0"/>
      <w:r>
        <w:rPr>
          <w:rFonts w:hint="eastAsia" w:ascii="宋体" w:hAnsi="宋体"/>
          <w:b/>
          <w:bCs/>
          <w:spacing w:val="-10"/>
          <w:sz w:val="36"/>
          <w:szCs w:val="36"/>
        </w:rPr>
        <w:t>规范性文件清理目录</w:t>
      </w:r>
    </w:p>
    <w:p>
      <w:pPr>
        <w:ind w:firstLine="1600" w:firstLineChars="500"/>
        <w:rPr>
          <w:rFonts w:hint="eastAsia" w:ascii="楷体_GB2312" w:eastAsia="楷体_GB2312"/>
          <w:sz w:val="32"/>
          <w:szCs w:val="32"/>
        </w:rPr>
      </w:pPr>
      <w:r>
        <w:rPr>
          <w:rFonts w:hint="eastAsia" w:ascii="楷体_GB2312" w:eastAsia="楷体_GB2312"/>
          <w:sz w:val="32"/>
          <w:szCs w:val="32"/>
        </w:rPr>
        <w:t>（一）  废止、失效的规范性文件目录</w:t>
      </w:r>
    </w:p>
    <w:tbl>
      <w:tblPr>
        <w:tblStyle w:val="4"/>
        <w:tblpPr w:leftFromText="180" w:rightFromText="180" w:vertAnchor="text" w:horzAnchor="page" w:tblpX="1547" w:tblpY="558"/>
        <w:tblOverlap w:val="never"/>
        <w:tblW w:w="0" w:type="auto"/>
        <w:tblInd w:w="0" w:type="dxa"/>
        <w:tblLayout w:type="fixed"/>
        <w:tblCellMar>
          <w:top w:w="0" w:type="dxa"/>
          <w:left w:w="108" w:type="dxa"/>
          <w:bottom w:w="0" w:type="dxa"/>
          <w:right w:w="108" w:type="dxa"/>
        </w:tblCellMar>
      </w:tblPr>
      <w:tblGrid>
        <w:gridCol w:w="809"/>
        <w:gridCol w:w="4665"/>
        <w:gridCol w:w="1045"/>
        <w:gridCol w:w="2580"/>
      </w:tblGrid>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jc w:val="center"/>
              <w:rPr>
                <w:rFonts w:ascii="仿宋_GB2312" w:eastAsia="仿宋_GB2312"/>
                <w:sz w:val="32"/>
                <w:szCs w:val="32"/>
              </w:rPr>
            </w:pPr>
            <w:r>
              <w:rPr>
                <w:rFonts w:hint="eastAsia" w:ascii="仿宋_GB2312" w:eastAsia="仿宋_GB2312"/>
                <w:sz w:val="32"/>
                <w:szCs w:val="32"/>
              </w:rPr>
              <w:t>序号</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jc w:val="center"/>
              <w:rPr>
                <w:rFonts w:ascii="仿宋_GB2312" w:eastAsia="仿宋_GB2312"/>
                <w:sz w:val="32"/>
                <w:szCs w:val="32"/>
              </w:rPr>
            </w:pPr>
            <w:r>
              <w:rPr>
                <w:rFonts w:hint="eastAsia" w:ascii="仿宋_GB2312" w:eastAsia="仿宋_GB2312"/>
                <w:sz w:val="32"/>
                <w:szCs w:val="32"/>
              </w:rPr>
              <w:t>文件名</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jc w:val="center"/>
              <w:rPr>
                <w:rFonts w:ascii="仿宋_GB2312" w:eastAsia="仿宋_GB2312"/>
                <w:sz w:val="32"/>
                <w:szCs w:val="32"/>
              </w:rPr>
            </w:pPr>
            <w:r>
              <w:rPr>
                <w:rFonts w:hint="eastAsia" w:ascii="仿宋_GB2312" w:eastAsia="仿宋_GB2312"/>
                <w:sz w:val="32"/>
                <w:szCs w:val="32"/>
              </w:rPr>
              <w:t>登记号</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jc w:val="center"/>
              <w:rPr>
                <w:rFonts w:ascii="仿宋_GB2312" w:eastAsia="仿宋_GB2312"/>
                <w:sz w:val="32"/>
                <w:szCs w:val="32"/>
              </w:rPr>
            </w:pPr>
            <w:r>
              <w:rPr>
                <w:rFonts w:hint="eastAsia" w:ascii="仿宋_GB2312" w:eastAsia="仿宋_GB2312"/>
                <w:sz w:val="32"/>
                <w:szCs w:val="32"/>
              </w:rPr>
              <w:t>文号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hAnsi="宋体" w:eastAsia="仿宋_GB2312" w:cs="仿宋_GB2312"/>
                <w:color w:val="000000"/>
                <w:kern w:val="0"/>
                <w:sz w:val="28"/>
                <w:szCs w:val="28"/>
              </w:rPr>
              <w:t>1</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青岛市住房公积金管理中心关于印发《青岛市住房公积金管理中心行政执法程序规定》的通知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QDCR-2012-055001</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青住金发〔2012〕4号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hAnsi="宋体" w:eastAsia="仿宋_GB2312" w:cs="仿宋_GB2312"/>
                <w:color w:val="000000"/>
                <w:kern w:val="0"/>
                <w:sz w:val="28"/>
                <w:szCs w:val="28"/>
              </w:rPr>
              <w:t>2</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仿宋_GB2312" w:eastAsia="仿宋_GB2312"/>
                <w:sz w:val="32"/>
                <w:szCs w:val="32"/>
              </w:rPr>
            </w:pPr>
            <w:r>
              <w:rPr>
                <w:rFonts w:hint="eastAsia" w:ascii="宋体" w:hAnsi="宋体" w:cs="宋体"/>
                <w:color w:val="000000"/>
                <w:kern w:val="0"/>
                <w:szCs w:val="21"/>
              </w:rPr>
              <w:t>青岛市住房公积金管理中心关于印发《青岛市住房公积金管理中心个人住房贷款贴息管理办法》的通知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仿宋_GB2312" w:eastAsia="仿宋_GB2312"/>
                <w:sz w:val="32"/>
                <w:szCs w:val="32"/>
              </w:rPr>
            </w:pPr>
            <w:r>
              <w:rPr>
                <w:rFonts w:hint="eastAsia" w:ascii="宋体" w:hAnsi="宋体" w:cs="宋体"/>
                <w:color w:val="000000"/>
                <w:kern w:val="0"/>
                <w:szCs w:val="21"/>
              </w:rPr>
              <w:t>QDCR-2012-055002</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仿宋_GB2312" w:eastAsia="仿宋_GB2312"/>
                <w:sz w:val="32"/>
                <w:szCs w:val="32"/>
              </w:rPr>
            </w:pPr>
            <w:r>
              <w:rPr>
                <w:rFonts w:hint="eastAsia" w:ascii="宋体" w:hAnsi="宋体" w:cs="宋体"/>
                <w:color w:val="000000"/>
                <w:kern w:val="0"/>
                <w:szCs w:val="21"/>
              </w:rPr>
              <w:t>青住金发〔2012〕15号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hAnsi="宋体" w:eastAsia="仿宋_GB2312" w:cs="仿宋_GB2312"/>
                <w:color w:val="000000"/>
                <w:kern w:val="0"/>
                <w:sz w:val="28"/>
                <w:szCs w:val="28"/>
              </w:rPr>
              <w:t>3</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青岛市住房公积金管理中心关于受理离婚分割住房公积金业务有关问题的通知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QDCR-2012-055003</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青住金发〔2012〕19号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hAnsi="宋体" w:eastAsia="仿宋_GB2312" w:cs="仿宋_GB2312"/>
                <w:color w:val="000000"/>
                <w:kern w:val="0"/>
                <w:sz w:val="28"/>
                <w:szCs w:val="28"/>
              </w:rPr>
              <w:t>4</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青岛市住房公积金管理中心关于调整我市住房公积金贷款最高限额的通知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QDCR-2013-055001</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青住金发〔2013〕2号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hAnsi="宋体" w:eastAsia="仿宋_GB2312" w:cs="仿宋_GB2312"/>
                <w:color w:val="000000"/>
                <w:kern w:val="0"/>
                <w:sz w:val="28"/>
                <w:szCs w:val="28"/>
              </w:rPr>
              <w:t>5</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青岛市住房公积金管理中心关于支持职工购买我市经济适用住房提取使用住房公积金有关问题的通知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QDCR-2013-055002</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青住金发〔2013〕3号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hAnsi="宋体" w:eastAsia="仿宋_GB2312" w:cs="仿宋_GB2312"/>
                <w:color w:val="000000"/>
                <w:kern w:val="0"/>
                <w:sz w:val="28"/>
                <w:szCs w:val="28"/>
              </w:rPr>
              <w:t>6</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关于印发《青岛市住房公积金管理中心单位降低住房公积金缴存比例或缓缴住房公积金审核管理规定》的通知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QDCR-2013-055003</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青住金发〔2013〕21号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hAnsi="宋体" w:eastAsia="仿宋_GB2312" w:cs="仿宋_GB2312"/>
                <w:color w:val="000000"/>
                <w:kern w:val="0"/>
                <w:sz w:val="28"/>
                <w:szCs w:val="28"/>
              </w:rPr>
              <w:t>7</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青岛市住房公积金管理中心关于明确个人住房公积金贷款有关事项的通知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QDCR-2014-055001</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青住金发〔2014〕7号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hAnsi="宋体" w:eastAsia="仿宋_GB2312" w:cs="仿宋_GB2312"/>
                <w:color w:val="000000"/>
                <w:kern w:val="0"/>
                <w:sz w:val="28"/>
                <w:szCs w:val="28"/>
              </w:rPr>
              <w:t>8</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青岛市住房公积金管理中心关于印发《青岛市个人住房公积金贷款管理办法》的通知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QDCR-2014-055002</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青住金发〔2014〕6号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hAnsi="宋体" w:eastAsia="仿宋_GB2312" w:cs="仿宋_GB2312"/>
                <w:color w:val="000000"/>
                <w:kern w:val="0"/>
                <w:sz w:val="28"/>
                <w:szCs w:val="28"/>
              </w:rPr>
              <w:t>9</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青岛市住房公积金管理中心关于印发《青岛市住房公积金提取管理办法》的通知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QDCR-2014-055003</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青住金发〔2014〕3号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hAnsi="宋体" w:eastAsia="仿宋_GB2312" w:cs="仿宋_GB2312"/>
                <w:color w:val="000000"/>
                <w:kern w:val="0"/>
                <w:sz w:val="28"/>
                <w:szCs w:val="28"/>
              </w:rPr>
              <w:t>10</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青岛市住房公积金管理中心关于印发《青岛市住房公积金提取管理办法实施细则》的通知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QDCR-2014-055004</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青住金发〔2014〕4号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hAnsi="宋体" w:eastAsia="仿宋_GB2312" w:cs="仿宋_GB2312"/>
                <w:color w:val="000000"/>
                <w:kern w:val="0"/>
                <w:sz w:val="28"/>
                <w:szCs w:val="28"/>
              </w:rPr>
              <w:t>11</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青岛市住房公积金管理中心关于印发《青岛市租赁住房提取住房公积金管理规定》的通知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QDCR-2014-055005</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青住金发〔2014〕5号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hAnsi="宋体" w:eastAsia="仿宋_GB2312" w:cs="仿宋_GB2312"/>
                <w:color w:val="000000"/>
                <w:kern w:val="0"/>
                <w:sz w:val="28"/>
                <w:szCs w:val="28"/>
              </w:rPr>
              <w:t>12</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关于印发《青岛市住房公积金行政处罚裁量基准》的通知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QDCR-2014-055006</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青住金字[2014]77号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hAnsi="宋体" w:eastAsia="仿宋_GB2312" w:cs="仿宋_GB2312"/>
                <w:color w:val="000000"/>
                <w:kern w:val="0"/>
                <w:sz w:val="28"/>
                <w:szCs w:val="28"/>
              </w:rPr>
              <w:t>13</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仿宋_GB2312" w:eastAsia="仿宋_GB2312"/>
                <w:sz w:val="32"/>
                <w:szCs w:val="32"/>
              </w:rPr>
            </w:pPr>
            <w:r>
              <w:rPr>
                <w:rFonts w:hint="eastAsia" w:ascii="宋体" w:hAnsi="宋体" w:cs="宋体"/>
                <w:color w:val="000000"/>
                <w:kern w:val="0"/>
                <w:szCs w:val="21"/>
              </w:rPr>
              <w:t>青岛市住房公积金管理中心关于公布《青岛市住房公积金管理中心关于明确个人住房公积金贷款有关事项的通知》继续有效的通知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QDCR-2015-055001</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青住金发〔2015〕3号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hAnsi="宋体" w:eastAsia="仿宋_GB2312" w:cs="仿宋_GB2312"/>
                <w:kern w:val="0"/>
                <w:sz w:val="28"/>
                <w:szCs w:val="28"/>
              </w:rPr>
              <w:t>14</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仿宋_GB2312" w:eastAsia="仿宋_GB2312"/>
                <w:sz w:val="32"/>
                <w:szCs w:val="32"/>
              </w:rPr>
            </w:pPr>
            <w:r>
              <w:rPr>
                <w:rFonts w:hint="eastAsia" w:ascii="宋体" w:hAnsi="宋体" w:cs="宋体"/>
                <w:kern w:val="0"/>
                <w:szCs w:val="21"/>
              </w:rPr>
              <w:t>青岛市住房公积金管理中心关于进城务工人员缴存提取住房公积金有关事项的通知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kern w:val="0"/>
                <w:szCs w:val="21"/>
              </w:rPr>
              <w:t>QDCR-2015-055002</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kern w:val="0"/>
                <w:szCs w:val="21"/>
              </w:rPr>
              <w:t>青住金发〔2015〕5号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hAnsi="宋体" w:eastAsia="仿宋_GB2312" w:cs="仿宋_GB2312"/>
                <w:color w:val="000000"/>
                <w:kern w:val="0"/>
                <w:sz w:val="28"/>
                <w:szCs w:val="28"/>
              </w:rPr>
              <w:t>15</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青岛市住房公积金管理中心关于开展住房公积金异地贷款业务的通知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QDCR-2015-055003</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青住金发〔2015〕6号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16</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关于公布《青岛市住房公积金行政处罚裁量基准》</w:t>
            </w:r>
            <w:r>
              <w:rPr>
                <w:rStyle w:val="9"/>
                <w:rFonts w:hint="default"/>
                <w:b w:val="0"/>
                <w:bCs w:val="0"/>
              </w:rPr>
              <w:t>继续有效的通知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QDCR-2015-055007</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青住金字〔2015〕59号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eastAsia="仿宋_GB2312"/>
                <w:sz w:val="32"/>
                <w:szCs w:val="32"/>
              </w:rPr>
              <w:t>17</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仿宋_GB2312" w:eastAsia="仿宋_GB2312"/>
                <w:sz w:val="32"/>
                <w:szCs w:val="32"/>
              </w:rPr>
            </w:pPr>
            <w:r>
              <w:rPr>
                <w:rFonts w:hint="eastAsia" w:ascii="宋体" w:hAnsi="宋体" w:cs="宋体"/>
                <w:color w:val="000000"/>
                <w:kern w:val="0"/>
                <w:szCs w:val="21"/>
              </w:rPr>
              <w:t>青岛市住房公积金管理中心关于调整住房公积金异地贷款有关政策的通知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仿宋_GB2312" w:eastAsia="仿宋_GB2312"/>
                <w:sz w:val="32"/>
                <w:szCs w:val="32"/>
              </w:rPr>
            </w:pPr>
            <w:r>
              <w:rPr>
                <w:rFonts w:hint="eastAsia" w:ascii="宋体" w:hAnsi="宋体" w:cs="宋体"/>
                <w:color w:val="000000"/>
                <w:kern w:val="0"/>
                <w:szCs w:val="21"/>
              </w:rPr>
              <w:t>QDCR-2016-055003</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青住金发〔2016〕10号</w:t>
            </w:r>
          </w:p>
        </w:tc>
      </w:tr>
      <w:tr>
        <w:tblPrEx>
          <w:tblCellMar>
            <w:top w:w="0" w:type="dxa"/>
            <w:left w:w="108" w:type="dxa"/>
            <w:bottom w:w="0" w:type="dxa"/>
            <w:right w:w="108" w:type="dxa"/>
          </w:tblCellMar>
        </w:tblPrEx>
        <w:trPr>
          <w:trHeight w:val="37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eastAsia="仿宋_GB2312"/>
                <w:sz w:val="32"/>
                <w:szCs w:val="32"/>
              </w:rPr>
            </w:pPr>
            <w:r>
              <w:rPr>
                <w:rFonts w:hint="eastAsia" w:ascii="仿宋_GB2312" w:eastAsia="仿宋_GB2312"/>
                <w:sz w:val="32"/>
                <w:szCs w:val="32"/>
              </w:rPr>
              <w:t>18</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青岛市住房公积金管理中心关于调整我市租赁住房提取住房公积金有关政策的通知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仿宋_GB2312" w:eastAsia="仿宋_GB2312"/>
                <w:sz w:val="32"/>
                <w:szCs w:val="32"/>
              </w:rPr>
            </w:pPr>
            <w:r>
              <w:rPr>
                <w:rFonts w:hint="eastAsia" w:ascii="宋体" w:hAnsi="宋体" w:cs="宋体"/>
                <w:color w:val="000000"/>
                <w:kern w:val="0"/>
                <w:szCs w:val="21"/>
              </w:rPr>
              <w:t>QDCR-2016-055005</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仿宋_GB2312" w:eastAsia="仿宋_GB2312"/>
                <w:sz w:val="32"/>
                <w:szCs w:val="32"/>
              </w:rPr>
            </w:pPr>
            <w:r>
              <w:rPr>
                <w:rFonts w:hint="eastAsia" w:ascii="宋体" w:hAnsi="宋体" w:cs="宋体"/>
                <w:color w:val="000000"/>
                <w:kern w:val="0"/>
                <w:szCs w:val="21"/>
              </w:rPr>
              <w:t>青住金发〔2016〕12号</w:t>
            </w:r>
          </w:p>
        </w:tc>
      </w:tr>
      <w:tr>
        <w:tblPrEx>
          <w:tblCellMar>
            <w:top w:w="0" w:type="dxa"/>
            <w:left w:w="108" w:type="dxa"/>
            <w:bottom w:w="0" w:type="dxa"/>
            <w:right w:w="108" w:type="dxa"/>
          </w:tblCellMar>
        </w:tblPrEx>
        <w:trPr>
          <w:trHeight w:val="1110"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19</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青岛市住房公积金管理中心关于公布《青岛市住房公积金提取管理办法》继续有效的通知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QDCR-2017-055002</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青住金规〔2017〕2号</w:t>
            </w:r>
          </w:p>
        </w:tc>
      </w:tr>
      <w:tr>
        <w:tblPrEx>
          <w:tblCellMar>
            <w:top w:w="0" w:type="dxa"/>
            <w:left w:w="108" w:type="dxa"/>
            <w:bottom w:w="0" w:type="dxa"/>
            <w:right w:w="108" w:type="dxa"/>
          </w:tblCellMar>
        </w:tblPrEx>
        <w:trPr>
          <w:trHeight w:val="570"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20</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青岛市住房公积金管理中心关于公布《青岛市住房公积金提取管理办法实施细则》继续有效的通知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QDCR-2017-055003</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青住金规〔2017〕3号</w:t>
            </w:r>
          </w:p>
        </w:tc>
      </w:tr>
      <w:tr>
        <w:tblPrEx>
          <w:tblCellMar>
            <w:top w:w="0" w:type="dxa"/>
            <w:left w:w="108" w:type="dxa"/>
            <w:bottom w:w="0" w:type="dxa"/>
            <w:right w:w="108" w:type="dxa"/>
          </w:tblCellMar>
        </w:tblPrEx>
        <w:trPr>
          <w:trHeight w:val="840"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21</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《关于公布&lt;关于进一步明确住房公积金有关业务问题的通知&gt;等17件规范性文件继续有效的通知》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szCs w:val="21"/>
              </w:rPr>
              <w:t>QDCR-2015-055006</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青住金字〔2015〕58号</w:t>
            </w:r>
          </w:p>
        </w:tc>
      </w:tr>
      <w:tr>
        <w:tblPrEx>
          <w:tblCellMar>
            <w:top w:w="0" w:type="dxa"/>
            <w:left w:w="108" w:type="dxa"/>
            <w:bottom w:w="0" w:type="dxa"/>
            <w:right w:w="108"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22</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青岛市住房公积金管理中心关于公布《青岛市住房公积金管理中心关于调整我市住房公积金贷款最高限额的通知》继续有效的通知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QDCR-2016-055001</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textAlignment w:val="center"/>
              <w:rPr>
                <w:rFonts w:ascii="宋体" w:hAnsi="宋体" w:cs="宋体"/>
                <w:color w:val="000000"/>
                <w:kern w:val="0"/>
                <w:szCs w:val="21"/>
              </w:rPr>
            </w:pPr>
          </w:p>
          <w:p>
            <w:pPr>
              <w:widowControl/>
              <w:textAlignment w:val="center"/>
              <w:rPr>
                <w:rFonts w:ascii="宋体" w:hAnsi="宋体" w:cs="宋体"/>
                <w:color w:val="000000"/>
                <w:kern w:val="0"/>
                <w:szCs w:val="21"/>
              </w:rPr>
            </w:pPr>
            <w:r>
              <w:rPr>
                <w:rFonts w:hint="eastAsia" w:ascii="宋体" w:hAnsi="宋体" w:cs="宋体"/>
                <w:color w:val="000000"/>
                <w:kern w:val="0"/>
                <w:szCs w:val="21"/>
              </w:rPr>
              <w:t>青住金发〔2016〕1号</w:t>
            </w:r>
          </w:p>
        </w:tc>
      </w:tr>
      <w:tr>
        <w:tblPrEx>
          <w:tblCellMar>
            <w:top w:w="0" w:type="dxa"/>
            <w:left w:w="108" w:type="dxa"/>
            <w:bottom w:w="0" w:type="dxa"/>
            <w:right w:w="108"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23</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青岛市住房公积金管理中心关于支持职工购买我市经济适用住房提取使用住房公积金有关问题的通知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QDCR-2016-055002</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青住金发〔2016〕6号</w:t>
            </w:r>
          </w:p>
        </w:tc>
      </w:tr>
      <w:tr>
        <w:tblPrEx>
          <w:tblCellMar>
            <w:top w:w="0" w:type="dxa"/>
            <w:left w:w="108" w:type="dxa"/>
            <w:bottom w:w="0" w:type="dxa"/>
            <w:right w:w="108"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24</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青岛市住房公积金管理中心关于明确个人住房公积金贷款有关事项的通知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QDCR-2016-055004</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color w:val="000000"/>
                <w:kern w:val="0"/>
                <w:szCs w:val="21"/>
              </w:rPr>
            </w:pPr>
          </w:p>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青住金发〔2016〕11号</w:t>
            </w:r>
          </w:p>
        </w:tc>
      </w:tr>
      <w:tr>
        <w:tblPrEx>
          <w:tblCellMar>
            <w:top w:w="0" w:type="dxa"/>
            <w:left w:w="108" w:type="dxa"/>
            <w:bottom w:w="0" w:type="dxa"/>
            <w:right w:w="108" w:type="dxa"/>
          </w:tblCellMar>
        </w:tblPrEx>
        <w:trPr>
          <w:trHeight w:val="802"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ind w:firstLine="280" w:firstLineChars="100"/>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25</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青岛市住房公积金管理中心关于进城务工人员缴存提取住房公积金有关事项的通知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QDCR-2018-055005</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color w:val="000000"/>
                <w:kern w:val="0"/>
                <w:szCs w:val="21"/>
              </w:rPr>
            </w:pPr>
          </w:p>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青住金规〔2018〕5号</w:t>
            </w:r>
          </w:p>
        </w:tc>
      </w:tr>
      <w:tr>
        <w:tblPrEx>
          <w:tblCellMar>
            <w:top w:w="0" w:type="dxa"/>
            <w:left w:w="108" w:type="dxa"/>
            <w:bottom w:w="0" w:type="dxa"/>
            <w:right w:w="108"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26</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青岛市住房公积金管理中心关于公布《青岛市住房公积金管理中心单位降低住房公积金缴存比例或缓缴住房公积金审核管理规定》继续有效的通知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QDCR-2016-055006</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color w:val="000000"/>
                <w:kern w:val="0"/>
                <w:szCs w:val="21"/>
              </w:rPr>
            </w:pPr>
          </w:p>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青住金发〔2016〕18号</w:t>
            </w:r>
          </w:p>
        </w:tc>
      </w:tr>
      <w:tr>
        <w:tblPrEx>
          <w:tblCellMar>
            <w:top w:w="0" w:type="dxa"/>
            <w:left w:w="108" w:type="dxa"/>
            <w:bottom w:w="0" w:type="dxa"/>
            <w:right w:w="108"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27</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青岛市住房公积金管理中心关于印发《青岛市住房公积金提取管理办法》的通知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QDCR-2017-055004</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color w:val="000000"/>
                <w:kern w:val="0"/>
                <w:szCs w:val="21"/>
              </w:rPr>
            </w:pPr>
          </w:p>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青住金规〔2017〕4号</w:t>
            </w:r>
          </w:p>
        </w:tc>
      </w:tr>
      <w:tr>
        <w:tblPrEx>
          <w:tblCellMar>
            <w:top w:w="0" w:type="dxa"/>
            <w:left w:w="108" w:type="dxa"/>
            <w:bottom w:w="0" w:type="dxa"/>
            <w:right w:w="108"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28</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青岛市住房公积金管理中心关于公布《青岛市住房公积金管理中心行政执法程序规定》继续有效的通知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QDCR-2016-055007</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color w:val="000000"/>
                <w:kern w:val="0"/>
                <w:szCs w:val="21"/>
              </w:rPr>
            </w:pPr>
          </w:p>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青住金发[2016]19号</w:t>
            </w:r>
          </w:p>
        </w:tc>
      </w:tr>
      <w:tr>
        <w:tblPrEx>
          <w:tblCellMar>
            <w:top w:w="0" w:type="dxa"/>
            <w:left w:w="108" w:type="dxa"/>
            <w:bottom w:w="0" w:type="dxa"/>
            <w:right w:w="108"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29</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青岛市住房公积金管理中心关于公布《青岛市个人住房公积金贷款管理办法》</w:t>
            </w:r>
            <w:r>
              <w:rPr>
                <w:rFonts w:hint="eastAsia" w:ascii="宋体" w:hAnsi="宋体" w:cs="宋体"/>
                <w:bCs/>
                <w:color w:val="000000"/>
                <w:kern w:val="0"/>
                <w:szCs w:val="21"/>
              </w:rPr>
              <w:t>继续有效的通知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QDCR-2017-055001</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color w:val="000000"/>
                <w:kern w:val="0"/>
                <w:szCs w:val="21"/>
              </w:rPr>
            </w:pPr>
          </w:p>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青住金规〔2017〕1号</w:t>
            </w:r>
          </w:p>
        </w:tc>
      </w:tr>
      <w:tr>
        <w:tblPrEx>
          <w:tblCellMar>
            <w:top w:w="0" w:type="dxa"/>
            <w:left w:w="108" w:type="dxa"/>
            <w:bottom w:w="0" w:type="dxa"/>
            <w:right w:w="108"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30</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textAlignment w:val="center"/>
              <w:rPr>
                <w:rFonts w:ascii="宋体" w:hAnsi="宋体" w:cs="宋体"/>
                <w:kern w:val="0"/>
                <w:szCs w:val="21"/>
              </w:rPr>
            </w:pPr>
            <w:r>
              <w:rPr>
                <w:rFonts w:hint="eastAsia" w:ascii="宋体" w:hAnsi="宋体" w:cs="宋体"/>
                <w:kern w:val="0"/>
                <w:szCs w:val="21"/>
              </w:rPr>
              <w:t>青岛市住房公积金管理中心关于明确住房公积金贷款次数认定标准的通知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kern w:val="0"/>
                <w:szCs w:val="21"/>
              </w:rPr>
            </w:pPr>
            <w:r>
              <w:rPr>
                <w:rFonts w:hint="eastAsia" w:ascii="宋体" w:hAnsi="宋体" w:cs="宋体"/>
                <w:kern w:val="0"/>
                <w:szCs w:val="21"/>
              </w:rPr>
              <w:t>QDCR-2018-055008</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kern w:val="0"/>
                <w:szCs w:val="21"/>
              </w:rPr>
            </w:pPr>
            <w:r>
              <w:rPr>
                <w:rFonts w:hint="eastAsia" w:ascii="宋体" w:hAnsi="宋体" w:cs="宋体"/>
                <w:kern w:val="0"/>
                <w:szCs w:val="21"/>
              </w:rPr>
              <w:t>青住金规〔2018〕8号</w:t>
            </w:r>
          </w:p>
        </w:tc>
      </w:tr>
      <w:tr>
        <w:tblPrEx>
          <w:tblCellMar>
            <w:top w:w="0" w:type="dxa"/>
            <w:left w:w="108" w:type="dxa"/>
            <w:bottom w:w="0" w:type="dxa"/>
            <w:right w:w="108"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31</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textAlignment w:val="center"/>
              <w:rPr>
                <w:rFonts w:ascii="宋体" w:hAnsi="宋体" w:cs="宋体"/>
                <w:kern w:val="0"/>
                <w:szCs w:val="21"/>
              </w:rPr>
            </w:pPr>
            <w:r>
              <w:rPr>
                <w:rFonts w:hint="eastAsia" w:ascii="宋体" w:hAnsi="宋体" w:cs="宋体"/>
                <w:kern w:val="0"/>
                <w:szCs w:val="21"/>
              </w:rPr>
              <w:t>青岛市住房公积金管理中心关于进一步明确住房公积金贷款受理审查标准的通知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kern w:val="0"/>
                <w:szCs w:val="21"/>
              </w:rPr>
            </w:pPr>
            <w:r>
              <w:rPr>
                <w:rFonts w:hint="eastAsia" w:ascii="宋体" w:hAnsi="宋体" w:cs="宋体"/>
                <w:kern w:val="0"/>
                <w:szCs w:val="21"/>
              </w:rPr>
              <w:t>QDCR-2018-055010</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kern w:val="0"/>
                <w:szCs w:val="21"/>
              </w:rPr>
            </w:pPr>
            <w:r>
              <w:rPr>
                <w:rFonts w:hint="eastAsia" w:ascii="宋体" w:hAnsi="宋体" w:cs="宋体"/>
                <w:kern w:val="0"/>
                <w:szCs w:val="21"/>
              </w:rPr>
              <w:t>青住金规〔2018〕10号</w:t>
            </w:r>
          </w:p>
        </w:tc>
      </w:tr>
      <w:tr>
        <w:tblPrEx>
          <w:tblCellMar>
            <w:top w:w="0" w:type="dxa"/>
            <w:left w:w="108" w:type="dxa"/>
            <w:bottom w:w="0" w:type="dxa"/>
            <w:right w:w="108"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32</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textAlignment w:val="center"/>
              <w:rPr>
                <w:rFonts w:ascii="宋体" w:hAnsi="宋体" w:cs="宋体"/>
                <w:kern w:val="0"/>
                <w:szCs w:val="21"/>
              </w:rPr>
            </w:pPr>
            <w:r>
              <w:rPr>
                <w:rFonts w:hint="eastAsia" w:ascii="宋体" w:hAnsi="宋体" w:cs="宋体"/>
                <w:kern w:val="0"/>
                <w:szCs w:val="21"/>
              </w:rPr>
              <w:t>关于公布《青岛市住房公积金管理中心关于明确个人住房公积金贷款有关事项的通知》继续有效的通知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kern w:val="0"/>
                <w:szCs w:val="21"/>
              </w:rPr>
            </w:pPr>
            <w:r>
              <w:rPr>
                <w:rFonts w:hint="eastAsia" w:ascii="宋体" w:hAnsi="宋体" w:cs="宋体"/>
                <w:kern w:val="0"/>
                <w:szCs w:val="21"/>
              </w:rPr>
              <w:t>QDCR-2019-0430001</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ascii="宋体" w:hAnsi="宋体" w:cs="宋体"/>
                <w:kern w:val="0"/>
                <w:szCs w:val="21"/>
              </w:rPr>
            </w:pPr>
            <w:r>
              <w:rPr>
                <w:rFonts w:hint="eastAsia" w:ascii="宋体" w:hAnsi="宋体" w:cs="宋体"/>
                <w:kern w:val="0"/>
                <w:szCs w:val="21"/>
              </w:rPr>
              <w:t>青住金规〔2019〕1号</w:t>
            </w:r>
          </w:p>
        </w:tc>
      </w:tr>
      <w:tr>
        <w:tblPrEx>
          <w:tblCellMar>
            <w:top w:w="0" w:type="dxa"/>
            <w:left w:w="108" w:type="dxa"/>
            <w:bottom w:w="0" w:type="dxa"/>
            <w:right w:w="108"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center"/>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33</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textAlignment w:val="center"/>
              <w:rPr>
                <w:rFonts w:hint="eastAsia" w:ascii="宋体" w:hAnsi="宋体" w:cs="宋体"/>
                <w:kern w:val="0"/>
                <w:szCs w:val="21"/>
              </w:rPr>
            </w:pPr>
            <w:r>
              <w:rPr>
                <w:rFonts w:hint="eastAsia" w:ascii="宋体" w:hAnsi="宋体" w:cs="宋体"/>
                <w:color w:val="000000"/>
                <w:kern w:val="0"/>
                <w:szCs w:val="21"/>
              </w:rPr>
              <w:t>关于公布《青岛市住房公积金管理中心个人住房贷款贴息管理办法》</w:t>
            </w:r>
            <w:r>
              <w:rPr>
                <w:rFonts w:hint="eastAsia" w:ascii="宋体" w:hAnsi="宋体" w:cs="宋体"/>
                <w:bCs/>
                <w:color w:val="000000"/>
                <w:kern w:val="0"/>
                <w:szCs w:val="21"/>
              </w:rPr>
              <w:t>继续有效的通知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QDCR-2015-055004</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青住金字〔</w:t>
            </w:r>
            <w:r>
              <w:rPr>
                <w:rFonts w:hint="eastAsia" w:ascii="宋体" w:hAnsi="宋体" w:cs="宋体"/>
                <w:color w:val="000000"/>
                <w:kern w:val="0"/>
                <w:sz w:val="20"/>
                <w:szCs w:val="20"/>
              </w:rPr>
              <w:t>2015〕56号</w:t>
            </w:r>
          </w:p>
        </w:tc>
      </w:tr>
      <w:tr>
        <w:tblPrEx>
          <w:tblCellMar>
            <w:top w:w="0" w:type="dxa"/>
            <w:left w:w="108" w:type="dxa"/>
            <w:bottom w:w="0" w:type="dxa"/>
            <w:right w:w="108"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center"/>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34</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textAlignment w:val="center"/>
              <w:rPr>
                <w:rFonts w:hint="eastAsia" w:ascii="宋体" w:hAnsi="宋体" w:cs="宋体"/>
                <w:kern w:val="0"/>
                <w:szCs w:val="21"/>
              </w:rPr>
            </w:pPr>
            <w:r>
              <w:rPr>
                <w:rFonts w:hint="eastAsia" w:ascii="宋体" w:hAnsi="宋体" w:cs="宋体"/>
                <w:color w:val="000000"/>
                <w:kern w:val="0"/>
                <w:szCs w:val="21"/>
              </w:rPr>
              <w:t>关于公布《青岛市住房公积金管理中心关于受理离婚分割住房公积金业务有关问题的通知》</w:t>
            </w:r>
            <w:r>
              <w:rPr>
                <w:rFonts w:hint="eastAsia" w:ascii="宋体" w:hAnsi="宋体" w:cs="宋体"/>
                <w:bCs/>
                <w:color w:val="000000"/>
                <w:kern w:val="0"/>
                <w:szCs w:val="21"/>
              </w:rPr>
              <w:t>继续有效的通知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QDCR-2015-055005</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青住金字〔2015〕57号</w:t>
            </w:r>
          </w:p>
        </w:tc>
      </w:tr>
      <w:tr>
        <w:tblPrEx>
          <w:tblCellMar>
            <w:top w:w="0" w:type="dxa"/>
            <w:left w:w="108" w:type="dxa"/>
            <w:bottom w:w="0" w:type="dxa"/>
            <w:right w:w="108"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center"/>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35</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textAlignment w:val="center"/>
              <w:rPr>
                <w:rFonts w:hint="eastAsia" w:ascii="宋体" w:hAnsi="宋体" w:cs="宋体"/>
                <w:color w:val="000000"/>
                <w:kern w:val="0"/>
                <w:szCs w:val="21"/>
              </w:rPr>
            </w:pPr>
            <w:r>
              <w:rPr>
                <w:rFonts w:hint="eastAsia" w:ascii="宋体" w:hAnsi="宋体" w:cs="宋体"/>
                <w:color w:val="000000"/>
                <w:kern w:val="0"/>
                <w:szCs w:val="21"/>
              </w:rPr>
              <w:t>青岛市住房公积金管理中心关于进一步明确住房公积金贷款使用个人信用信息有关事项的通知</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QDCR-2017-055005</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青住金规〔2017〕5号</w:t>
            </w:r>
          </w:p>
        </w:tc>
      </w:tr>
      <w:tr>
        <w:tblPrEx>
          <w:tblCellMar>
            <w:top w:w="0" w:type="dxa"/>
            <w:left w:w="108" w:type="dxa"/>
            <w:bottom w:w="0" w:type="dxa"/>
            <w:right w:w="108" w:type="dxa"/>
          </w:tblCellMar>
        </w:tblPrEx>
        <w:trPr>
          <w:trHeight w:val="915" w:hRule="atLeast"/>
        </w:trPr>
        <w:tc>
          <w:tcPr>
            <w:tcW w:w="809"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center"/>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36</w:t>
            </w:r>
          </w:p>
        </w:tc>
        <w:tc>
          <w:tcPr>
            <w:tcW w:w="466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textAlignment w:val="center"/>
              <w:rPr>
                <w:rFonts w:ascii="宋体" w:hAnsi="宋体" w:cs="宋体"/>
                <w:color w:val="000000"/>
                <w:kern w:val="0"/>
                <w:szCs w:val="21"/>
              </w:rPr>
            </w:pPr>
            <w:r>
              <w:rPr>
                <w:rFonts w:hint="eastAsia" w:ascii="宋体" w:hAnsi="宋体" w:cs="宋体"/>
                <w:color w:val="000000"/>
                <w:kern w:val="0"/>
                <w:szCs w:val="21"/>
              </w:rPr>
              <w:t>关于印发《青岛市住房公积金行政处罚裁量基准》的通知</w:t>
            </w:r>
          </w:p>
          <w:p>
            <w:pPr>
              <w:widowControl/>
              <w:textAlignment w:val="center"/>
              <w:rPr>
                <w:rFonts w:hint="eastAsia" w:ascii="宋体" w:hAnsi="宋体" w:cs="宋体"/>
                <w:color w:val="000000"/>
                <w:kern w:val="0"/>
                <w:szCs w:val="21"/>
              </w:rPr>
            </w:pP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QDCR-2017-055006</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青住金规〔2017〕6号</w:t>
            </w:r>
          </w:p>
        </w:tc>
      </w:tr>
    </w:tbl>
    <w:p>
      <w:pPr>
        <w:rPr>
          <w:rFonts w:hint="eastAsia" w:ascii="楷体_GB2312" w:eastAsia="楷体_GB2312"/>
          <w:sz w:val="32"/>
          <w:szCs w:val="32"/>
        </w:rPr>
      </w:pPr>
    </w:p>
    <w:p>
      <w:pPr>
        <w:jc w:val="center"/>
        <w:rPr>
          <w:rFonts w:hint="eastAsia" w:ascii="楷体_GB2312" w:eastAsia="楷体_GB2312"/>
          <w:sz w:val="32"/>
          <w:szCs w:val="32"/>
        </w:rPr>
      </w:pPr>
      <w:r>
        <w:rPr>
          <w:rFonts w:hint="eastAsia" w:ascii="楷体_GB2312" w:eastAsia="楷体_GB2312"/>
          <w:sz w:val="32"/>
          <w:szCs w:val="32"/>
        </w:rPr>
        <w:t>(二)现行有效的规范性文件目录</w:t>
      </w:r>
    </w:p>
    <w:p>
      <w:pPr>
        <w:rPr>
          <w:rFonts w:hint="eastAsia" w:ascii="仿宋_GB2312" w:eastAsia="仿宋_GB2312"/>
          <w:sz w:val="32"/>
          <w:szCs w:val="32"/>
        </w:rPr>
      </w:pPr>
    </w:p>
    <w:tbl>
      <w:tblPr>
        <w:tblStyle w:val="4"/>
        <w:tblW w:w="9045" w:type="dxa"/>
        <w:tblInd w:w="0" w:type="dxa"/>
        <w:tblLayout w:type="fixed"/>
        <w:tblCellMar>
          <w:top w:w="0" w:type="dxa"/>
          <w:left w:w="108" w:type="dxa"/>
          <w:bottom w:w="0" w:type="dxa"/>
          <w:right w:w="108" w:type="dxa"/>
        </w:tblCellMar>
      </w:tblPr>
      <w:tblGrid>
        <w:gridCol w:w="633"/>
        <w:gridCol w:w="2176"/>
        <w:gridCol w:w="925"/>
        <w:gridCol w:w="1125"/>
        <w:gridCol w:w="1230"/>
        <w:gridCol w:w="1860"/>
        <w:gridCol w:w="1096"/>
      </w:tblGrid>
      <w:tr>
        <w:tblPrEx>
          <w:tblCellMar>
            <w:top w:w="0" w:type="dxa"/>
            <w:left w:w="108" w:type="dxa"/>
            <w:bottom w:w="0" w:type="dxa"/>
            <w:right w:w="108" w:type="dxa"/>
          </w:tblCellMar>
        </w:tblPrEx>
        <w:trPr>
          <w:trHeight w:val="90" w:hRule="atLeast"/>
        </w:trPr>
        <w:tc>
          <w:tcPr>
            <w:tcW w:w="633" w:type="dxa"/>
            <w:tcBorders>
              <w:top w:val="single" w:color="000000" w:sz="2" w:space="0"/>
              <w:left w:val="single" w:color="000000" w:sz="2" w:space="0"/>
              <w:bottom w:val="single" w:color="000000" w:sz="2" w:space="0"/>
              <w:right w:val="single" w:color="000000" w:sz="2" w:space="0"/>
            </w:tcBorders>
            <w:noWrap/>
            <w:tcMar>
              <w:top w:w="15" w:type="dxa"/>
              <w:left w:w="15" w:type="dxa"/>
              <w:bottom w:w="15" w:type="dxa"/>
              <w:right w:w="15" w:type="dxa"/>
            </w:tcMar>
          </w:tcPr>
          <w:p>
            <w:pPr>
              <w:widowControl/>
              <w:jc w:val="center"/>
              <w:textAlignment w:val="top"/>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序号</w:t>
            </w:r>
          </w:p>
        </w:tc>
        <w:tc>
          <w:tcPr>
            <w:tcW w:w="2176" w:type="dxa"/>
            <w:tcBorders>
              <w:top w:val="single" w:color="000000" w:sz="2" w:space="0"/>
              <w:left w:val="single" w:color="000000" w:sz="2" w:space="0"/>
              <w:bottom w:val="single" w:color="000000" w:sz="2" w:space="0"/>
              <w:right w:val="single" w:color="000000" w:sz="2" w:space="0"/>
            </w:tcBorders>
            <w:noWrap/>
            <w:tcMar>
              <w:top w:w="15" w:type="dxa"/>
              <w:left w:w="15" w:type="dxa"/>
              <w:bottom w:w="15" w:type="dxa"/>
              <w:right w:w="15" w:type="dxa"/>
            </w:tcMar>
          </w:tcPr>
          <w:p>
            <w:pPr>
              <w:widowControl/>
              <w:jc w:val="center"/>
              <w:textAlignment w:val="top"/>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文件名</w:t>
            </w:r>
          </w:p>
        </w:tc>
        <w:tc>
          <w:tcPr>
            <w:tcW w:w="925" w:type="dxa"/>
            <w:tcBorders>
              <w:top w:val="single" w:color="000000" w:sz="2" w:space="0"/>
              <w:left w:val="single" w:color="000000" w:sz="2" w:space="0"/>
              <w:bottom w:val="single" w:color="000000" w:sz="2" w:space="0"/>
              <w:right w:val="single" w:color="000000" w:sz="2" w:space="0"/>
            </w:tcBorders>
            <w:noWrap/>
            <w:tcMar>
              <w:top w:w="15" w:type="dxa"/>
              <w:left w:w="15" w:type="dxa"/>
              <w:bottom w:w="15" w:type="dxa"/>
              <w:right w:w="15" w:type="dxa"/>
            </w:tcMar>
          </w:tcPr>
          <w:p>
            <w:pPr>
              <w:widowControl/>
              <w:jc w:val="center"/>
              <w:textAlignment w:val="top"/>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文号</w:t>
            </w:r>
          </w:p>
        </w:tc>
        <w:tc>
          <w:tcPr>
            <w:tcW w:w="1125" w:type="dxa"/>
            <w:tcBorders>
              <w:top w:val="single" w:color="000000" w:sz="2" w:space="0"/>
              <w:left w:val="single" w:color="000000" w:sz="2" w:space="0"/>
              <w:bottom w:val="single" w:color="000000" w:sz="2" w:space="0"/>
              <w:right w:val="single" w:color="000000" w:sz="2" w:space="0"/>
            </w:tcBorders>
            <w:noWrap/>
            <w:tcMar>
              <w:top w:w="15" w:type="dxa"/>
              <w:left w:w="15" w:type="dxa"/>
              <w:bottom w:w="15" w:type="dxa"/>
              <w:right w:w="15" w:type="dxa"/>
            </w:tcMar>
          </w:tcPr>
          <w:p>
            <w:pPr>
              <w:widowControl/>
              <w:jc w:val="center"/>
              <w:textAlignment w:val="top"/>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实施</w:t>
            </w:r>
          </w:p>
          <w:p>
            <w:pPr>
              <w:widowControl/>
              <w:jc w:val="center"/>
              <w:textAlignment w:val="top"/>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日期</w:t>
            </w:r>
          </w:p>
        </w:tc>
        <w:tc>
          <w:tcPr>
            <w:tcW w:w="1230" w:type="dxa"/>
            <w:tcBorders>
              <w:top w:val="single" w:color="000000" w:sz="2" w:space="0"/>
              <w:left w:val="single" w:color="000000" w:sz="2" w:space="0"/>
              <w:bottom w:val="single" w:color="000000" w:sz="2" w:space="0"/>
              <w:right w:val="single" w:color="000000" w:sz="2" w:space="0"/>
            </w:tcBorders>
            <w:noWrap/>
            <w:tcMar>
              <w:top w:w="15" w:type="dxa"/>
              <w:left w:w="15" w:type="dxa"/>
              <w:bottom w:w="15" w:type="dxa"/>
              <w:right w:w="15" w:type="dxa"/>
            </w:tcMar>
          </w:tcPr>
          <w:p>
            <w:pPr>
              <w:widowControl/>
              <w:jc w:val="center"/>
              <w:textAlignment w:val="top"/>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有效期</w:t>
            </w:r>
          </w:p>
        </w:tc>
        <w:tc>
          <w:tcPr>
            <w:tcW w:w="1860" w:type="dxa"/>
            <w:tcBorders>
              <w:top w:val="single" w:color="000000" w:sz="2" w:space="0"/>
              <w:left w:val="single" w:color="000000" w:sz="2" w:space="0"/>
              <w:bottom w:val="single" w:color="000000" w:sz="2" w:space="0"/>
              <w:right w:val="single" w:color="000000" w:sz="2" w:space="0"/>
            </w:tcBorders>
            <w:noWrap/>
            <w:tcMar>
              <w:top w:w="15" w:type="dxa"/>
              <w:left w:w="15" w:type="dxa"/>
              <w:bottom w:w="15" w:type="dxa"/>
              <w:right w:w="15" w:type="dxa"/>
            </w:tcMar>
          </w:tcPr>
          <w:p>
            <w:pPr>
              <w:widowControl/>
              <w:jc w:val="center"/>
              <w:textAlignment w:val="top"/>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统一编号</w:t>
            </w:r>
          </w:p>
        </w:tc>
        <w:tc>
          <w:tcPr>
            <w:tcW w:w="1096" w:type="dxa"/>
            <w:tcBorders>
              <w:top w:val="single" w:color="000000" w:sz="2" w:space="0"/>
              <w:left w:val="single" w:color="000000" w:sz="2" w:space="0"/>
              <w:bottom w:val="single" w:color="000000" w:sz="2" w:space="0"/>
              <w:right w:val="single" w:color="000000" w:sz="2" w:space="0"/>
            </w:tcBorders>
            <w:noWrap/>
            <w:tcMar>
              <w:top w:w="15" w:type="dxa"/>
              <w:left w:w="15" w:type="dxa"/>
              <w:bottom w:w="15" w:type="dxa"/>
              <w:right w:w="15" w:type="dxa"/>
            </w:tcMar>
          </w:tcPr>
          <w:p>
            <w:pPr>
              <w:widowControl/>
              <w:jc w:val="center"/>
              <w:textAlignment w:val="top"/>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rPr>
              <w:t>备注</w:t>
            </w: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ind w:firstLine="280" w:firstLineChars="100"/>
              <w:jc w:val="both"/>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1</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青岛市住房公积金管理中心关于在我市就业的港澳台同胞缴存提取住房公积金有关问题的通知</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青住金规〔2018〕1号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2018.5.7</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2021.5.6</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kern w:val="0"/>
                <w:szCs w:val="21"/>
              </w:rPr>
            </w:pPr>
            <w:r>
              <w:rPr>
                <w:rFonts w:hint="eastAsia" w:ascii="宋体" w:hAnsi="宋体" w:cs="宋体"/>
                <w:color w:val="000000"/>
                <w:kern w:val="0"/>
                <w:szCs w:val="21"/>
              </w:rPr>
              <w:t>QDCR-2018-055001</w:t>
            </w: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2</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青岛市住房公积金管理中心关于调整我市租赁住房提取住房公积金额度的通知</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青住金规〔2018〕2号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2018.5.7</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2021.5.6</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kern w:val="0"/>
                <w:szCs w:val="21"/>
              </w:rPr>
            </w:pPr>
            <w:r>
              <w:rPr>
                <w:rFonts w:hint="eastAsia" w:ascii="宋体" w:hAnsi="宋体" w:cs="宋体"/>
                <w:color w:val="000000"/>
                <w:kern w:val="0"/>
                <w:szCs w:val="21"/>
              </w:rPr>
              <w:t>QDCR-2018-055002</w:t>
            </w: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3</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青岛市住房公积金管理中心关于自由职业者缴存住房公积金有关事项的通知</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青住金规〔2018〕3号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2018.7.1</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2021.6.30</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kern w:val="0"/>
                <w:szCs w:val="21"/>
              </w:rPr>
            </w:pPr>
            <w:r>
              <w:rPr>
                <w:rFonts w:hint="eastAsia" w:ascii="宋体" w:hAnsi="宋体" w:cs="宋体"/>
                <w:color w:val="000000"/>
                <w:kern w:val="0"/>
                <w:szCs w:val="21"/>
              </w:rPr>
              <w:t>QDCR-2018-055003</w:t>
            </w: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4</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青岛市住房公积金管理中心关于开展住房公积金异地贷款业务有关事项的通知</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青住金规〔2018〕4号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2018.6.3</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2023.6.2</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kern w:val="0"/>
                <w:szCs w:val="21"/>
              </w:rPr>
            </w:pPr>
            <w:r>
              <w:rPr>
                <w:rFonts w:hint="eastAsia" w:ascii="宋体" w:hAnsi="宋体" w:cs="宋体"/>
                <w:color w:val="000000"/>
                <w:kern w:val="0"/>
                <w:szCs w:val="21"/>
              </w:rPr>
              <w:t>QDCR-2018-055004</w:t>
            </w: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5</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青岛市住房公积金管理中心关于明确我市住房公积金缴存基数和缴存比例有关事项的通知</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青住金规〔2018〕6号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2018.7.1</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2021.6.30</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kern w:val="0"/>
                <w:szCs w:val="21"/>
              </w:rPr>
            </w:pPr>
            <w:r>
              <w:rPr>
                <w:rFonts w:hint="eastAsia" w:ascii="宋体" w:hAnsi="宋体" w:cs="宋体"/>
                <w:color w:val="000000"/>
                <w:kern w:val="0"/>
                <w:szCs w:val="21"/>
              </w:rPr>
              <w:t>QDCR-2018-055006</w:t>
            </w: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6</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青岛市住房公积金管理中心关于规范我市异地转移接续政策 加大违规提取住房公积金治理力度有关事项的通知</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青住金规〔2018〕7号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2018.8.1</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2021.7.31</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kern w:val="0"/>
                <w:szCs w:val="21"/>
              </w:rPr>
            </w:pPr>
            <w:r>
              <w:rPr>
                <w:rFonts w:hint="eastAsia" w:ascii="宋体" w:hAnsi="宋体" w:cs="宋体"/>
                <w:color w:val="000000"/>
                <w:kern w:val="0"/>
                <w:szCs w:val="21"/>
              </w:rPr>
              <w:t>QDCR-2018-055007</w:t>
            </w: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7</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青岛市住房公积金管理中心关于借款人离异或者死亡抵押物承受人申请变更借款主体有关受理标准的指导意见</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青住金规〔2018〕9号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2019.1.1</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2023.12.31</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kern w:val="0"/>
                <w:szCs w:val="21"/>
              </w:rPr>
            </w:pPr>
            <w:r>
              <w:rPr>
                <w:rFonts w:hint="eastAsia" w:ascii="宋体" w:hAnsi="宋体" w:cs="宋体"/>
                <w:color w:val="000000"/>
                <w:kern w:val="0"/>
                <w:szCs w:val="21"/>
              </w:rPr>
              <w:t>QDCR-2018-055009</w:t>
            </w: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8</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青岛市住房公积金管理中心关于推行贷款期限变更业务的通知</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青住金规〔2018〕11号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2019.1.1</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2023.12.31</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kern w:val="0"/>
                <w:szCs w:val="21"/>
              </w:rPr>
            </w:pPr>
            <w:r>
              <w:rPr>
                <w:rFonts w:hint="eastAsia" w:ascii="宋体" w:hAnsi="宋体" w:cs="宋体"/>
                <w:color w:val="000000"/>
                <w:kern w:val="0"/>
                <w:szCs w:val="21"/>
              </w:rPr>
              <w:t>QDCR-2018-055011</w:t>
            </w: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9</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青岛市住房公积金管理中心关于支持职工购买本市经济适用住房提取使用住房公积金有关问题的通知</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青住金规〔2018〕12号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2019.2.1</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2022.1.31</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kern w:val="0"/>
                <w:szCs w:val="21"/>
              </w:rPr>
            </w:pPr>
            <w:r>
              <w:rPr>
                <w:rFonts w:hint="eastAsia" w:ascii="宋体" w:hAnsi="宋体" w:cs="宋体"/>
                <w:color w:val="000000"/>
                <w:kern w:val="0"/>
                <w:szCs w:val="21"/>
              </w:rPr>
              <w:t>QDCR-2018-055012</w:t>
            </w: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eastAsia"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lang w:val="en-US" w:eastAsia="zh-CN"/>
              </w:rPr>
              <w:t>0</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青岛市住房公积金管理中心关于印发《青岛市住房公积金缴存管理办法》的通知</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青住金规〔2019〕2号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2019.6.1</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2024.5.31</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kern w:val="0"/>
                <w:szCs w:val="21"/>
              </w:rPr>
            </w:pPr>
            <w:r>
              <w:rPr>
                <w:rFonts w:hint="eastAsia" w:ascii="宋体" w:hAnsi="宋体" w:cs="宋体"/>
                <w:color w:val="000000"/>
                <w:kern w:val="0"/>
                <w:szCs w:val="21"/>
              </w:rPr>
              <w:t>QDCR-2019-0430002</w:t>
            </w: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eastAsia"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lang w:val="en-US" w:eastAsia="zh-CN"/>
              </w:rPr>
              <w:t>1</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青岛市住房公积金管理中心关于印发《青岛市住房公积金管理中心单位降低住房公积金缴存比例或缓缴住房公积金审核管理规定》的通知</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青住金规〔2019〕3号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2019.11.23</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2022.11.22</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kern w:val="0"/>
                <w:szCs w:val="21"/>
              </w:rPr>
            </w:pPr>
            <w:r>
              <w:rPr>
                <w:rFonts w:hint="eastAsia" w:ascii="宋体" w:hAnsi="宋体" w:cs="宋体"/>
                <w:color w:val="000000"/>
                <w:kern w:val="0"/>
                <w:szCs w:val="21"/>
              </w:rPr>
              <w:t>QDCR-2019-0430003</w:t>
            </w: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eastAsia"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lang w:val="en-US" w:eastAsia="zh-CN"/>
              </w:rPr>
              <w:t>2</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青岛市住房公积金管理中心关于印发《青岛市住房公积金提取管理办法》的通知</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青住金规〔2019〕4号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2019.12.1</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2022.11.30</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kern w:val="0"/>
                <w:szCs w:val="21"/>
              </w:rPr>
            </w:pPr>
            <w:r>
              <w:rPr>
                <w:rFonts w:hint="eastAsia" w:ascii="宋体" w:hAnsi="宋体" w:cs="宋体"/>
                <w:color w:val="000000"/>
                <w:kern w:val="0"/>
                <w:szCs w:val="21"/>
              </w:rPr>
              <w:t>QDCR-2019-0430004</w:t>
            </w: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eastAsia"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lang w:val="en-US" w:eastAsia="zh-CN"/>
              </w:rPr>
              <w:t>3</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青岛市住房公积金管理中心关于印发《青岛市住房公积金管理中心行政执法程序规定》的通知</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青住金规〔2019〕5号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2020.1.1</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2022.12.31</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kern w:val="0"/>
                <w:szCs w:val="21"/>
              </w:rPr>
            </w:pPr>
            <w:r>
              <w:rPr>
                <w:rFonts w:hint="eastAsia" w:ascii="宋体" w:hAnsi="宋体" w:cs="宋体"/>
                <w:color w:val="000000"/>
                <w:kern w:val="0"/>
                <w:szCs w:val="21"/>
              </w:rPr>
              <w:t>QDCR-2019-0430005</w:t>
            </w: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eastAsia"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lang w:val="en-US" w:eastAsia="zh-CN"/>
              </w:rPr>
              <w:t>4</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青岛市住房公积金管理中心关于印发《青岛市个人住房公积金贷款管理办法》的通知</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青住金规〔2020〕1号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2020.5.9</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2025.5.8</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kern w:val="0"/>
                <w:szCs w:val="21"/>
              </w:rPr>
            </w:pPr>
            <w:r>
              <w:rPr>
                <w:rFonts w:hint="eastAsia" w:ascii="宋体" w:hAnsi="宋体" w:cs="宋体"/>
                <w:color w:val="000000"/>
                <w:kern w:val="0"/>
                <w:szCs w:val="21"/>
              </w:rPr>
              <w:t>QDCR-2020-0430001</w:t>
            </w: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eastAsia"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lang w:val="en-US" w:eastAsia="zh-CN"/>
              </w:rPr>
              <w:t>5</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青岛市住房公积金管理中心关于明确个人住房公积金贷款有关事项的通知</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青住金规〔2020〕2号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2020.5.9</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2025.5.8</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kern w:val="0"/>
                <w:szCs w:val="21"/>
              </w:rPr>
            </w:pPr>
            <w:r>
              <w:rPr>
                <w:rFonts w:hint="eastAsia" w:ascii="宋体" w:hAnsi="宋体" w:cs="宋体"/>
                <w:color w:val="000000"/>
                <w:kern w:val="0"/>
                <w:szCs w:val="21"/>
              </w:rPr>
              <w:t>QDCR-2020-0430002</w:t>
            </w: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16</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青岛市住房公积金管理中心关于城镇老旧小区改造提取住房公积金有关事项的通知</w:t>
            </w: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青住金规〔2020〕3号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2020.5.9</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2025.5.8</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kern w:val="0"/>
                <w:szCs w:val="21"/>
              </w:rPr>
            </w:pPr>
            <w:r>
              <w:rPr>
                <w:rFonts w:hint="eastAsia" w:ascii="宋体" w:hAnsi="宋体" w:cs="宋体"/>
                <w:color w:val="000000"/>
                <w:kern w:val="0"/>
                <w:szCs w:val="21"/>
              </w:rPr>
              <w:t>QDCR-2020-0430003</w:t>
            </w: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17</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both"/>
              <w:textAlignment w:val="center"/>
              <w:rPr>
                <w:rFonts w:hint="eastAsia" w:ascii="宋体" w:hAnsi="宋体" w:cs="宋体"/>
                <w:color w:val="000000"/>
                <w:kern w:val="0"/>
                <w:szCs w:val="21"/>
              </w:rPr>
            </w:pPr>
            <w:r>
              <w:rPr>
                <w:rFonts w:hint="eastAsia" w:ascii="宋体" w:hAnsi="宋体" w:cs="宋体"/>
                <w:color w:val="000000"/>
                <w:kern w:val="0"/>
                <w:szCs w:val="21"/>
              </w:rPr>
              <w:t>关于公布《青岛市住房公积金管理中心关于进一步明确住房公积金贷款使用个人信用信息有关事项的通知》继续有效的通知</w:t>
            </w:r>
          </w:p>
          <w:p>
            <w:pPr>
              <w:widowControl/>
              <w:textAlignment w:val="center"/>
              <w:rPr>
                <w:rFonts w:hint="eastAsia" w:ascii="宋体" w:hAnsi="宋体" w:cs="宋体"/>
                <w:color w:val="000000"/>
                <w:kern w:val="0"/>
                <w:szCs w:val="21"/>
              </w:rPr>
            </w:pP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both"/>
              <w:textAlignment w:val="center"/>
              <w:rPr>
                <w:rFonts w:hint="eastAsia" w:ascii="宋体" w:hAnsi="宋体" w:cs="宋体"/>
                <w:color w:val="000000"/>
                <w:kern w:val="0"/>
                <w:szCs w:val="21"/>
              </w:rPr>
            </w:pPr>
            <w:r>
              <w:rPr>
                <w:rFonts w:hint="eastAsia" w:ascii="宋体" w:hAnsi="宋体" w:cs="宋体"/>
                <w:color w:val="000000"/>
                <w:kern w:val="0"/>
                <w:szCs w:val="21"/>
              </w:rPr>
              <w:t>青住金规〔2020〕4号</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2020.8.15</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2025.8.14</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hint="eastAsia" w:ascii="宋体" w:hAnsi="宋体" w:cs="宋体"/>
                <w:color w:val="000000"/>
                <w:kern w:val="0"/>
                <w:szCs w:val="21"/>
              </w:rPr>
            </w:pPr>
            <w:r>
              <w:rPr>
                <w:rFonts w:hint="eastAsia" w:ascii="宋体" w:hAnsi="宋体" w:cs="宋体"/>
                <w:color w:val="000000"/>
                <w:kern w:val="0"/>
                <w:szCs w:val="21"/>
              </w:rPr>
              <w:t>QDCR-2020-0430004</w:t>
            </w:r>
          </w:p>
          <w:p>
            <w:pPr>
              <w:rPr>
                <w:rFonts w:hint="eastAsia" w:ascii="宋体" w:hAnsi="宋体" w:cs="宋体"/>
                <w:color w:val="000000"/>
                <w:kern w:val="0"/>
                <w:szCs w:val="21"/>
              </w:rPr>
            </w:pP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18</w:t>
            </w:r>
          </w:p>
        </w:tc>
        <w:tc>
          <w:tcPr>
            <w:tcW w:w="217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both"/>
              <w:textAlignment w:val="center"/>
              <w:rPr>
                <w:rFonts w:hint="eastAsia" w:ascii="宋体" w:hAnsi="宋体" w:cs="宋体"/>
                <w:color w:val="000000"/>
                <w:kern w:val="0"/>
                <w:szCs w:val="21"/>
              </w:rPr>
            </w:pPr>
            <w:r>
              <w:rPr>
                <w:rFonts w:hint="eastAsia" w:ascii="宋体" w:hAnsi="宋体" w:cs="宋体"/>
                <w:color w:val="000000"/>
                <w:kern w:val="0"/>
                <w:szCs w:val="21"/>
              </w:rPr>
              <w:t>关于公布《青岛市住房公积金行政处罚裁量基准》继续有效的通知</w:t>
            </w:r>
          </w:p>
          <w:p>
            <w:pPr>
              <w:widowControl/>
              <w:textAlignment w:val="center"/>
              <w:rPr>
                <w:rFonts w:hint="eastAsia" w:ascii="宋体" w:hAnsi="宋体" w:cs="宋体"/>
                <w:color w:val="000000"/>
                <w:kern w:val="0"/>
                <w:szCs w:val="21"/>
              </w:rPr>
            </w:pPr>
          </w:p>
        </w:tc>
        <w:tc>
          <w:tcPr>
            <w:tcW w:w="9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both"/>
              <w:textAlignment w:val="center"/>
              <w:rPr>
                <w:rFonts w:hint="eastAsia" w:ascii="宋体" w:hAnsi="宋体" w:cs="宋体"/>
                <w:color w:val="000000"/>
                <w:kern w:val="0"/>
                <w:szCs w:val="21"/>
              </w:rPr>
            </w:pPr>
            <w:r>
              <w:rPr>
                <w:rFonts w:hint="eastAsia" w:ascii="宋体" w:hAnsi="宋体" w:cs="宋体"/>
                <w:color w:val="000000"/>
                <w:kern w:val="0"/>
                <w:szCs w:val="21"/>
              </w:rPr>
              <w:t>青住金规〔2020〕5号</w:t>
            </w:r>
          </w:p>
          <w:p>
            <w:pPr>
              <w:widowControl/>
              <w:jc w:val="left"/>
              <w:textAlignment w:val="center"/>
              <w:rPr>
                <w:rFonts w:hint="eastAsia" w:ascii="宋体" w:hAnsi="宋体" w:cs="宋体"/>
                <w:color w:val="000000"/>
                <w:kern w:val="0"/>
                <w:szCs w:val="21"/>
              </w:rPr>
            </w:pP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2020.12.3</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left"/>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2025.12.2</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hint="eastAsia" w:ascii="宋体" w:hAnsi="宋体" w:cs="宋体"/>
                <w:color w:val="000000"/>
                <w:kern w:val="0"/>
                <w:szCs w:val="21"/>
              </w:rPr>
            </w:pPr>
            <w:r>
              <w:rPr>
                <w:rFonts w:hint="eastAsia" w:ascii="宋体" w:hAnsi="宋体" w:cs="宋体"/>
                <w:color w:val="000000"/>
                <w:kern w:val="0"/>
                <w:szCs w:val="21"/>
              </w:rPr>
              <w:t>QDCR-2020-0430005</w:t>
            </w:r>
          </w:p>
          <w:p>
            <w:pPr>
              <w:rPr>
                <w:rFonts w:hint="eastAsia" w:ascii="宋体" w:hAnsi="宋体" w:cs="宋体"/>
                <w:color w:val="000000"/>
                <w:kern w:val="0"/>
                <w:szCs w:val="21"/>
              </w:rPr>
            </w:pPr>
          </w:p>
        </w:tc>
        <w:tc>
          <w:tcPr>
            <w:tcW w:w="10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rPr>
                <w:rFonts w:ascii="宋体" w:hAnsi="宋体" w:cs="宋体"/>
                <w:color w:val="000000"/>
                <w:szCs w:val="21"/>
              </w:rPr>
            </w:pPr>
          </w:p>
        </w:tc>
      </w:tr>
    </w:tbl>
    <w:p>
      <w:pPr>
        <w:pStyle w:val="8"/>
        <w:ind w:firstLine="171" w:firstLineChars="50"/>
        <w:jc w:val="center"/>
        <w:rPr>
          <w:rFonts w:hint="eastAsia" w:ascii="宋体" w:hAnsi="宋体"/>
          <w:b/>
          <w:spacing w:val="-10"/>
          <w:sz w:val="36"/>
          <w:szCs w:val="36"/>
        </w:rPr>
      </w:pPr>
    </w:p>
    <w:p>
      <w:pPr>
        <w:pStyle w:val="8"/>
        <w:ind w:firstLine="171" w:firstLineChars="50"/>
        <w:jc w:val="center"/>
        <w:rPr>
          <w:rFonts w:hint="eastAsia" w:ascii="宋体" w:hAnsi="宋体"/>
          <w:b/>
          <w:spacing w:val="-10"/>
          <w:sz w:val="36"/>
          <w:szCs w:val="36"/>
        </w:rPr>
      </w:pPr>
    </w:p>
    <w:p>
      <w:pPr>
        <w:rPr>
          <w:rFonts w:hint="eastAsia"/>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223F2"/>
    <w:rsid w:val="00C223F2"/>
    <w:rsid w:val="01B37F3C"/>
    <w:rsid w:val="0A4C50C6"/>
    <w:rsid w:val="1D864FFE"/>
    <w:rsid w:val="1E1C0E35"/>
    <w:rsid w:val="21C30813"/>
    <w:rsid w:val="2AC678A4"/>
    <w:rsid w:val="30CF5680"/>
    <w:rsid w:val="38D309D3"/>
    <w:rsid w:val="395A774D"/>
    <w:rsid w:val="3C943F2D"/>
    <w:rsid w:val="3DEF0DE9"/>
    <w:rsid w:val="3F655956"/>
    <w:rsid w:val="55176708"/>
    <w:rsid w:val="56E25A3D"/>
    <w:rsid w:val="589A42FB"/>
    <w:rsid w:val="5EF20934"/>
    <w:rsid w:val="67DB14D9"/>
    <w:rsid w:val="6A990AB3"/>
    <w:rsid w:val="72E70512"/>
    <w:rsid w:val="7D7E0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p0"/>
    <w:basedOn w:val="1"/>
    <w:qFormat/>
    <w:uiPriority w:val="0"/>
    <w:pPr>
      <w:widowControl/>
    </w:pPr>
    <w:rPr>
      <w:rFonts w:ascii="Calibri" w:hAnsi="Calibri" w:cs="宋体"/>
      <w:kern w:val="0"/>
      <w:szCs w:val="21"/>
    </w:rPr>
  </w:style>
  <w:style w:type="character" w:customStyle="1" w:styleId="9">
    <w:name w:val="font31"/>
    <w:basedOn w:val="5"/>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652</Words>
  <Characters>3723</Characters>
  <Lines>31</Lines>
  <Paragraphs>8</Paragraphs>
  <TotalTime>2</TotalTime>
  <ScaleCrop>false</ScaleCrop>
  <LinksUpToDate>false</LinksUpToDate>
  <CharactersWithSpaces>4367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2020-06-30T07:16:00Z</dcterms:created>
  <dc:creator>lenovo</dc:creator>
  <cp:lastModifiedBy>净信</cp:lastModifiedBy>
  <dcterms:modified xsi:type="dcterms:W3CDTF">2021-01-08T02:32:39Z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