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B7DB9" w:rsidRDefault="00394114">
      <w:pPr>
        <w:jc w:val="center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青岛市住房公积金管理中心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（</w:t>
      </w:r>
      <w:r w:rsidR="00FC141F">
        <w:rPr>
          <w:rFonts w:ascii="方正小标宋_GBK" w:eastAsia="方正小标宋_GBK" w:hAnsi="方正小标宋_GBK" w:cs="方正小标宋_GBK"/>
          <w:color w:val="000000"/>
          <w:sz w:val="72"/>
        </w:rPr>
        <w:t>青岛市住房资金管理中心</w:t>
      </w:r>
      <w:r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）</w:t>
      </w:r>
    </w:p>
    <w:p w:rsidR="00AB7DB9" w:rsidRDefault="00FC141F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bookmarkStart w:id="0" w:name="_GoBack"/>
      <w:bookmarkEnd w:id="0"/>
      <w:r w:rsidR="000D19DD">
        <w:rPr>
          <w:rFonts w:ascii="方正小标宋_GBK" w:eastAsia="方正小标宋_GBK" w:hAnsi="方正小标宋_GBK" w:cs="方正小标宋_GBK"/>
          <w:color w:val="000000"/>
          <w:sz w:val="72"/>
        </w:rPr>
        <w:t>预算项目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绩效</w:t>
      </w:r>
      <w:r w:rsidR="000D19DD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目标</w:t>
      </w:r>
    </w:p>
    <w:p w:rsidR="00AB7DB9" w:rsidRDefault="00AB7DB9">
      <w:pPr>
        <w:jc w:val="center"/>
        <w:sectPr w:rsidR="00AB7DB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AB7DB9" w:rsidRDefault="00FC141F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B7DB9" w:rsidRDefault="00FC141F">
      <w:pPr>
        <w:ind w:firstLine="560"/>
        <w:outlineLvl w:val="3"/>
      </w:pPr>
      <w:bookmarkStart w:id="1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1.住房公积金业务运行专项业务经费绩效目标表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37020022P88002810055U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住房公积金业务运行专项业务经费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1221.10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1221.10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用于住房公积金宣传，催收催健，执法维权，保障业务大厅正常运转等支出内容。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306.00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610.00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1010.00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1221.00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创新宣传方式，充分利用新媒体等多种形式多渠道加强政策宣传，提高住房公积金政策知晓率；保障全市住房公积金营业大厅业务高效运转，为全市缴存单位和缴存职工提供优质服务；常态化开展住房公积金催建催缴工作，保障缴存职工合法权益，服务全市6万余个缴存单位，发放住房公积金贷款大于2万笔，实现保障性住房建设补充资金大于12亿元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住房公积金行政执法立案数量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全年住房公积金行政执法立案数量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≥600件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住房公积金宣传次数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全年住房公积金宣传次数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≥50次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住房公积金业务培训人次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全年住房公积金业务培训人次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≥1000人次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发放贷款笔数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全年住房公积金发放贷款笔数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≥20000笔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服务缴存单位数量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全年服务缴存单位数量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≥60000个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住房公积金个贷逾期率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住房公积金个贷逾期率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≤0.04%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住房公积金增值收益率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住房公积金增值收益率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≥1.58%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项目完成时间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项目完成时间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2022年12月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≤1221.1万元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住房公积金贷款支持职工购房面积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全年发放住房公积金贷款支持职工购房面积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≥220万平方米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住房公积金贷款支持中低收入群体比重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全年发放住房公积金贷款中低收入群体所占比例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≥94.11%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实缴单位和实缴职工数量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实缴单位和实缴职工数量同比增长情况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持续增长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 xml:space="preserve"> 线下住房公积金服务满意度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住房公积金服务窗口服务对象评价满意度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>
      <w:pPr>
        <w:sectPr w:rsidR="00AB7DB9">
          <w:footerReference w:type="even" r:id="rId18"/>
          <w:footerReference w:type="default" r:id="rId19"/>
          <w:pgSz w:w="11900" w:h="16840"/>
          <w:pgMar w:top="1984" w:right="1304" w:bottom="1134" w:left="1304" w:header="720" w:footer="720" w:gutter="0"/>
          <w:cols w:space="720"/>
        </w:sectPr>
      </w:pPr>
    </w:p>
    <w:p w:rsidR="00AB7DB9" w:rsidRDefault="00FC141F">
      <w:pPr>
        <w:ind w:firstLine="560"/>
        <w:outlineLvl w:val="3"/>
      </w:pPr>
      <w:bookmarkStart w:id="2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>2.人才住房购置及后期管理绩效目标表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37020022P46000910003U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人才住房购置及后期管理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14424.00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14424.00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完成世纪观邸人才公寓的款项支付工作，支付专业机构运营管理费等支出项目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14172.00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14298.00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14424.00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</w:t>
            </w:r>
          </w:p>
          <w:p w:rsidR="00AB7DB9" w:rsidRDefault="00FC141F">
            <w:pPr>
              <w:pStyle w:val="2"/>
            </w:pPr>
            <w:r>
              <w:t xml:space="preserve"> 完成世纪观邸人才公寓的款项支付工作，筹集人才住房大于110套，筹集人才住房面积大于15000平方米；按照全市统一要求实施配租，委托有资质的专业机构运营，加强人才住房运营管理，为人才提供高质量的租赁服务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筹集租赁型人才住房面积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筹集人才住房面积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≥15000平方米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筹集租赁型人才住房套数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筹集人才住房套数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≥110套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住房质量验收合格率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筹集人才住房质量验收合格率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运营管理服务考核合格率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对运营管理服务机构考核合格率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租赁住房达到配租条件的时间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筹集人才住房满足配租条件的时间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2022年12月31日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每月每平方米运营费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反映人才住房运营成本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≤5元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每平方米的人才住房筹集成本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反映人才住房筹集成本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≤12000元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降低人才住房成本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反映是否降低人才居住成本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降低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改善人才住房环境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反映是否改善人才居住环境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改善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 xml:space="preserve"> 持续为人才提供租赁住房服务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反映人才住房提供持续性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持续提供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入住群体满意度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反映入住群体满意度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>
      <w:pPr>
        <w:sectPr w:rsidR="00AB7DB9">
          <w:pgSz w:w="11900" w:h="16840"/>
          <w:pgMar w:top="1984" w:right="1304" w:bottom="1134" w:left="1304" w:header="720" w:footer="720" w:gutter="0"/>
          <w:cols w:space="720"/>
        </w:sectPr>
      </w:pPr>
    </w:p>
    <w:p w:rsidR="00AB7DB9" w:rsidRDefault="00FC141F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B7DB9" w:rsidRDefault="00FC141F">
      <w:pPr>
        <w:ind w:firstLine="560"/>
        <w:outlineLvl w:val="3"/>
      </w:pPr>
      <w:bookmarkStart w:id="3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3.市住房公积金管理中心政务信息化项目绩效目标表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394114" w:rsidTr="00394114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5"/>
            </w:pPr>
            <w:r>
              <w:t>911001青岛市住房资金管理中心本级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B7DB9" w:rsidRDefault="00FC141F">
            <w:pPr>
              <w:pStyle w:val="4"/>
            </w:pPr>
            <w:r>
              <w:t>单位：万元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2"/>
            </w:pPr>
            <w:r>
              <w:t>37020022P13000410008Q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B7DB9" w:rsidRDefault="00FC141F">
            <w:pPr>
              <w:pStyle w:val="2"/>
            </w:pPr>
            <w:r>
              <w:t>市住房公积金管理中心政务信息化项目</w:t>
            </w:r>
          </w:p>
        </w:tc>
      </w:tr>
      <w:tr w:rsidR="00AB7DB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1310.83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2"/>
            </w:pPr>
            <w:r>
              <w:t>1310.83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 xml:space="preserve"> 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信息化项目主要包含公积金各项业务系统云租赁、各类运维系统及平台的维保、系统应用监控软件及网络安全服务等支出项目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1"/>
            </w:pPr>
            <w:r>
              <w:t>12月底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</w:tcPr>
          <w:p w:rsidR="00AB7DB9" w:rsidRDefault="00AB7DB9"/>
        </w:tc>
        <w:tc>
          <w:tcPr>
            <w:tcW w:w="260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320.00</w:t>
            </w:r>
          </w:p>
        </w:tc>
        <w:tc>
          <w:tcPr>
            <w:tcW w:w="1587" w:type="dxa"/>
            <w:vAlign w:val="center"/>
          </w:tcPr>
          <w:p w:rsidR="00AB7DB9" w:rsidRDefault="00FC141F">
            <w:pPr>
              <w:pStyle w:val="3"/>
            </w:pPr>
            <w:r>
              <w:t>655.00</w:t>
            </w:r>
          </w:p>
        </w:tc>
        <w:tc>
          <w:tcPr>
            <w:tcW w:w="1304" w:type="dxa"/>
            <w:vAlign w:val="center"/>
          </w:tcPr>
          <w:p w:rsidR="00AB7DB9" w:rsidRDefault="00FC141F">
            <w:pPr>
              <w:pStyle w:val="3"/>
            </w:pPr>
            <w:r>
              <w:t>980.00</w:t>
            </w:r>
          </w:p>
        </w:tc>
        <w:tc>
          <w:tcPr>
            <w:tcW w:w="3118" w:type="dxa"/>
            <w:gridSpan w:val="2"/>
            <w:vAlign w:val="center"/>
          </w:tcPr>
          <w:p w:rsidR="00AB7DB9" w:rsidRDefault="00FC141F">
            <w:pPr>
              <w:pStyle w:val="3"/>
            </w:pPr>
            <w:r>
              <w:t>1310.83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B7DB9" w:rsidRDefault="00FC141F">
            <w:pPr>
              <w:pStyle w:val="2"/>
            </w:pPr>
            <w:r>
              <w:t>1.</w:t>
            </w:r>
          </w:p>
          <w:p w:rsidR="00AB7DB9" w:rsidRDefault="00FC141F">
            <w:pPr>
              <w:pStyle w:val="2"/>
            </w:pPr>
            <w:r>
              <w:t>项目实施的目标是在保障公积金各类业务及平台运维系统的高效、稳定、安全运行的前提下，进一步推动公积金业务线上线下全面融合，提高公积金各项业务的办理效率，为全市11个营业大厅，200余名柜员提供系统支持。</w:t>
            </w:r>
          </w:p>
        </w:tc>
      </w:tr>
    </w:tbl>
    <w:p w:rsidR="00AB7DB9" w:rsidRDefault="00FC141F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2891"/>
        <w:gridCol w:w="1276"/>
        <w:gridCol w:w="1843"/>
      </w:tblGrid>
      <w:tr w:rsidR="00394114" w:rsidTr="00394114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1"/>
            </w:pPr>
            <w:r>
              <w:t>指标值确定依据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应用软件购买数量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反映年度购买软件数量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系统维护项目数量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反映年度系统维保服务数量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≥6个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购置设备数量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反映年度购买硬件设备数量</w:t>
            </w:r>
          </w:p>
          <w:p w:rsidR="00AB7DB9" w:rsidRDefault="00AB7DB9">
            <w:pPr>
              <w:pStyle w:val="2"/>
            </w:pP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≥140个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反映年度项目验收合格率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系统正常运行率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反映各类系统正常运行效率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≥96%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系统故障处理时间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反映系统故障处理时间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≤2小时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反映年度项目总成本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≤1310.83万元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B7DB9" w:rsidRDefault="00FC141F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系统上云覆盖率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反映系统上云覆盖率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B7DB9" w:rsidRDefault="00AB7DB9"/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保障公积金业务系统线上业务量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反映年度保障公积金业务系统线上业务数量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≥500万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  <w:tr w:rsidR="00394114" w:rsidTr="00394114">
        <w:trPr>
          <w:trHeight w:val="369"/>
          <w:jc w:val="center"/>
        </w:trPr>
        <w:tc>
          <w:tcPr>
            <w:tcW w:w="1276" w:type="dxa"/>
            <w:vAlign w:val="center"/>
          </w:tcPr>
          <w:p w:rsidR="00AB7DB9" w:rsidRDefault="00FC141F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B7DB9" w:rsidRDefault="00FC141F">
            <w:pPr>
              <w:pStyle w:val="2"/>
            </w:pPr>
            <w:r>
              <w:t>使用对象满意度</w:t>
            </w:r>
          </w:p>
        </w:tc>
        <w:tc>
          <w:tcPr>
            <w:tcW w:w="2891" w:type="dxa"/>
            <w:vAlign w:val="center"/>
          </w:tcPr>
          <w:p w:rsidR="00AB7DB9" w:rsidRDefault="00FC141F">
            <w:pPr>
              <w:pStyle w:val="2"/>
            </w:pPr>
            <w:r>
              <w:t>反映系统使用对象满意度</w:t>
            </w:r>
          </w:p>
        </w:tc>
        <w:tc>
          <w:tcPr>
            <w:tcW w:w="1276" w:type="dxa"/>
            <w:vAlign w:val="center"/>
          </w:tcPr>
          <w:p w:rsidR="00AB7DB9" w:rsidRDefault="00FC141F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AB7DB9" w:rsidRDefault="00FC141F">
            <w:pPr>
              <w:pStyle w:val="2"/>
            </w:pPr>
            <w:r>
              <w:t>计划标准</w:t>
            </w:r>
          </w:p>
        </w:tc>
      </w:tr>
    </w:tbl>
    <w:p w:rsidR="00AB7DB9" w:rsidRDefault="00AB7DB9"/>
    <w:sectPr w:rsidR="00AB7DB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79" w:rsidRDefault="00D54479">
      <w:r>
        <w:separator/>
      </w:r>
    </w:p>
  </w:endnote>
  <w:endnote w:type="continuationSeparator" w:id="0">
    <w:p w:rsidR="00D54479" w:rsidRDefault="00D5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Default="00FC141F">
    <w:r>
      <w:fldChar w:fldCharType="begin"/>
    </w:r>
    <w:r>
      <w:instrText>PAGE "page number"</w:instrText>
    </w:r>
    <w:r>
      <w:fldChar w:fldCharType="separate"/>
    </w:r>
    <w:r w:rsidR="001C07D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DB9" w:rsidRDefault="00FC141F">
    <w:pPr>
      <w:jc w:val="right"/>
    </w:pPr>
    <w:r>
      <w:fldChar w:fldCharType="begin"/>
    </w:r>
    <w:r>
      <w:instrText>PAGE "page number"</w:instrText>
    </w:r>
    <w:r>
      <w:fldChar w:fldCharType="separate"/>
    </w:r>
    <w:r w:rsidR="001C07D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79" w:rsidRDefault="00D54479">
      <w:r>
        <w:separator/>
      </w:r>
    </w:p>
  </w:footnote>
  <w:footnote w:type="continuationSeparator" w:id="0">
    <w:p w:rsidR="00D54479" w:rsidRDefault="00D5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8B1"/>
    <w:multiLevelType w:val="multilevel"/>
    <w:tmpl w:val="2D94142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05390A6D"/>
    <w:multiLevelType w:val="multilevel"/>
    <w:tmpl w:val="503454F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053C0694"/>
    <w:multiLevelType w:val="multilevel"/>
    <w:tmpl w:val="FB5EED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6EF2E24"/>
    <w:multiLevelType w:val="multilevel"/>
    <w:tmpl w:val="A886B6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1D1E3E1C"/>
    <w:multiLevelType w:val="multilevel"/>
    <w:tmpl w:val="E6A036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1ED16EF3"/>
    <w:multiLevelType w:val="multilevel"/>
    <w:tmpl w:val="754C6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27A657D5"/>
    <w:multiLevelType w:val="multilevel"/>
    <w:tmpl w:val="7BEEDC1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320D66C5"/>
    <w:multiLevelType w:val="multilevel"/>
    <w:tmpl w:val="AA2E544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>
    <w:nsid w:val="3C472AB5"/>
    <w:multiLevelType w:val="multilevel"/>
    <w:tmpl w:val="30DCEEA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573C4E4B"/>
    <w:multiLevelType w:val="multilevel"/>
    <w:tmpl w:val="9312BAF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5F9A6B52"/>
    <w:multiLevelType w:val="multilevel"/>
    <w:tmpl w:val="EAC2DC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72EA53D7"/>
    <w:multiLevelType w:val="multilevel"/>
    <w:tmpl w:val="5208790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B7DB9"/>
    <w:rsid w:val="000D19DD"/>
    <w:rsid w:val="001C07D7"/>
    <w:rsid w:val="00394114"/>
    <w:rsid w:val="00AB7DB9"/>
    <w:rsid w:val="00B975AB"/>
    <w:rsid w:val="00D54479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pPr>
      <w:ind w:left="240"/>
    </w:pPr>
  </w:style>
  <w:style w:type="paragraph" w:styleId="40">
    <w:name w:val="toc 4"/>
    <w:basedOn w:val="a"/>
    <w:qFormat/>
    <w:pPr>
      <w:ind w:left="720"/>
    </w:pPr>
  </w:style>
  <w:style w:type="paragraph" w:styleId="10">
    <w:name w:val="toc 1"/>
    <w:basedOn w:val="a"/>
    <w:qFormat/>
    <w:pPr>
      <w:spacing w:before="120"/>
    </w:pPr>
    <w:rPr>
      <w:rFonts w:eastAsia="方正仿宋_GBK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microsoft.com/office/2007/relationships/stylesWithEffects" Target="stylesWithEffec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2022-05-09T14:40:04Z</dcterms:created>
  <dcterms:modified xsi:type="dcterms:W3CDTF">2022-05-09T06:40:04Z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2022-05-09T14:40:03Z</dcterms:created>
  <dcterms:modified xsi:type="dcterms:W3CDTF">2022-05-09T06:40:03Z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2022-05-09T14:40:04Z</dcterms:created>
  <dcterms:modified xsi:type="dcterms:W3CDTF">2022-05-09T06:40:04Z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E58AA6F-5095-436C-8C35-22F3B9EE738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642A83DE-1BAA-47ED-8671-9242634C10B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C4D6789C-96D4-4864-AF2E-F272FEED7EF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DA509C-C67A-4BA4-A2D9-D6547ED70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4C4890-E221-41A5-AF33-C9165B614FA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BCFB9F8-D0B4-47DD-BB95-D76F4763967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F366C692-9224-407E-A0F0-5D3B6DD8CB3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4CF5F98F-00AC-4336-91CF-8F458B602FB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AED8A398-37DB-4343-A2E3-339754F9E8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CBA54500-3A8F-409A-9801-73B113552E8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2022-05-09T14:40:00Z</dcterms:created>
  <dcterms:modified xsi:type="dcterms:W3CDTF">2022-05-09T07:09:00Z</dcterms:modified>
</cp:coreProperties>
</file>