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285"/>
        <w:tblOverlap w:val="never"/>
        <w:tblW w:w="151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013"/>
        <w:gridCol w:w="992"/>
        <w:gridCol w:w="709"/>
        <w:gridCol w:w="567"/>
        <w:gridCol w:w="567"/>
        <w:gridCol w:w="567"/>
        <w:gridCol w:w="708"/>
        <w:gridCol w:w="709"/>
        <w:gridCol w:w="851"/>
        <w:gridCol w:w="708"/>
        <w:gridCol w:w="993"/>
        <w:gridCol w:w="1417"/>
        <w:gridCol w:w="992"/>
        <w:gridCol w:w="993"/>
        <w:gridCol w:w="567"/>
        <w:gridCol w:w="567"/>
        <w:gridCol w:w="567"/>
        <w:gridCol w:w="567"/>
        <w:gridCol w:w="567"/>
      </w:tblGrid>
      <w:tr w14:paraId="53B16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1D0DB">
            <w:pPr>
              <w:tabs>
                <w:tab w:val="left" w:pos="3535"/>
              </w:tabs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3</w:t>
            </w:r>
          </w:p>
          <w:p w14:paraId="4FA0E7B7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0"/>
                <w:szCs w:val="40"/>
              </w:rPr>
              <w:t>融资担保业务明细表</w:t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BB18C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 w14:paraId="28AEC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7A2D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（</w:t>
            </w:r>
            <w:r>
              <w:rPr>
                <w:rFonts w:ascii="楷体_GB2312" w:hAnsi="宋体" w:eastAsia="楷体_GB2312" w:cs="楷体_GB2312"/>
                <w:color w:val="000000"/>
              </w:rPr>
              <w:t>****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</w:rPr>
              <w:t>1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日至</w:t>
            </w:r>
            <w:r>
              <w:rPr>
                <w:rFonts w:ascii="楷体_GB2312" w:hAnsi="宋体" w:eastAsia="楷体_GB2312" w:cs="楷体_GB2312"/>
                <w:color w:val="000000"/>
              </w:rPr>
              <w:t>****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</w:rPr>
              <w:t>12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</w:rPr>
              <w:t>31</w:t>
            </w:r>
            <w:r>
              <w:rPr>
                <w:rFonts w:hint="eastAsia" w:ascii="楷体_GB2312" w:hAnsi="宋体" w:eastAsia="楷体_GB2312" w:cs="楷体_GB2312"/>
                <w:color w:val="000000"/>
              </w:rPr>
              <w:t>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E4B55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</w:rPr>
            </w:pPr>
          </w:p>
        </w:tc>
      </w:tr>
      <w:tr w14:paraId="06DB1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96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3D88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960E0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EE3B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3A4D6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831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F7EA6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8F5D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50E6C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单位：万元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EC1D845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2E94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9FB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DB2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协作机构</w:t>
            </w:r>
          </w:p>
          <w:p w14:paraId="7C7FD0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E0B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企业名称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5DB9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行业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1E1A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营业收入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476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资产总额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0285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从业</w:t>
            </w:r>
          </w:p>
          <w:p w14:paraId="2A5F93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人数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604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</w:t>
            </w:r>
          </w:p>
          <w:p w14:paraId="099DD0F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金额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A7B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担保费收入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A804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年化</w:t>
            </w:r>
          </w:p>
          <w:p w14:paraId="38B431E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担保额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4B1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年化担保费率（</w:t>
            </w:r>
            <w:r>
              <w:rPr>
                <w:rFonts w:ascii="黑体" w:hAnsi="宋体" w:eastAsia="黑体" w:cs="黑体"/>
                <w:color w:val="000000"/>
              </w:rPr>
              <w:t>%</w:t>
            </w:r>
            <w:r>
              <w:rPr>
                <w:rFonts w:hint="eastAsia" w:ascii="黑体" w:hAnsi="宋体" w:eastAsia="黑体" w:cs="黑体"/>
                <w:color w:val="000000"/>
              </w:rPr>
              <w:t>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334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贷款银行与受保企业合同号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132B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担保机构与受保企业合同号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3E6A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担保责任发生日期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0D6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担保责任解除日期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096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担保责任时间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2CD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补助核算比例（</w:t>
            </w:r>
            <w:r>
              <w:rPr>
                <w:rFonts w:ascii="黑体" w:hAnsi="宋体" w:eastAsia="黑体" w:cs="黑体"/>
                <w:color w:val="000000"/>
              </w:rPr>
              <w:t>%</w:t>
            </w:r>
            <w:r>
              <w:rPr>
                <w:rFonts w:hint="eastAsia" w:ascii="黑体" w:hAnsi="宋体" w:eastAsia="黑体" w:cs="黑体"/>
                <w:color w:val="000000"/>
              </w:rPr>
              <w:t>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1EEC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核算</w:t>
            </w:r>
          </w:p>
          <w:p w14:paraId="6E4745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金额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7818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企业</w:t>
            </w:r>
          </w:p>
          <w:p w14:paraId="44AEE4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划型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2A52A">
            <w:pPr>
              <w:widowControl/>
              <w:spacing w:line="90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备注</w:t>
            </w:r>
          </w:p>
        </w:tc>
      </w:tr>
      <w:tr w14:paraId="27C85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89C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79524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DA22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11F7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BBC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449F6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CA62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C53E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34DC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D1CFD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BFB5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33A1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E93F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907F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5B47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85BB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D749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2B0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67E6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78C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FF9E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DE6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FCCFC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5C2B0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4A24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AB68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0896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C171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C3E1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8F8C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97234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2EA3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46156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1DF5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51372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69DC6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CA2A1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E754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5479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63EB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402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E528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000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51BCF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C6E22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0F39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9F23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CB9A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DB08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DACA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680F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3B880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3824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BEA1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636A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7C93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79DC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CD9E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3EF6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BF0D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F186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CB34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5380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CA5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A571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D645B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2B9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A867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0825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FC73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2B6E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50A0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F0DF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C418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874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6F99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4379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3AC9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FB6A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3EE9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105D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616A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8880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70A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A69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A47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4EF00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BF932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E86C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CA0D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1726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22505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97ED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2D1BE">
            <w:pPr>
              <w:jc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3BE3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6CB6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7049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D6161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241E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FF52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247F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1F44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6CF6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B34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32CD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927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8452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50C6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1ED6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75CB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A64B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4504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5006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3486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FD0B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43C8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7ED7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3DB4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CB5B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A048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ABB2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3E71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47B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C324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16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FE6B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会计师事务所（盖章）                                                  担保机构（盖章）</w:t>
            </w:r>
          </w:p>
        </w:tc>
      </w:tr>
      <w:tr w14:paraId="68AF0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7" w:type="dxa"/>
          <w:trHeight w:val="1020" w:hRule="atLeast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66E11">
            <w:pPr>
              <w:widowControl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注：</w:t>
            </w: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此表应填写机构全部融资担保业务，包括为大、中、小、微型企业、个人或农户等提供的担保业务；</w:t>
            </w: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同一家企业担保业务按时间顺序排列在一起；</w:t>
            </w:r>
            <w:r>
              <w:rPr>
                <w:rFonts w:ascii="宋体" w:hAnsi="宋体" w:cs="宋体"/>
                <w:color w:val="000000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此表分页需每页加盖会计师事务所和担保机构公章；</w:t>
            </w:r>
            <w:r>
              <w:rPr>
                <w:rFonts w:ascii="宋体" w:hAnsi="宋体" w:cs="宋体"/>
                <w:color w:val="000000"/>
              </w:rPr>
              <w:t>4.</w:t>
            </w:r>
            <w:r>
              <w:rPr>
                <w:rFonts w:hint="eastAsia" w:ascii="宋体" w:hAnsi="宋体" w:cs="宋体"/>
                <w:color w:val="000000"/>
              </w:rPr>
              <w:t>担保责任时间以天数计；</w:t>
            </w:r>
            <w:r>
              <w:rPr>
                <w:rFonts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>年化担保额</w:t>
            </w:r>
            <w:r>
              <w:rPr>
                <w:rFonts w:ascii="宋体" w:hAnsi="宋体" w:cs="宋体"/>
                <w:color w:val="000000"/>
              </w:rPr>
              <w:t>=</w:t>
            </w:r>
            <w:r>
              <w:rPr>
                <w:rFonts w:hint="eastAsia" w:ascii="宋体" w:hAnsi="宋体" w:cs="宋体"/>
                <w:color w:val="000000"/>
              </w:rPr>
              <w:t>担保金额</w:t>
            </w: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实际担保天数</w:t>
            </w:r>
            <w:r>
              <w:rPr>
                <w:rFonts w:ascii="宋体" w:hAnsi="宋体" w:cs="宋体"/>
                <w:color w:val="000000"/>
              </w:rPr>
              <w:t>/365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>年化担保费率在合计栏算出“平均年化担保费率”，计算公式为：∑每笔担保收费金额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∑每笔担保业务年化担保额；</w:t>
            </w:r>
            <w:r>
              <w:rPr>
                <w:rFonts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>每笔符合条件的业务补助核算额</w:t>
            </w:r>
            <w:r>
              <w:rPr>
                <w:rFonts w:ascii="宋体" w:hAnsi="宋体" w:cs="宋体"/>
                <w:color w:val="000000"/>
              </w:rPr>
              <w:t>=</w:t>
            </w:r>
            <w:r>
              <w:rPr>
                <w:rFonts w:hint="eastAsia" w:ascii="宋体" w:hAnsi="宋体" w:cs="宋体"/>
                <w:color w:val="000000"/>
              </w:rPr>
              <w:t>年化担保额</w:t>
            </w: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补助核算比例，其它不符合补助条件的业务核算额填</w:t>
            </w:r>
            <w:r>
              <w:rPr>
                <w:rFonts w:ascii="宋体" w:cs="宋体"/>
                <w:color w:val="000000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ascii="宋体" w:hAnsi="宋体" w:cs="宋体"/>
                <w:color w:val="000000"/>
              </w:rPr>
              <w:t>8.</w:t>
            </w:r>
            <w:r>
              <w:rPr>
                <w:rFonts w:hint="eastAsia" w:ascii="宋体" w:hAnsi="宋体" w:cs="宋体"/>
                <w:color w:val="000000"/>
              </w:rPr>
              <w:t>按微型</w:t>
            </w:r>
            <w:r>
              <w:rPr>
                <w:rFonts w:ascii="宋体" w:hAnsi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</w:rPr>
              <w:t>小型、中型、大型、个人、农户的顺序。</w:t>
            </w:r>
          </w:p>
        </w:tc>
      </w:tr>
    </w:tbl>
    <w:p w14:paraId="510D87A2"/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D282E68"/>
    <w:rsid w:val="4D2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2025-07-23T06:48:00Z</dcterms:created>
  <dc:creator>Administrator</dc:creator>
  <cp:lastModifiedBy>Administrator</cp:lastModifiedBy>
  <dcterms:modified xsi:type="dcterms:W3CDTF">2025-07-23T06:52:04Z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B0E1FF95A79D46678C72066D66ECDC64_11</vt:lpwstr>
  </property>
</Properties>
</file>