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1E" w:rsidRDefault="008E521E">
      <w:pPr>
        <w:pStyle w:val="a8"/>
        <w:spacing w:line="520" w:lineRule="exact"/>
        <w:rPr>
          <w:rFonts w:ascii="宋体" w:eastAsia="宋体" w:hAnsi="宋体" w:cs="宋体"/>
        </w:rPr>
      </w:pPr>
    </w:p>
    <w:p w:rsidR="008E521E" w:rsidRDefault="008E521E">
      <w:pPr>
        <w:pStyle w:val="a8"/>
        <w:spacing w:line="520" w:lineRule="exact"/>
        <w:rPr>
          <w:rFonts w:ascii="宋体" w:eastAsia="宋体" w:hAnsi="宋体" w:cs="宋体"/>
        </w:rPr>
      </w:pPr>
    </w:p>
    <w:p w:rsidR="008E521E" w:rsidRDefault="008E521E">
      <w:pPr>
        <w:pStyle w:val="a8"/>
        <w:spacing w:line="520" w:lineRule="exact"/>
        <w:rPr>
          <w:rFonts w:ascii="宋体" w:eastAsia="宋体" w:hAnsi="宋体" w:cs="宋体"/>
        </w:rPr>
      </w:pPr>
    </w:p>
    <w:p w:rsidR="008E521E" w:rsidRDefault="008E521E">
      <w:pPr>
        <w:pStyle w:val="a8"/>
        <w:spacing w:line="520" w:lineRule="exact"/>
        <w:rPr>
          <w:rFonts w:ascii="宋体" w:eastAsia="宋体" w:hAnsi="宋体" w:cs="宋体"/>
        </w:rPr>
      </w:pPr>
    </w:p>
    <w:p w:rsidR="008E521E" w:rsidRDefault="008E521E">
      <w:pPr>
        <w:pStyle w:val="a8"/>
        <w:spacing w:line="520" w:lineRule="exact"/>
        <w:rPr>
          <w:rFonts w:ascii="宋体" w:eastAsia="宋体" w:hAnsi="宋体" w:cs="宋体"/>
        </w:rPr>
      </w:pPr>
    </w:p>
    <w:p w:rsidR="008E521E" w:rsidRDefault="008E521E">
      <w:pPr>
        <w:pStyle w:val="a8"/>
        <w:spacing w:line="520" w:lineRule="exact"/>
        <w:rPr>
          <w:rFonts w:ascii="宋体" w:eastAsia="宋体" w:hAnsi="宋体" w:cs="宋体"/>
        </w:rPr>
      </w:pPr>
    </w:p>
    <w:p w:rsidR="00956D25" w:rsidRDefault="00021C8E" w:rsidP="00956D25">
      <w:pPr>
        <w:spacing w:line="520" w:lineRule="exact"/>
        <w:ind w:left="880" w:hanging="880"/>
        <w:jc w:val="center"/>
        <w:rPr>
          <w:rFonts w:ascii="方正小标宋_GBK" w:eastAsia="方正小标宋_GBK" w:hAnsi="宋体" w:cs="宋体"/>
          <w:sz w:val="44"/>
          <w:szCs w:val="44"/>
        </w:rPr>
      </w:pPr>
      <w:r>
        <w:rPr>
          <w:rFonts w:ascii="方正小标宋_GBK" w:eastAsia="方正小标宋_GBK" w:hAnsi="宋体" w:hint="eastAsia"/>
          <w:b/>
          <w:sz w:val="44"/>
          <w:szCs w:val="44"/>
        </w:rPr>
        <w:t>2020</w:t>
      </w:r>
      <w:r>
        <w:rPr>
          <w:rFonts w:ascii="方正小标宋_GBK" w:eastAsia="方正小标宋_GBK" w:cs="文星简黑体" w:hint="eastAsia"/>
          <w:sz w:val="44"/>
          <w:szCs w:val="44"/>
        </w:rPr>
        <w:t>年度</w:t>
      </w:r>
      <w:r>
        <w:rPr>
          <w:rFonts w:ascii="方正小标宋_GBK" w:eastAsia="方正小标宋_GBK" w:hAnsi="宋体" w:cs="宋体" w:hint="eastAsia"/>
          <w:sz w:val="44"/>
          <w:szCs w:val="44"/>
        </w:rPr>
        <w:t>青岛市国资大数据在线监管系统</w:t>
      </w:r>
    </w:p>
    <w:p w:rsidR="008E521E" w:rsidRDefault="00021C8E" w:rsidP="00956D25">
      <w:pPr>
        <w:spacing w:line="520" w:lineRule="exact"/>
        <w:ind w:left="880" w:hanging="880"/>
        <w:jc w:val="center"/>
        <w:rPr>
          <w:rFonts w:ascii="方正小标宋_GBK" w:eastAsia="方正小标宋_GBK" w:cs="文星简黑体"/>
          <w:sz w:val="44"/>
          <w:szCs w:val="44"/>
        </w:rPr>
      </w:pPr>
      <w:r>
        <w:rPr>
          <w:rFonts w:ascii="方正小标宋_GBK" w:eastAsia="方正小标宋_GBK" w:hAnsi="宋体" w:cs="宋体" w:hint="eastAsia"/>
          <w:sz w:val="44"/>
          <w:szCs w:val="44"/>
        </w:rPr>
        <w:t>（一期）</w:t>
      </w:r>
      <w:r>
        <w:rPr>
          <w:rFonts w:ascii="方正小标宋_GBK" w:eastAsia="方正小标宋_GBK" w:cs="文星简黑体" w:hint="eastAsia"/>
          <w:sz w:val="44"/>
          <w:szCs w:val="44"/>
        </w:rPr>
        <w:t>项目支出财政绩效评价报告</w:t>
      </w:r>
    </w:p>
    <w:p w:rsidR="008E521E" w:rsidRDefault="008E521E">
      <w:pPr>
        <w:spacing w:line="520" w:lineRule="exact"/>
        <w:ind w:left="1040" w:hanging="1040"/>
        <w:jc w:val="right"/>
        <w:rPr>
          <w:rFonts w:ascii="文星简黑体" w:eastAsia="文星简黑体"/>
          <w:sz w:val="52"/>
          <w:szCs w:val="52"/>
        </w:rPr>
      </w:pPr>
    </w:p>
    <w:p w:rsidR="008E521E" w:rsidRDefault="008E521E">
      <w:pPr>
        <w:spacing w:line="520" w:lineRule="exact"/>
        <w:ind w:left="1040" w:hanging="1040"/>
        <w:jc w:val="center"/>
        <w:rPr>
          <w:rFonts w:ascii="文星简黑体" w:eastAsia="文星简黑体"/>
          <w:sz w:val="52"/>
          <w:szCs w:val="52"/>
        </w:rPr>
      </w:pPr>
    </w:p>
    <w:p w:rsidR="008E521E" w:rsidRDefault="008E521E">
      <w:pPr>
        <w:spacing w:line="520" w:lineRule="exact"/>
        <w:ind w:left="1040" w:hanging="1040"/>
        <w:jc w:val="center"/>
        <w:rPr>
          <w:rFonts w:ascii="文星简黑体" w:eastAsia="文星简黑体"/>
          <w:sz w:val="52"/>
          <w:szCs w:val="52"/>
        </w:rPr>
      </w:pPr>
    </w:p>
    <w:p w:rsidR="008E521E" w:rsidRDefault="00021C8E">
      <w:pPr>
        <w:spacing w:before="120" w:line="520" w:lineRule="exact"/>
        <w:ind w:left="640" w:hanging="640"/>
        <w:rPr>
          <w:rFonts w:ascii="黑体" w:eastAsia="黑体" w:hAnsi="黑体"/>
          <w:sz w:val="32"/>
          <w:szCs w:val="32"/>
        </w:rPr>
      </w:pPr>
      <w:r>
        <w:rPr>
          <w:rFonts w:ascii="黑体" w:eastAsia="黑体" w:hAnsi="黑体" w:cs="文星简黑体" w:hint="eastAsia"/>
          <w:sz w:val="32"/>
          <w:szCs w:val="32"/>
        </w:rPr>
        <w:t>评价单位：青岛市财政局</w:t>
      </w:r>
    </w:p>
    <w:p w:rsidR="008E521E" w:rsidRDefault="00021C8E">
      <w:pPr>
        <w:spacing w:before="120" w:line="520" w:lineRule="exact"/>
        <w:ind w:left="2240" w:hangingChars="700" w:hanging="2240"/>
        <w:rPr>
          <w:rFonts w:ascii="黑体" w:eastAsia="黑体" w:hAnsi="黑体"/>
          <w:sz w:val="32"/>
          <w:szCs w:val="32"/>
        </w:rPr>
      </w:pPr>
      <w:r>
        <w:rPr>
          <w:rFonts w:ascii="黑体" w:eastAsia="黑体" w:hAnsi="黑体" w:cs="文星简黑体" w:hint="eastAsia"/>
          <w:sz w:val="32"/>
          <w:szCs w:val="32"/>
        </w:rPr>
        <w:t>被评价单位：青岛市人民政府国有资产监督管理委员会</w:t>
      </w:r>
    </w:p>
    <w:p w:rsidR="008E521E" w:rsidRDefault="008E521E">
      <w:pPr>
        <w:spacing w:before="120" w:line="520" w:lineRule="exact"/>
        <w:ind w:left="640" w:hanging="640"/>
        <w:rPr>
          <w:rFonts w:ascii="黑体" w:eastAsia="黑体" w:hAnsi="黑体"/>
          <w:sz w:val="32"/>
          <w:szCs w:val="32"/>
        </w:rPr>
      </w:pPr>
    </w:p>
    <w:p w:rsidR="008E521E" w:rsidRDefault="008E521E">
      <w:pPr>
        <w:spacing w:before="120" w:line="520" w:lineRule="exact"/>
        <w:ind w:left="640" w:hanging="640"/>
        <w:jc w:val="center"/>
        <w:rPr>
          <w:rFonts w:ascii="黑体" w:eastAsia="黑体" w:hAnsi="黑体"/>
          <w:sz w:val="32"/>
          <w:szCs w:val="32"/>
        </w:rPr>
      </w:pPr>
    </w:p>
    <w:p w:rsidR="008E521E" w:rsidRDefault="008E521E">
      <w:pPr>
        <w:spacing w:before="120" w:line="520" w:lineRule="exact"/>
        <w:rPr>
          <w:rFonts w:ascii="黑体" w:eastAsia="黑体" w:hAnsi="黑体"/>
          <w:sz w:val="32"/>
          <w:szCs w:val="32"/>
        </w:rPr>
      </w:pPr>
    </w:p>
    <w:p w:rsidR="008E521E" w:rsidRDefault="008E521E">
      <w:pPr>
        <w:spacing w:before="120" w:line="520" w:lineRule="exact"/>
        <w:rPr>
          <w:rFonts w:ascii="黑体" w:eastAsia="黑体" w:hAnsi="黑体"/>
          <w:sz w:val="32"/>
          <w:szCs w:val="32"/>
        </w:rPr>
      </w:pPr>
    </w:p>
    <w:p w:rsidR="008E521E" w:rsidRDefault="00021C8E">
      <w:pPr>
        <w:spacing w:before="120" w:line="520" w:lineRule="exact"/>
        <w:jc w:val="center"/>
        <w:rPr>
          <w:rFonts w:ascii="黑体" w:eastAsia="黑体" w:hAnsi="黑体" w:cs="文星简黑体"/>
          <w:sz w:val="32"/>
          <w:szCs w:val="32"/>
        </w:rPr>
      </w:pPr>
      <w:r>
        <w:rPr>
          <w:rFonts w:ascii="黑体" w:eastAsia="黑体" w:hAnsi="黑体" w:cs="文星简黑体" w:hint="eastAsia"/>
          <w:sz w:val="32"/>
          <w:szCs w:val="32"/>
        </w:rPr>
        <w:t>202</w:t>
      </w:r>
      <w:r w:rsidR="00194C81">
        <w:rPr>
          <w:rFonts w:ascii="黑体" w:eastAsia="黑体" w:hAnsi="黑体" w:cs="文星简黑体" w:hint="eastAsia"/>
          <w:sz w:val="32"/>
          <w:szCs w:val="32"/>
        </w:rPr>
        <w:t>1</w:t>
      </w:r>
      <w:r>
        <w:rPr>
          <w:rFonts w:ascii="黑体" w:eastAsia="黑体" w:hAnsi="黑体" w:cs="文星简黑体" w:hint="eastAsia"/>
          <w:sz w:val="32"/>
          <w:szCs w:val="32"/>
        </w:rPr>
        <w:t>年7月</w:t>
      </w:r>
    </w:p>
    <w:p w:rsidR="008E521E" w:rsidRDefault="008E521E">
      <w:pPr>
        <w:spacing w:before="120" w:line="520" w:lineRule="exact"/>
        <w:jc w:val="center"/>
        <w:rPr>
          <w:rFonts w:ascii="黑体" w:eastAsia="黑体" w:hAnsi="黑体" w:cs="文星简黑体"/>
          <w:sz w:val="32"/>
          <w:szCs w:val="32"/>
        </w:rPr>
      </w:pPr>
    </w:p>
    <w:p w:rsidR="008E521E" w:rsidRDefault="008E521E">
      <w:pPr>
        <w:spacing w:after="0" w:line="560" w:lineRule="exact"/>
        <w:jc w:val="center"/>
        <w:rPr>
          <w:rFonts w:ascii="方正小标宋_GBK" w:eastAsia="方正小标宋_GBK" w:hAnsi="宋体" w:cs="宋体"/>
          <w:sz w:val="44"/>
          <w:szCs w:val="44"/>
        </w:rPr>
        <w:sectPr w:rsidR="008E521E">
          <w:footerReference w:type="default" r:id="rId7"/>
          <w:pgSz w:w="11906" w:h="16838"/>
          <w:pgMar w:top="2098" w:right="1588" w:bottom="2098" w:left="1588" w:header="851" w:footer="992" w:gutter="0"/>
          <w:pgNumType w:start="1"/>
          <w:cols w:space="720"/>
          <w:docGrid w:type="lines" w:linePitch="324"/>
        </w:sectPr>
      </w:pPr>
    </w:p>
    <w:sdt>
      <w:sdtPr>
        <w:rPr>
          <w:rFonts w:ascii="宋体" w:eastAsia="宋体" w:hAnsi="宋体"/>
          <w:sz w:val="21"/>
        </w:rPr>
        <w:id w:val="147483637"/>
        <w:docPartObj>
          <w:docPartGallery w:val="Table of Contents"/>
          <w:docPartUnique/>
        </w:docPartObj>
      </w:sdtPr>
      <w:sdtEndPr>
        <w:rPr>
          <w:rFonts w:ascii="方正小标宋_GBK" w:eastAsia="方正小标宋_GBK" w:cs="宋体" w:hint="eastAsia"/>
          <w:sz w:val="22"/>
          <w:szCs w:val="44"/>
        </w:rPr>
      </w:sdtEndPr>
      <w:sdtContent>
        <w:p w:rsidR="00E403B8" w:rsidRDefault="00E403B8">
          <w:pPr>
            <w:spacing w:line="240" w:lineRule="auto"/>
            <w:jc w:val="center"/>
            <w:rPr>
              <w:sz w:val="52"/>
              <w:szCs w:val="52"/>
            </w:rPr>
          </w:pPr>
          <w:r>
            <w:rPr>
              <w:rFonts w:ascii="宋体" w:eastAsia="宋体" w:hAnsi="宋体"/>
              <w:sz w:val="52"/>
              <w:szCs w:val="52"/>
            </w:rPr>
            <w:t>目录</w:t>
          </w:r>
        </w:p>
        <w:p w:rsidR="00E403B8" w:rsidRDefault="00E403B8">
          <w:pPr>
            <w:pStyle w:val="10"/>
            <w:tabs>
              <w:tab w:val="clear" w:pos="8296"/>
              <w:tab w:val="right" w:leader="dot" w:pos="8730"/>
            </w:tabs>
          </w:pPr>
          <w:r w:rsidRPr="00E1625B">
            <w:rPr>
              <w:rFonts w:ascii="方正小标宋_GBK" w:eastAsia="方正小标宋_GBK" w:hAnsi="宋体" w:cs="宋体" w:hint="eastAsia"/>
              <w:sz w:val="44"/>
              <w:szCs w:val="44"/>
            </w:rPr>
            <w:fldChar w:fldCharType="begin"/>
          </w:r>
          <w:r>
            <w:rPr>
              <w:rFonts w:ascii="方正小标宋_GBK" w:eastAsia="方正小标宋_GBK" w:hAnsi="宋体" w:cs="宋体" w:hint="eastAsia"/>
              <w:sz w:val="44"/>
              <w:szCs w:val="44"/>
            </w:rPr>
            <w:instrText xml:space="preserve">TOC \o "1-3" \h \u </w:instrText>
          </w:r>
          <w:r w:rsidRPr="00E1625B">
            <w:rPr>
              <w:rFonts w:ascii="方正小标宋_GBK" w:eastAsia="方正小标宋_GBK" w:hAnsi="宋体" w:cs="宋体" w:hint="eastAsia"/>
              <w:sz w:val="44"/>
              <w:szCs w:val="44"/>
            </w:rPr>
            <w:fldChar w:fldCharType="separate"/>
          </w:r>
          <w:hyperlink w:anchor="_Toc1272" w:history="1">
            <w:r>
              <w:rPr>
                <w:rFonts w:ascii="黑体" w:eastAsia="黑体" w:hAnsi="黑体" w:cs="黑体" w:hint="eastAsia"/>
                <w:bCs/>
                <w:kern w:val="2"/>
                <w:szCs w:val="32"/>
              </w:rPr>
              <w:t>一、项目基本情况</w:t>
            </w:r>
            <w:r>
              <w:tab/>
            </w:r>
            <w:r>
              <w:fldChar w:fldCharType="begin"/>
            </w:r>
            <w:r>
              <w:instrText xml:space="preserve"> PAGEREF _Toc1272 \h </w:instrText>
            </w:r>
            <w:r>
              <w:fldChar w:fldCharType="separate"/>
            </w:r>
            <w:r>
              <w:rPr>
                <w:noProof/>
              </w:rPr>
              <w:t>1</w:t>
            </w:r>
            <w:r>
              <w:fldChar w:fldCharType="end"/>
            </w:r>
          </w:hyperlink>
        </w:p>
        <w:p w:rsidR="00E403B8" w:rsidRDefault="00E403B8" w:rsidP="00956D25">
          <w:pPr>
            <w:pStyle w:val="2"/>
            <w:tabs>
              <w:tab w:val="right" w:leader="dot" w:pos="8730"/>
            </w:tabs>
            <w:ind w:left="440"/>
          </w:pPr>
          <w:hyperlink w:anchor="_Toc25068" w:history="1">
            <w:r>
              <w:rPr>
                <w:rFonts w:ascii="楷体_GB2312" w:eastAsia="楷体_GB2312" w:hAnsi="楷体_GB2312" w:cs="楷体_GB2312" w:hint="eastAsia"/>
                <w:bCs/>
                <w:kern w:val="2"/>
                <w:szCs w:val="32"/>
              </w:rPr>
              <w:t>（一）项目概况</w:t>
            </w:r>
            <w:r>
              <w:tab/>
            </w:r>
            <w:r>
              <w:fldChar w:fldCharType="begin"/>
            </w:r>
            <w:r>
              <w:instrText xml:space="preserve"> PAGEREF _Toc25068 \h </w:instrText>
            </w:r>
            <w:r>
              <w:fldChar w:fldCharType="separate"/>
            </w:r>
            <w:r>
              <w:rPr>
                <w:noProof/>
              </w:rPr>
              <w:t>1</w:t>
            </w:r>
            <w:r>
              <w:fldChar w:fldCharType="end"/>
            </w:r>
          </w:hyperlink>
        </w:p>
        <w:p w:rsidR="00E403B8" w:rsidRDefault="00E403B8" w:rsidP="00956D25">
          <w:pPr>
            <w:pStyle w:val="2"/>
            <w:tabs>
              <w:tab w:val="right" w:leader="dot" w:pos="8730"/>
            </w:tabs>
            <w:ind w:left="440"/>
          </w:pPr>
          <w:hyperlink w:anchor="_Toc14248" w:history="1">
            <w:r>
              <w:rPr>
                <w:rFonts w:ascii="楷体_GB2312" w:eastAsia="楷体_GB2312" w:hAnsi="楷体_GB2312" w:cs="楷体_GB2312" w:hint="eastAsia"/>
                <w:bCs/>
                <w:kern w:val="2"/>
                <w:szCs w:val="32"/>
              </w:rPr>
              <w:t>（二）项目绩效目标</w:t>
            </w:r>
            <w:r>
              <w:tab/>
            </w:r>
            <w:r>
              <w:fldChar w:fldCharType="begin"/>
            </w:r>
            <w:r>
              <w:instrText xml:space="preserve"> PAGEREF _Toc14248 \h </w:instrText>
            </w:r>
            <w:r>
              <w:fldChar w:fldCharType="separate"/>
            </w:r>
            <w:r>
              <w:rPr>
                <w:noProof/>
              </w:rPr>
              <w:t>3</w:t>
            </w:r>
            <w:r>
              <w:fldChar w:fldCharType="end"/>
            </w:r>
          </w:hyperlink>
        </w:p>
        <w:p w:rsidR="00E403B8" w:rsidRDefault="00E403B8">
          <w:pPr>
            <w:pStyle w:val="10"/>
            <w:tabs>
              <w:tab w:val="clear" w:pos="8296"/>
              <w:tab w:val="right" w:leader="dot" w:pos="8730"/>
            </w:tabs>
          </w:pPr>
          <w:hyperlink w:anchor="_Toc5975" w:history="1">
            <w:r>
              <w:rPr>
                <w:rFonts w:ascii="黑体" w:eastAsia="黑体" w:hAnsi="黑体" w:cs="黑体" w:hint="eastAsia"/>
                <w:bCs/>
                <w:kern w:val="2"/>
                <w:szCs w:val="32"/>
              </w:rPr>
              <w:t>二、评价实施情况</w:t>
            </w:r>
            <w:r>
              <w:tab/>
            </w:r>
            <w:r>
              <w:fldChar w:fldCharType="begin"/>
            </w:r>
            <w:r>
              <w:instrText xml:space="preserve"> PAGEREF _Toc5975 \h </w:instrText>
            </w:r>
            <w:r>
              <w:fldChar w:fldCharType="separate"/>
            </w:r>
            <w:r>
              <w:rPr>
                <w:noProof/>
              </w:rPr>
              <w:t>3</w:t>
            </w:r>
            <w:r>
              <w:fldChar w:fldCharType="end"/>
            </w:r>
          </w:hyperlink>
        </w:p>
        <w:p w:rsidR="00E403B8" w:rsidRDefault="00E403B8" w:rsidP="00956D25">
          <w:pPr>
            <w:pStyle w:val="2"/>
            <w:tabs>
              <w:tab w:val="right" w:leader="dot" w:pos="8730"/>
            </w:tabs>
            <w:ind w:left="440"/>
          </w:pPr>
          <w:hyperlink w:anchor="_Toc8597" w:history="1">
            <w:r>
              <w:rPr>
                <w:rFonts w:ascii="楷体_GB2312" w:eastAsia="楷体_GB2312" w:hAnsi="楷体_GB2312" w:cs="楷体_GB2312" w:hint="eastAsia"/>
                <w:bCs/>
                <w:kern w:val="2"/>
                <w:szCs w:val="32"/>
              </w:rPr>
              <w:t>（一）绩效评价目的、对象和范围</w:t>
            </w:r>
            <w:r>
              <w:tab/>
            </w:r>
            <w:r>
              <w:fldChar w:fldCharType="begin"/>
            </w:r>
            <w:r>
              <w:instrText xml:space="preserve"> PAGEREF _Toc8597 \h </w:instrText>
            </w:r>
            <w:r>
              <w:fldChar w:fldCharType="separate"/>
            </w:r>
            <w:r>
              <w:rPr>
                <w:noProof/>
              </w:rPr>
              <w:t>4</w:t>
            </w:r>
            <w:r>
              <w:fldChar w:fldCharType="end"/>
            </w:r>
          </w:hyperlink>
        </w:p>
        <w:p w:rsidR="00E403B8" w:rsidRDefault="00E403B8" w:rsidP="00956D25">
          <w:pPr>
            <w:pStyle w:val="2"/>
            <w:tabs>
              <w:tab w:val="right" w:leader="dot" w:pos="8730"/>
            </w:tabs>
            <w:ind w:left="440"/>
          </w:pPr>
          <w:hyperlink w:anchor="_Toc25390" w:history="1">
            <w:r>
              <w:rPr>
                <w:rFonts w:ascii="楷体_GB2312" w:eastAsia="楷体_GB2312" w:hAnsi="楷体_GB2312" w:cs="楷体_GB2312" w:hint="eastAsia"/>
                <w:bCs/>
                <w:kern w:val="2"/>
                <w:szCs w:val="32"/>
              </w:rPr>
              <w:t>（二）评价依据、方法、标准、指标体系等</w:t>
            </w:r>
            <w:r>
              <w:tab/>
            </w:r>
            <w:r>
              <w:fldChar w:fldCharType="begin"/>
            </w:r>
            <w:r>
              <w:instrText xml:space="preserve"> PAGEREF _Toc25390 \h </w:instrText>
            </w:r>
            <w:r>
              <w:fldChar w:fldCharType="separate"/>
            </w:r>
            <w:r>
              <w:rPr>
                <w:noProof/>
              </w:rPr>
              <w:t>4</w:t>
            </w:r>
            <w:r>
              <w:fldChar w:fldCharType="end"/>
            </w:r>
          </w:hyperlink>
        </w:p>
        <w:p w:rsidR="00E403B8" w:rsidRDefault="00E403B8" w:rsidP="00956D25">
          <w:pPr>
            <w:pStyle w:val="2"/>
            <w:tabs>
              <w:tab w:val="right" w:leader="dot" w:pos="8730"/>
            </w:tabs>
            <w:ind w:left="440"/>
          </w:pPr>
          <w:hyperlink w:anchor="_Toc10455" w:history="1">
            <w:r>
              <w:rPr>
                <w:rFonts w:ascii="楷体_GB2312" w:eastAsia="楷体_GB2312" w:hAnsi="楷体_GB2312" w:cs="楷体_GB2312" w:hint="eastAsia"/>
                <w:bCs/>
                <w:kern w:val="2"/>
                <w:szCs w:val="32"/>
              </w:rPr>
              <w:t>（三）评价实施程序</w:t>
            </w:r>
            <w:r>
              <w:tab/>
            </w:r>
            <w:r>
              <w:fldChar w:fldCharType="begin"/>
            </w:r>
            <w:r>
              <w:instrText xml:space="preserve"> PAGEREF _Toc10455 \h </w:instrText>
            </w:r>
            <w:r>
              <w:fldChar w:fldCharType="separate"/>
            </w:r>
            <w:r>
              <w:rPr>
                <w:noProof/>
              </w:rPr>
              <w:t>5</w:t>
            </w:r>
            <w:r>
              <w:fldChar w:fldCharType="end"/>
            </w:r>
          </w:hyperlink>
        </w:p>
        <w:p w:rsidR="00E403B8" w:rsidRDefault="00E403B8">
          <w:pPr>
            <w:pStyle w:val="10"/>
            <w:tabs>
              <w:tab w:val="clear" w:pos="8296"/>
              <w:tab w:val="right" w:leader="dot" w:pos="8730"/>
            </w:tabs>
          </w:pPr>
          <w:hyperlink w:anchor="_Toc30256" w:history="1">
            <w:r>
              <w:rPr>
                <w:rFonts w:ascii="黑体" w:eastAsia="黑体" w:hAnsi="黑体" w:cs="黑体" w:hint="eastAsia"/>
                <w:bCs/>
                <w:kern w:val="2"/>
                <w:szCs w:val="32"/>
              </w:rPr>
              <w:t>三、指标分析与评价结论</w:t>
            </w:r>
            <w:r>
              <w:tab/>
            </w:r>
            <w:r>
              <w:fldChar w:fldCharType="begin"/>
            </w:r>
            <w:r>
              <w:instrText xml:space="preserve"> PAGEREF _Toc30256 \h </w:instrText>
            </w:r>
            <w:r>
              <w:fldChar w:fldCharType="separate"/>
            </w:r>
            <w:r>
              <w:rPr>
                <w:noProof/>
              </w:rPr>
              <w:t>5</w:t>
            </w:r>
            <w:r>
              <w:fldChar w:fldCharType="end"/>
            </w:r>
          </w:hyperlink>
        </w:p>
        <w:p w:rsidR="00E403B8" w:rsidRDefault="00E403B8" w:rsidP="00956D25">
          <w:pPr>
            <w:pStyle w:val="2"/>
            <w:tabs>
              <w:tab w:val="right" w:leader="dot" w:pos="8730"/>
            </w:tabs>
            <w:ind w:left="440"/>
          </w:pPr>
          <w:hyperlink w:anchor="_Toc14869" w:history="1">
            <w:r>
              <w:rPr>
                <w:rFonts w:ascii="楷体_GB2312" w:eastAsia="楷体_GB2312" w:hAnsi="楷体_GB2312" w:cs="楷体_GB2312" w:hint="eastAsia"/>
                <w:bCs/>
                <w:kern w:val="2"/>
                <w:szCs w:val="32"/>
              </w:rPr>
              <w:t>（一）绩效评价指标体系分析</w:t>
            </w:r>
            <w:r>
              <w:tab/>
            </w:r>
            <w:r>
              <w:fldChar w:fldCharType="begin"/>
            </w:r>
            <w:r>
              <w:instrText xml:space="preserve"> PAGEREF _Toc14869 \h </w:instrText>
            </w:r>
            <w:r>
              <w:fldChar w:fldCharType="separate"/>
            </w:r>
            <w:r>
              <w:rPr>
                <w:noProof/>
              </w:rPr>
              <w:t>5</w:t>
            </w:r>
            <w:r>
              <w:fldChar w:fldCharType="end"/>
            </w:r>
          </w:hyperlink>
        </w:p>
        <w:p w:rsidR="00E403B8" w:rsidRDefault="00E403B8" w:rsidP="00956D25">
          <w:pPr>
            <w:pStyle w:val="2"/>
            <w:tabs>
              <w:tab w:val="right" w:leader="dot" w:pos="8730"/>
            </w:tabs>
            <w:ind w:left="440"/>
          </w:pPr>
          <w:hyperlink w:anchor="_Toc5571" w:history="1">
            <w:r>
              <w:rPr>
                <w:rFonts w:ascii="楷体_GB2312" w:eastAsia="楷体_GB2312" w:hAnsi="楷体_GB2312" w:cs="楷体_GB2312" w:hint="eastAsia"/>
                <w:bCs/>
                <w:kern w:val="2"/>
                <w:szCs w:val="32"/>
              </w:rPr>
              <w:t>（二）评价结论</w:t>
            </w:r>
            <w:r>
              <w:tab/>
            </w:r>
            <w:r>
              <w:fldChar w:fldCharType="begin"/>
            </w:r>
            <w:r>
              <w:instrText xml:space="preserve"> PAGEREF _Toc5571 \h </w:instrText>
            </w:r>
            <w:r>
              <w:fldChar w:fldCharType="separate"/>
            </w:r>
            <w:r>
              <w:rPr>
                <w:noProof/>
              </w:rPr>
              <w:t>9</w:t>
            </w:r>
            <w:r>
              <w:fldChar w:fldCharType="end"/>
            </w:r>
          </w:hyperlink>
        </w:p>
        <w:p w:rsidR="00E403B8" w:rsidRDefault="00E403B8" w:rsidP="00956D25">
          <w:pPr>
            <w:pStyle w:val="2"/>
            <w:tabs>
              <w:tab w:val="right" w:leader="dot" w:pos="8730"/>
            </w:tabs>
            <w:ind w:left="440"/>
          </w:pPr>
          <w:hyperlink w:anchor="_Toc19220" w:history="1">
            <w:r>
              <w:rPr>
                <w:rFonts w:ascii="楷体_GB2312" w:eastAsia="楷体_GB2312" w:hAnsi="楷体_GB2312" w:cs="楷体_GB2312" w:hint="eastAsia"/>
                <w:bCs/>
                <w:kern w:val="2"/>
                <w:szCs w:val="32"/>
              </w:rPr>
              <w:t>（三）主要问题</w:t>
            </w:r>
            <w:r>
              <w:tab/>
            </w:r>
            <w:r>
              <w:fldChar w:fldCharType="begin"/>
            </w:r>
            <w:r>
              <w:instrText xml:space="preserve"> PAGEREF _Toc19220 \h </w:instrText>
            </w:r>
            <w:r>
              <w:fldChar w:fldCharType="separate"/>
            </w:r>
            <w:r>
              <w:rPr>
                <w:noProof/>
              </w:rPr>
              <w:t>11</w:t>
            </w:r>
            <w:r>
              <w:fldChar w:fldCharType="end"/>
            </w:r>
          </w:hyperlink>
        </w:p>
        <w:p w:rsidR="00E403B8" w:rsidRDefault="00E403B8">
          <w:pPr>
            <w:pStyle w:val="10"/>
            <w:tabs>
              <w:tab w:val="clear" w:pos="8296"/>
              <w:tab w:val="right" w:leader="dot" w:pos="8730"/>
            </w:tabs>
          </w:pPr>
          <w:hyperlink w:anchor="_Toc22213" w:history="1">
            <w:r>
              <w:rPr>
                <w:rFonts w:ascii="黑体" w:eastAsia="黑体" w:hAnsi="黑体" w:cs="黑体" w:hint="eastAsia"/>
                <w:bCs/>
                <w:kern w:val="2"/>
                <w:szCs w:val="32"/>
              </w:rPr>
              <w:t>四、评价单位盖章</w:t>
            </w:r>
            <w:r>
              <w:tab/>
            </w:r>
            <w:r>
              <w:fldChar w:fldCharType="begin"/>
            </w:r>
            <w:r>
              <w:instrText xml:space="preserve"> PAGEREF _Toc22213 \h </w:instrText>
            </w:r>
            <w:r>
              <w:fldChar w:fldCharType="separate"/>
            </w:r>
            <w:r>
              <w:rPr>
                <w:rFonts w:hint="eastAsia"/>
                <w:b w:val="0"/>
                <w:bCs/>
                <w:noProof/>
              </w:rPr>
              <w:t>11</w:t>
            </w:r>
            <w:r>
              <w:fldChar w:fldCharType="end"/>
            </w:r>
          </w:hyperlink>
        </w:p>
        <w:p w:rsidR="008E521E" w:rsidRDefault="00E403B8">
          <w:pPr>
            <w:spacing w:after="0" w:line="560" w:lineRule="exact"/>
            <w:jc w:val="center"/>
            <w:rPr>
              <w:rFonts w:ascii="方正小标宋_GBK" w:eastAsia="方正小标宋_GBK" w:hAnsi="宋体" w:cs="宋体"/>
              <w:sz w:val="44"/>
              <w:szCs w:val="44"/>
            </w:rPr>
            <w:sectPr w:rsidR="008E521E">
              <w:footerReference w:type="default" r:id="rId8"/>
              <w:pgSz w:w="11906" w:h="16838"/>
              <w:pgMar w:top="2098" w:right="1588" w:bottom="2098" w:left="1588" w:header="851" w:footer="992" w:gutter="0"/>
              <w:pgNumType w:start="1"/>
              <w:cols w:space="720"/>
              <w:docGrid w:type="lines" w:linePitch="324"/>
            </w:sectPr>
          </w:pPr>
          <w:r>
            <w:rPr>
              <w:rFonts w:ascii="方正小标宋_GBK" w:eastAsia="方正小标宋_GBK" w:hAnsi="宋体" w:cs="宋体" w:hint="eastAsia"/>
              <w:szCs w:val="44"/>
            </w:rPr>
            <w:fldChar w:fldCharType="end"/>
          </w:r>
        </w:p>
      </w:sdtContent>
    </w:sdt>
    <w:p w:rsidR="008E521E" w:rsidRDefault="008E521E" w:rsidP="00956D25">
      <w:pPr>
        <w:pStyle w:val="a6"/>
        <w:spacing w:line="560" w:lineRule="exact"/>
        <w:ind w:firstLine="883"/>
        <w:jc w:val="center"/>
        <w:rPr>
          <w:rFonts w:ascii="宋体" w:hAnsi="Roman"/>
          <w:b/>
          <w:bCs/>
          <w:sz w:val="44"/>
          <w:szCs w:val="44"/>
        </w:rPr>
      </w:pPr>
    </w:p>
    <w:p w:rsidR="008E521E" w:rsidRDefault="00021C8E" w:rsidP="00956D25">
      <w:pPr>
        <w:pStyle w:val="a6"/>
        <w:spacing w:line="560" w:lineRule="exact"/>
        <w:ind w:firstLine="883"/>
        <w:jc w:val="center"/>
        <w:rPr>
          <w:rFonts w:ascii="宋体" w:hAnsi="Roman"/>
          <w:b/>
          <w:bCs/>
          <w:sz w:val="44"/>
          <w:szCs w:val="44"/>
        </w:rPr>
      </w:pPr>
      <w:r>
        <w:rPr>
          <w:rFonts w:ascii="宋体" w:hAnsi="Roman" w:hint="eastAsia"/>
          <w:b/>
          <w:bCs/>
          <w:sz w:val="44"/>
          <w:szCs w:val="44"/>
        </w:rPr>
        <w:t>青岛市国资大数据在线监管系统（一期）</w:t>
      </w:r>
    </w:p>
    <w:p w:rsidR="008E521E" w:rsidRDefault="00021C8E" w:rsidP="00956D25">
      <w:pPr>
        <w:pStyle w:val="a6"/>
        <w:spacing w:line="560" w:lineRule="exact"/>
        <w:ind w:firstLine="883"/>
        <w:jc w:val="center"/>
        <w:rPr>
          <w:rFonts w:ascii="宋体" w:hAnsi="Roman"/>
          <w:b/>
          <w:bCs/>
          <w:sz w:val="44"/>
          <w:szCs w:val="44"/>
        </w:rPr>
      </w:pPr>
      <w:r>
        <w:rPr>
          <w:rFonts w:ascii="宋体" w:hAnsi="Roman" w:hint="eastAsia"/>
          <w:b/>
          <w:bCs/>
          <w:sz w:val="44"/>
          <w:szCs w:val="44"/>
        </w:rPr>
        <w:t>绩效评价报告</w:t>
      </w:r>
      <w:bookmarkStart w:id="0" w:name="_Toc500860830"/>
      <w:bookmarkStart w:id="1" w:name="_Toc17548"/>
      <w:bookmarkStart w:id="2" w:name="_Toc401761504"/>
      <w:bookmarkStart w:id="3" w:name="_Toc23928"/>
      <w:bookmarkStart w:id="4" w:name="_Toc14199"/>
      <w:bookmarkStart w:id="5" w:name="_Toc14658"/>
    </w:p>
    <w:p w:rsidR="008E521E" w:rsidRDefault="008E521E">
      <w:pPr>
        <w:spacing w:before="120" w:line="560" w:lineRule="exact"/>
        <w:jc w:val="center"/>
        <w:rPr>
          <w:rFonts w:ascii="隶书" w:eastAsia="隶书" w:hAnsi="仿宋"/>
          <w:b/>
          <w:kern w:val="2"/>
          <w:sz w:val="44"/>
          <w:szCs w:val="44"/>
        </w:rPr>
      </w:pPr>
    </w:p>
    <w:p w:rsidR="008E521E" w:rsidRDefault="00021C8E">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6" w:name="_Toc1272"/>
      <w:r>
        <w:rPr>
          <w:rFonts w:ascii="黑体" w:eastAsia="黑体" w:hAnsi="黑体" w:cs="黑体" w:hint="eastAsia"/>
          <w:bCs/>
          <w:color w:val="000000"/>
          <w:kern w:val="2"/>
          <w:sz w:val="32"/>
          <w:szCs w:val="32"/>
        </w:rPr>
        <w:t>一、项目基本情况</w:t>
      </w:r>
      <w:bookmarkEnd w:id="0"/>
      <w:bookmarkEnd w:id="1"/>
      <w:bookmarkEnd w:id="2"/>
      <w:bookmarkEnd w:id="3"/>
      <w:bookmarkEnd w:id="4"/>
      <w:bookmarkEnd w:id="5"/>
      <w:bookmarkEnd w:id="6"/>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sz w:val="28"/>
          <w:szCs w:val="24"/>
        </w:rPr>
      </w:pPr>
      <w:bookmarkStart w:id="7" w:name="_Toc11080"/>
      <w:bookmarkStart w:id="8" w:name="_Toc500860831"/>
      <w:bookmarkStart w:id="9" w:name="_Toc24801"/>
      <w:bookmarkStart w:id="10" w:name="_Toc401761505"/>
      <w:bookmarkStart w:id="11" w:name="_Toc30386"/>
      <w:bookmarkStart w:id="12" w:name="_Toc13153"/>
      <w:bookmarkStart w:id="13" w:name="_Toc25068"/>
      <w:r>
        <w:rPr>
          <w:rFonts w:ascii="楷体_GB2312" w:eastAsia="楷体_GB2312" w:hAnsi="楷体_GB2312" w:cs="楷体_GB2312" w:hint="eastAsia"/>
          <w:bCs/>
          <w:color w:val="000000"/>
          <w:kern w:val="2"/>
          <w:sz w:val="32"/>
          <w:szCs w:val="32"/>
        </w:rPr>
        <w:t>（一）项目</w:t>
      </w:r>
      <w:bookmarkEnd w:id="7"/>
      <w:bookmarkEnd w:id="8"/>
      <w:bookmarkEnd w:id="9"/>
      <w:bookmarkEnd w:id="10"/>
      <w:bookmarkEnd w:id="11"/>
      <w:bookmarkEnd w:id="12"/>
      <w:r>
        <w:rPr>
          <w:rFonts w:ascii="楷体_GB2312" w:eastAsia="楷体_GB2312" w:hAnsi="楷体_GB2312" w:cs="楷体_GB2312" w:hint="eastAsia"/>
          <w:bCs/>
          <w:color w:val="000000"/>
          <w:kern w:val="2"/>
          <w:sz w:val="32"/>
          <w:szCs w:val="32"/>
        </w:rPr>
        <w:t>概况</w:t>
      </w:r>
      <w:bookmarkEnd w:id="13"/>
    </w:p>
    <w:p w:rsidR="008E521E" w:rsidRDefault="00021C8E">
      <w:pPr>
        <w:widowControl w:val="0"/>
        <w:spacing w:after="0" w:line="560" w:lineRule="exact"/>
        <w:ind w:firstLineChars="200" w:firstLine="640"/>
        <w:jc w:val="both"/>
        <w:rPr>
          <w:rFonts w:ascii="仿宋_GB2312"/>
          <w:kern w:val="2"/>
          <w:sz w:val="32"/>
          <w:szCs w:val="32"/>
        </w:rPr>
      </w:pPr>
      <w:bookmarkStart w:id="14" w:name="_Toc12359"/>
      <w:bookmarkStart w:id="15" w:name="_Toc500860832"/>
      <w:r>
        <w:rPr>
          <w:rFonts w:ascii="仿宋_GB2312" w:hint="eastAsia"/>
          <w:kern w:val="2"/>
          <w:sz w:val="32"/>
          <w:szCs w:val="32"/>
        </w:rPr>
        <w:t>2020年年初，市国资委根据《推进国有企业改革攻势作战方案》（青厅字〔2019〕80号）上级工作部署，统筹推进青岛市国资大数据在线监管系统建设，青岛市第十六届人民政府第83次常务会作出原则同意《关于青岛市国资大数据在线监管软件系统建设有关情况的汇报》的意见。</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青岛市第十六届人民政府第83次常务会原则同意《关于青岛市国资大数据在线监管软件系统建设有关情况的汇报》批复，青岛市国资委在无法预知有无费用的情况下委托山东亚微软件股份有限公司编制了项目可行性研究报告（代项目建议书），后经青岛市国资委2020年第6次主任办公会议纪要确认在市发展改革委核准的工程设计费22.2万的价格范围内与山东亚微软件股份有限公司签订技术服务合同并出具初步设计及概算，通过《关于批复青岛市国资大数据在线监管系统一期工程可行性研究报告（代项目建议书）的函》（青发改投资审〔2020〕17号）和《关于批复青岛市国资大数据在线监管系统一期工程初步设计及概算的函》（青发改投资审〔2020〕60号）获得青</w:t>
      </w:r>
      <w:r>
        <w:rPr>
          <w:rFonts w:ascii="仿宋_GB2312" w:hint="eastAsia"/>
          <w:kern w:val="2"/>
          <w:sz w:val="32"/>
          <w:szCs w:val="32"/>
        </w:rPr>
        <w:lastRenderedPageBreak/>
        <w:t>岛市发展和改革委员会的立项批复，概算总投资批复830.1万元，其中：1.工程费744.4万元；2.工程建设其他费61.5万元；3.预备费24.2万元。资金来源为国有资本经营收益预算资金。</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经过竞争性磋商于2020年7月15日确定监理中标机构为青岛赛迪国软信息系统咨询有限公司，中标价格为11.01万元；评测机构为工业和信息化部计算机与微电子发展研究中心（中国软件评测中心），中标价格为19.97万元；等保测评机构为山东维平信息安全测评技术有限公司，中标价格为8万元；经过公开招标于2020年7月20日确定中标单位为浪潮通用软件有限公司，中标价格为739万元。</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中标单位在中标后先后于7月下旬签订合同并开始执行合同条款，并于2020年12月18日通过专家验收。</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工程截止绩效评价日资金投入和使用情况如下表：</w:t>
      </w:r>
    </w:p>
    <w:p w:rsidR="008E521E" w:rsidRDefault="008E521E">
      <w:pPr>
        <w:pStyle w:val="a6"/>
        <w:spacing w:line="560" w:lineRule="exact"/>
        <w:ind w:firstLine="640"/>
        <w:rPr>
          <w:rFonts w:ascii="宋体" w:hAnsi="Roman"/>
          <w:sz w:val="32"/>
          <w:szCs w:val="32"/>
        </w:rPr>
      </w:pPr>
    </w:p>
    <w:tbl>
      <w:tblPr>
        <w:tblW w:w="9165" w:type="dxa"/>
        <w:tblInd w:w="96" w:type="dxa"/>
        <w:tblLayout w:type="fixed"/>
        <w:tblLook w:val="04A0"/>
      </w:tblPr>
      <w:tblGrid>
        <w:gridCol w:w="496"/>
        <w:gridCol w:w="1613"/>
        <w:gridCol w:w="1464"/>
        <w:gridCol w:w="1356"/>
        <w:gridCol w:w="1380"/>
        <w:gridCol w:w="1440"/>
        <w:gridCol w:w="1416"/>
      </w:tblGrid>
      <w:tr w:rsidR="008E521E">
        <w:trPr>
          <w:trHeight w:val="459"/>
        </w:trPr>
        <w:tc>
          <w:tcPr>
            <w:tcW w:w="7749" w:type="dxa"/>
            <w:gridSpan w:val="6"/>
            <w:tcBorders>
              <w:top w:val="nil"/>
              <w:left w:val="nil"/>
              <w:bottom w:val="nil"/>
              <w:right w:val="nil"/>
            </w:tcBorders>
            <w:shd w:val="clear" w:color="auto" w:fill="auto"/>
            <w:noWrap/>
            <w:vAlign w:val="center"/>
          </w:tcPr>
          <w:p w:rsidR="008E521E" w:rsidRDefault="00021C8E">
            <w:pPr>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sz w:val="36"/>
                <w:szCs w:val="36"/>
              </w:rPr>
              <w:t>青岛市国资大数据在线监管系统支出明细表</w:t>
            </w:r>
          </w:p>
        </w:tc>
        <w:tc>
          <w:tcPr>
            <w:tcW w:w="1416" w:type="dxa"/>
            <w:tcBorders>
              <w:top w:val="nil"/>
              <w:left w:val="nil"/>
              <w:bottom w:val="nil"/>
              <w:right w:val="nil"/>
            </w:tcBorders>
            <w:shd w:val="clear" w:color="auto" w:fill="auto"/>
            <w:noWrap/>
            <w:vAlign w:val="center"/>
          </w:tcPr>
          <w:p w:rsidR="008E521E" w:rsidRDefault="00021C8E">
            <w:pPr>
              <w:textAlignment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color w:val="000000"/>
                <w:sz w:val="24"/>
                <w:szCs w:val="24"/>
              </w:rPr>
              <w:t>单位：万元</w:t>
            </w:r>
          </w:p>
        </w:tc>
      </w:tr>
      <w:tr w:rsidR="008E521E">
        <w:trPr>
          <w:trHeight w:val="980"/>
        </w:trPr>
        <w:tc>
          <w:tcPr>
            <w:tcW w:w="496" w:type="dxa"/>
            <w:tcBorders>
              <w:top w:val="single" w:sz="8" w:space="0" w:color="000000"/>
              <w:left w:val="single" w:sz="8"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序号</w:t>
            </w:r>
          </w:p>
        </w:tc>
        <w:tc>
          <w:tcPr>
            <w:tcW w:w="1613" w:type="dxa"/>
            <w:tcBorders>
              <w:top w:val="single" w:sz="8"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项目名称</w:t>
            </w:r>
          </w:p>
        </w:tc>
        <w:tc>
          <w:tcPr>
            <w:tcW w:w="1464" w:type="dxa"/>
            <w:tcBorders>
              <w:top w:val="single" w:sz="8"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批复概算</w:t>
            </w:r>
          </w:p>
        </w:tc>
        <w:tc>
          <w:tcPr>
            <w:tcW w:w="1356" w:type="dxa"/>
            <w:tcBorders>
              <w:top w:val="single" w:sz="8"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执行金额</w:t>
            </w:r>
          </w:p>
        </w:tc>
        <w:tc>
          <w:tcPr>
            <w:tcW w:w="13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结余金额</w:t>
            </w:r>
          </w:p>
        </w:tc>
        <w:tc>
          <w:tcPr>
            <w:tcW w:w="1440" w:type="dxa"/>
            <w:tcBorders>
              <w:top w:val="single" w:sz="8"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已付金额</w:t>
            </w:r>
          </w:p>
        </w:tc>
        <w:tc>
          <w:tcPr>
            <w:tcW w:w="1416" w:type="dxa"/>
            <w:tcBorders>
              <w:top w:val="single" w:sz="8" w:space="0" w:color="000000"/>
              <w:left w:val="single" w:sz="4" w:space="0" w:color="000000"/>
              <w:bottom w:val="single" w:sz="4" w:space="0" w:color="000000"/>
              <w:right w:val="single" w:sz="8" w:space="0" w:color="000000"/>
            </w:tcBorders>
            <w:shd w:val="clear" w:color="auto" w:fill="auto"/>
            <w:vAlign w:val="center"/>
          </w:tcPr>
          <w:p w:rsidR="008E521E" w:rsidRDefault="00021C8E">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应付账款</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工程费</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744.400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739.000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5.400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665.100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73.900 </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工程设计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22.300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22.000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0.300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22.000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0.000 </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工程监理</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11.200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11.010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0.190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9.909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1.101 </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lastRenderedPageBreak/>
              <w:t>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信息安全风险评估</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20.000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19.970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0.030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15.976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3.994 </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等保测评</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8.000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8.000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0.000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6.400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1.600 </w:t>
            </w:r>
          </w:p>
        </w:tc>
      </w:tr>
      <w:tr w:rsidR="008E521E">
        <w:trPr>
          <w:trHeight w:val="680"/>
        </w:trPr>
        <w:tc>
          <w:tcPr>
            <w:tcW w:w="49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6</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宋体" w:cs="仿宋_GB2312"/>
                <w:color w:val="000000"/>
                <w:sz w:val="28"/>
                <w:szCs w:val="28"/>
              </w:rPr>
            </w:pPr>
            <w:r>
              <w:rPr>
                <w:rFonts w:ascii="仿宋_GB2312" w:hAnsi="宋体" w:cs="仿宋_GB2312"/>
                <w:color w:val="000000"/>
                <w:sz w:val="28"/>
                <w:szCs w:val="28"/>
              </w:rPr>
              <w:t>预备费</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24.200 </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24.200 </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0.000 </w:t>
            </w:r>
          </w:p>
        </w:tc>
        <w:tc>
          <w:tcPr>
            <w:tcW w:w="141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color w:val="000000"/>
                <w:sz w:val="28"/>
                <w:szCs w:val="28"/>
              </w:rPr>
            </w:pPr>
            <w:r>
              <w:rPr>
                <w:rFonts w:ascii="仿宋_GB2312" w:hAnsi="宋体" w:cs="仿宋_GB2312"/>
                <w:color w:val="000000"/>
                <w:sz w:val="28"/>
                <w:szCs w:val="28"/>
              </w:rPr>
              <w:t xml:space="preserve">0.000 </w:t>
            </w:r>
          </w:p>
        </w:tc>
      </w:tr>
      <w:tr w:rsidR="008E521E">
        <w:trPr>
          <w:trHeight w:val="680"/>
        </w:trPr>
        <w:tc>
          <w:tcPr>
            <w:tcW w:w="2109" w:type="dxa"/>
            <w:gridSpan w:val="2"/>
            <w:tcBorders>
              <w:top w:val="single" w:sz="4" w:space="0" w:color="000000"/>
              <w:left w:val="single" w:sz="8" w:space="0" w:color="000000"/>
              <w:bottom w:val="single" w:sz="8" w:space="0" w:color="000000"/>
              <w:right w:val="single" w:sz="4" w:space="0" w:color="000000"/>
            </w:tcBorders>
            <w:shd w:val="clear" w:color="auto" w:fill="auto"/>
            <w:noWrap/>
            <w:vAlign w:val="center"/>
          </w:tcPr>
          <w:p w:rsidR="008E521E" w:rsidRDefault="00021C8E">
            <w:pPr>
              <w:jc w:val="center"/>
              <w:textAlignment w:val="center"/>
              <w:rPr>
                <w:rFonts w:ascii="仿宋_GB2312" w:hAnsi="宋体" w:cs="仿宋_GB2312"/>
                <w:b/>
                <w:bCs/>
                <w:color w:val="000000"/>
                <w:sz w:val="28"/>
                <w:szCs w:val="28"/>
              </w:rPr>
            </w:pPr>
            <w:r>
              <w:rPr>
                <w:rFonts w:ascii="仿宋_GB2312" w:hAnsi="宋体" w:cs="仿宋_GB2312"/>
                <w:b/>
                <w:bCs/>
                <w:color w:val="000000"/>
                <w:sz w:val="28"/>
                <w:szCs w:val="28"/>
              </w:rPr>
              <w:t>合计</w:t>
            </w:r>
          </w:p>
        </w:tc>
        <w:tc>
          <w:tcPr>
            <w:tcW w:w="146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b/>
                <w:bCs/>
                <w:color w:val="000000"/>
                <w:sz w:val="28"/>
                <w:szCs w:val="28"/>
              </w:rPr>
            </w:pPr>
            <w:r>
              <w:rPr>
                <w:rFonts w:ascii="仿宋_GB2312" w:hAnsi="宋体" w:cs="仿宋_GB2312"/>
                <w:b/>
                <w:bCs/>
                <w:color w:val="000000"/>
                <w:sz w:val="28"/>
                <w:szCs w:val="28"/>
              </w:rPr>
              <w:t xml:space="preserve">830.100 </w:t>
            </w:r>
          </w:p>
        </w:tc>
        <w:tc>
          <w:tcPr>
            <w:tcW w:w="1356"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b/>
                <w:bCs/>
                <w:color w:val="000000"/>
                <w:sz w:val="28"/>
                <w:szCs w:val="28"/>
              </w:rPr>
            </w:pPr>
            <w:r>
              <w:rPr>
                <w:rFonts w:ascii="仿宋_GB2312" w:hAnsi="宋体" w:cs="仿宋_GB2312"/>
                <w:b/>
                <w:bCs/>
                <w:color w:val="000000"/>
                <w:sz w:val="28"/>
                <w:szCs w:val="28"/>
              </w:rPr>
              <w:t xml:space="preserve">799.980 </w:t>
            </w:r>
          </w:p>
        </w:tc>
        <w:tc>
          <w:tcPr>
            <w:tcW w:w="138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b/>
                <w:bCs/>
                <w:color w:val="000000"/>
                <w:sz w:val="28"/>
                <w:szCs w:val="28"/>
              </w:rPr>
            </w:pPr>
            <w:r>
              <w:rPr>
                <w:rFonts w:ascii="仿宋_GB2312" w:hAnsi="宋体" w:cs="仿宋_GB2312"/>
                <w:b/>
                <w:bCs/>
                <w:color w:val="000000"/>
                <w:sz w:val="28"/>
                <w:szCs w:val="28"/>
              </w:rPr>
              <w:t xml:space="preserve">30.120 </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8E521E" w:rsidRDefault="00021C8E">
            <w:pPr>
              <w:jc w:val="right"/>
              <w:textAlignment w:val="center"/>
              <w:rPr>
                <w:rFonts w:ascii="仿宋_GB2312" w:hAnsi="宋体" w:cs="仿宋_GB2312"/>
                <w:b/>
                <w:bCs/>
                <w:color w:val="000000"/>
                <w:sz w:val="28"/>
                <w:szCs w:val="28"/>
              </w:rPr>
            </w:pPr>
            <w:r>
              <w:rPr>
                <w:rFonts w:ascii="仿宋_GB2312" w:hAnsi="宋体" w:cs="仿宋_GB2312"/>
                <w:b/>
                <w:bCs/>
                <w:color w:val="000000"/>
                <w:sz w:val="28"/>
                <w:szCs w:val="28"/>
              </w:rPr>
              <w:t xml:space="preserve">719.385 </w:t>
            </w:r>
          </w:p>
        </w:tc>
        <w:tc>
          <w:tcPr>
            <w:tcW w:w="1416" w:type="dxa"/>
            <w:tcBorders>
              <w:top w:val="single" w:sz="4" w:space="0" w:color="000000"/>
              <w:left w:val="single" w:sz="4" w:space="0" w:color="000000"/>
              <w:bottom w:val="single" w:sz="8" w:space="0" w:color="000000"/>
              <w:right w:val="single" w:sz="8" w:space="0" w:color="000000"/>
            </w:tcBorders>
            <w:shd w:val="clear" w:color="auto" w:fill="auto"/>
            <w:noWrap/>
            <w:vAlign w:val="center"/>
          </w:tcPr>
          <w:p w:rsidR="008E521E" w:rsidRDefault="00021C8E">
            <w:pPr>
              <w:jc w:val="right"/>
              <w:textAlignment w:val="center"/>
              <w:rPr>
                <w:rFonts w:ascii="仿宋_GB2312" w:hAnsi="宋体" w:cs="仿宋_GB2312"/>
                <w:b/>
                <w:bCs/>
                <w:color w:val="000000"/>
                <w:sz w:val="28"/>
                <w:szCs w:val="28"/>
              </w:rPr>
            </w:pPr>
            <w:r>
              <w:rPr>
                <w:rFonts w:ascii="仿宋_GB2312" w:hAnsi="宋体" w:cs="仿宋_GB2312"/>
                <w:b/>
                <w:bCs/>
                <w:color w:val="000000"/>
                <w:sz w:val="28"/>
                <w:szCs w:val="28"/>
              </w:rPr>
              <w:t xml:space="preserve">80.595 </w:t>
            </w:r>
          </w:p>
        </w:tc>
      </w:tr>
    </w:tbl>
    <w:p w:rsidR="008E521E" w:rsidRDefault="008E521E">
      <w:pPr>
        <w:pStyle w:val="a6"/>
        <w:spacing w:line="560" w:lineRule="exact"/>
        <w:ind w:firstLine="640"/>
        <w:rPr>
          <w:rFonts w:ascii="宋体" w:hAnsi="Roman"/>
          <w:sz w:val="32"/>
          <w:szCs w:val="32"/>
        </w:rPr>
      </w:pPr>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16" w:name="_Toc14248"/>
      <w:r>
        <w:rPr>
          <w:rFonts w:ascii="楷体_GB2312" w:eastAsia="楷体_GB2312" w:hAnsi="楷体_GB2312" w:cs="楷体_GB2312" w:hint="eastAsia"/>
          <w:bCs/>
          <w:color w:val="000000"/>
          <w:kern w:val="2"/>
          <w:sz w:val="32"/>
          <w:szCs w:val="32"/>
        </w:rPr>
        <w:t>（二）项目</w:t>
      </w:r>
      <w:bookmarkEnd w:id="14"/>
      <w:bookmarkEnd w:id="15"/>
      <w:r>
        <w:rPr>
          <w:rFonts w:ascii="楷体_GB2312" w:eastAsia="楷体_GB2312" w:hAnsi="楷体_GB2312" w:cs="楷体_GB2312" w:hint="eastAsia"/>
          <w:bCs/>
          <w:color w:val="000000"/>
          <w:kern w:val="2"/>
          <w:sz w:val="32"/>
          <w:szCs w:val="32"/>
        </w:rPr>
        <w:t>绩效目标</w:t>
      </w:r>
      <w:bookmarkEnd w:id="16"/>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通过建设青岛市国资大数据在线监管系统，实现青岛市国资大数据在线监管系统与国务院国资委、山东省国资委、各市属企业和区（市）国资监管机构的互联互通，做好市属企业运行情况的数据自动采集、综合分析展示、在线动态监测和风险智能预警，推动国资监管实现制度完备、标准统一、管理规范、实时在线、精准有力，以信息化助力国资监管方式转变和履职能力提升，为青岛市国资监管工作提供强有力支撑。</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国资大数据在线监管系统的建立，将产生明显的社会效益，具体分析如下：有利于减少风险的发生，体现对国有资产安全的监管；有利于增强领导决策的科学性，进一步提高国资监管工作的针对性，及时解决出现的新问题及新矛盾；全过程信息化管理有利于提高部门的工作效益，规范管理，明确目标。</w:t>
      </w:r>
    </w:p>
    <w:p w:rsidR="008E521E" w:rsidRDefault="00021C8E">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17" w:name="_Toc401761508"/>
      <w:bookmarkStart w:id="18" w:name="_Toc359824083"/>
      <w:bookmarkStart w:id="19" w:name="_Toc3604"/>
      <w:bookmarkStart w:id="20" w:name="_Toc5569"/>
      <w:bookmarkStart w:id="21" w:name="_Toc59"/>
      <w:bookmarkStart w:id="22" w:name="_Toc500860837"/>
      <w:bookmarkStart w:id="23" w:name="_Toc5975"/>
      <w:r>
        <w:rPr>
          <w:rFonts w:ascii="黑体" w:eastAsia="黑体" w:hAnsi="黑体" w:cs="黑体" w:hint="eastAsia"/>
          <w:bCs/>
          <w:color w:val="000000"/>
          <w:kern w:val="2"/>
          <w:sz w:val="32"/>
          <w:szCs w:val="32"/>
        </w:rPr>
        <w:t>二、评价实施情况</w:t>
      </w:r>
      <w:bookmarkEnd w:id="17"/>
      <w:bookmarkEnd w:id="18"/>
      <w:bookmarkEnd w:id="19"/>
      <w:bookmarkEnd w:id="20"/>
      <w:bookmarkEnd w:id="21"/>
      <w:bookmarkEnd w:id="22"/>
      <w:bookmarkEnd w:id="23"/>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4" w:name="_Toc8597"/>
      <w:r>
        <w:rPr>
          <w:rFonts w:ascii="楷体_GB2312" w:eastAsia="楷体_GB2312" w:hAnsi="楷体_GB2312" w:cs="楷体_GB2312" w:hint="eastAsia"/>
          <w:bCs/>
          <w:color w:val="000000"/>
          <w:kern w:val="2"/>
          <w:sz w:val="32"/>
          <w:szCs w:val="32"/>
        </w:rPr>
        <w:lastRenderedPageBreak/>
        <w:t>（一）绩效评价目的、对象和范围</w:t>
      </w:r>
      <w:bookmarkEnd w:id="24"/>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本次绩效评价的目的主要是为加强财政支出管理，强化支出责任，提高财政资金使用效益。</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本次绩效评价的对象为经青发改投资审〔2020〕60号文件批复的青岛市国资大数据在线监管系统一期工程项目。</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本次绩效评价的范围是评价对象专项资金项目的绩效情况，概算总投资批复830.1万元，其中：1.工程费744.4万元；2.工程建设其他费61.5万元；3.预备费24.2万元。</w:t>
      </w:r>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5" w:name="_Toc29297"/>
      <w:bookmarkStart w:id="26" w:name="_Toc25390"/>
      <w:r>
        <w:rPr>
          <w:rFonts w:ascii="楷体_GB2312" w:eastAsia="楷体_GB2312" w:hAnsi="楷体_GB2312" w:cs="楷体_GB2312" w:hint="eastAsia"/>
          <w:bCs/>
          <w:color w:val="000000"/>
          <w:kern w:val="2"/>
          <w:sz w:val="32"/>
          <w:szCs w:val="32"/>
        </w:rPr>
        <w:t>（二）</w:t>
      </w:r>
      <w:bookmarkEnd w:id="25"/>
      <w:r>
        <w:rPr>
          <w:rFonts w:ascii="楷体_GB2312" w:eastAsia="楷体_GB2312" w:hAnsi="楷体_GB2312" w:cs="楷体_GB2312" w:hint="eastAsia"/>
          <w:bCs/>
          <w:color w:val="000000"/>
          <w:kern w:val="2"/>
          <w:sz w:val="32"/>
          <w:szCs w:val="32"/>
        </w:rPr>
        <w:t>评价依据、方法、标准、指标体系等</w:t>
      </w:r>
      <w:bookmarkEnd w:id="26"/>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财政部《项目支出绩效评价管理办法》（财预〔2020〕10号）、青岛市财政局《关于印发&lt;市级财政绩效评价操作指南&gt;的通知》（青财绩〔2020〕6号）等文件，设计了一级指标、二级指标和三级指标及其权重，按照绩效评价的基本原理、原则和项目特点，结合绩效目标，对效益指标相应设计了四级指标及其权重。</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此次绩效评价的指标体系，分为决策、过程、产出、效益四类一级指标。其中，决策类、过程类指标按照一般绩效评价指标体系中的共性指标进行设置；产出类指标结合项目特点从项目实际完成情况、完成及时情况、质量达标情况进行考察；效益类则从项目效益、可持续影响和社会公众或服务对象满意度方面进行考察。</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评价结果包括综合评分和评级，一般分为四个级别：大于</w:t>
      </w:r>
      <w:r>
        <w:rPr>
          <w:rFonts w:ascii="仿宋_GB2312" w:hint="eastAsia"/>
          <w:kern w:val="2"/>
          <w:sz w:val="32"/>
          <w:szCs w:val="32"/>
        </w:rPr>
        <w:lastRenderedPageBreak/>
        <w:t>或等于90分为优（成效显著），80分（含）-90分为良（成效明显），65（含）-80分为中（成效一般），小于65分为差（成效较差）。</w:t>
      </w:r>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7" w:name="_Toc10455"/>
      <w:r>
        <w:rPr>
          <w:rFonts w:ascii="楷体_GB2312" w:eastAsia="楷体_GB2312" w:hAnsi="楷体_GB2312" w:cs="楷体_GB2312" w:hint="eastAsia"/>
          <w:bCs/>
          <w:color w:val="000000"/>
          <w:kern w:val="2"/>
          <w:sz w:val="32"/>
          <w:szCs w:val="32"/>
        </w:rPr>
        <w:t>（三）评价实施程序</w:t>
      </w:r>
      <w:bookmarkEnd w:id="27"/>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本项目采取现场取证的方式收集资料。通过听取项目情况介绍、质询、查阅现场及相关资料等方法了解项目总体执行情况和经费使用情况、政策制定及执行情况。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1、审阅资料：查阅账簿和记账凭证等财务资料，核实项目资金的拨付和使用情况；查阅项目管理流程中涉及的所有的制度、合同和管理办法，根据既定的评价体系指标，一方面落实其实际执行情况，另一方面判断管理办法和制度的合理性。</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2、现场查勘：核实其实际完成工作数量和质量，验证其日常管理的真实性和实际效果。</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3、听取专家意见：根据项目涉及的专业领域，组织相关专家研讨会，综合听取专家意见，由专家对部分绩效指标直接打分。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4、满意度调查：根据资金性质和受益群体进行满意度调查。通过寻访、电话调查收集项目实施效益的满意度，从侧面反映项目的社会效益、可持续影响以及满意度情况。</w:t>
      </w:r>
    </w:p>
    <w:p w:rsidR="008E521E" w:rsidRDefault="00021C8E">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28" w:name="_Toc500860842"/>
      <w:bookmarkStart w:id="29" w:name="_Toc24761"/>
      <w:bookmarkStart w:id="30" w:name="_Toc21577"/>
      <w:bookmarkStart w:id="31" w:name="_Toc14941"/>
      <w:bookmarkStart w:id="32" w:name="_Toc401761512"/>
      <w:bookmarkStart w:id="33" w:name="_Toc30256"/>
      <w:r>
        <w:rPr>
          <w:rFonts w:ascii="黑体" w:eastAsia="黑体" w:hAnsi="黑体" w:cs="黑体" w:hint="eastAsia"/>
          <w:bCs/>
          <w:color w:val="000000"/>
          <w:kern w:val="2"/>
          <w:sz w:val="32"/>
          <w:szCs w:val="32"/>
        </w:rPr>
        <w:t>三、指标分析与评价结论</w:t>
      </w:r>
      <w:bookmarkStart w:id="34" w:name="_Toc17221"/>
      <w:bookmarkStart w:id="35" w:name="_Toc3504"/>
      <w:bookmarkStart w:id="36" w:name="_Toc500860843"/>
      <w:bookmarkStart w:id="37" w:name="_Toc21533"/>
      <w:bookmarkEnd w:id="28"/>
      <w:bookmarkEnd w:id="29"/>
      <w:bookmarkEnd w:id="30"/>
      <w:bookmarkEnd w:id="31"/>
      <w:bookmarkEnd w:id="32"/>
      <w:bookmarkEnd w:id="33"/>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38" w:name="_Toc14869"/>
      <w:r>
        <w:rPr>
          <w:rFonts w:ascii="楷体_GB2312" w:eastAsia="楷体_GB2312" w:hAnsi="楷体_GB2312" w:cs="楷体_GB2312" w:hint="eastAsia"/>
          <w:bCs/>
          <w:color w:val="000000"/>
          <w:kern w:val="2"/>
          <w:sz w:val="32"/>
          <w:szCs w:val="32"/>
        </w:rPr>
        <w:t>（一）绩效评价指标体系分析</w:t>
      </w:r>
      <w:bookmarkEnd w:id="34"/>
      <w:bookmarkEnd w:id="35"/>
      <w:bookmarkEnd w:id="36"/>
      <w:bookmarkEnd w:id="37"/>
      <w:bookmarkEnd w:id="38"/>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1.项目决策情况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lastRenderedPageBreak/>
        <w:t>指标分值20分，得分17.5分。从项目立项、绩效目标和资金投入三方面进行评价。</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项目立项</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立项依据上有国务院印发《改革国有资本授权经营体制方案》（国发〔2019〕9号）、国务院国资委印发《全国性国资国企在线监管系统建设工作方案》（国资厅发〔2019〕35号），下有市委办公厅、市政府办公厅印发的《推进国有企业改革攻势作战方案》（青厅字〔2019〕80号）确定把建设大数据监管系统作为依法监管攻坚任务，故项目立项依据充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立项程序规范性方面有青岛市发改委《关于批复青岛市国资大数据在线监管系统一期工程可行性研究报告（代项目建议书）的函》（青发改投资审〔2020〕17号）和《关于批复青岛市国资大数据在线监管系统一期工程初步设计及概算的函》（青发改投资审〔2020〕60号）两文件分别对项目建议书和初步设计及概算的批复，故项目立项程序非常规范；</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根据评分标准，项目立项权重分共6分，得分共6分。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（2）绩效目标</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绩效目标既制定了青岛市国资大数据在线监管系统的长期目标，同时制定了青岛市国资大数据在线监管系统的年度目标，且与实际工作内容具有高度相关性，项目预期产出效益和效果也基本符合一期建设指标，确定的项目投资额基本按照批复概算合规使用；</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lastRenderedPageBreak/>
        <w:t>项目绩效目标有细化分解为具体的绩效指标，指标值较清晰、可衡量度一般；</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根据评分标准，项目立项权重分共6分，得分共4分。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（3）资金投入</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项目资金经过了设计、项目建议书、概算的编制与专家审核，确定的项目投资额与工作任务相基本完全匹配，只是预备金没有项目支付；</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根据评分标准，项目立项权重分共8分，得分共7.5分。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2.项目过程情况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指标分值20分，得分19分。从资金管理和组织实施两方面进行评价。</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（1）资金管理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由于资金来源为国有资本经营收益预算资金，该项目需求资金量并不大，只要有概算批复，年度资金计划已到位，故认可资金到位率100%；</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预算资金执行率：2020年预算安排732.41万元，实际执行了719.385万元，执行率98%；</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项目资金使用完全符合相关的财务管理制度规定，用以反映和考核项目资金的规范运行使用合规；</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根据评分标准，项目立项权重分共8分，得分共7.8分。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（2）组织实施</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青岛市国资委有专项资金管理办法及实施细则管理制度，</w:t>
      </w:r>
      <w:r>
        <w:rPr>
          <w:rFonts w:ascii="仿宋_GB2312" w:hint="eastAsia"/>
          <w:kern w:val="2"/>
          <w:sz w:val="32"/>
          <w:szCs w:val="32"/>
        </w:rPr>
        <w:lastRenderedPageBreak/>
        <w:t>业务及财务均有内部管理制度；</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参与该项目建设的国资委相关处室，在项目的实施过程中执行了青岛市国资委针对项目建设的相关管理规定，通过符合青岛市政府规定的公开招标或竞争性磋商用确定相应的项目建设施工单位和监理、信息测评及等保测评机构，在国资委相关处室的组织实施下完成了该项目，只是因为前期无明确资金来源的情况下，设计单位是最终根据发改委批复资金范围内确定的，有一点小小的瑕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根据评分标准，项目立项权重分共12分，得分共11分。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3.项目产出情况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指标分值25分，得分24.5分。从产出数量、产出质量、产出时效和产出成本四方面进行评价。</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（1）产出数量、产出质量</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围绕该项目的各中标单位在中标后先后于7月下旬签订合同并开始执行合同条款，并于2020年12月18日通过专家验收，故产出数量和产出质量均已完成；</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根据评分标准，项目立项权重分共15分，得分共15分。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（2）产出时效</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该项目的完成时间根据部分相关合同应在2020年11月底，实际完成是2020年12月18日通过专家验收，作为工程项目拖延半个月的时间，实属正常。</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根据评分标准，项目立项权重分共5分，得分共4.5分。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lastRenderedPageBreak/>
        <w:t>（3）产出成本</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该项目批复总概算</w:t>
      </w:r>
      <w:r>
        <w:rPr>
          <w:rFonts w:ascii="仿宋_GB2312"/>
          <w:kern w:val="2"/>
          <w:sz w:val="32"/>
          <w:szCs w:val="32"/>
        </w:rPr>
        <w:t>830.1</w:t>
      </w:r>
      <w:r>
        <w:rPr>
          <w:rFonts w:ascii="仿宋_GB2312" w:hint="eastAsia"/>
          <w:kern w:val="2"/>
          <w:sz w:val="32"/>
          <w:szCs w:val="32"/>
        </w:rPr>
        <w:t>万元，实际投入</w:t>
      </w:r>
      <w:r>
        <w:rPr>
          <w:rFonts w:ascii="仿宋_GB2312"/>
          <w:kern w:val="2"/>
          <w:sz w:val="32"/>
          <w:szCs w:val="32"/>
        </w:rPr>
        <w:t>799.98</w:t>
      </w:r>
      <w:r>
        <w:rPr>
          <w:rFonts w:ascii="仿宋_GB2312" w:hint="eastAsia"/>
          <w:kern w:val="2"/>
          <w:sz w:val="32"/>
          <w:szCs w:val="32"/>
        </w:rPr>
        <w:t>万元，成本节约率为3.6%；</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根据评分标准，项目立项权重分共5分，得分共5分。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 xml:space="preserve"> 4.项目效益情况</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指标分值35分，得分35分。从项目效益、可持续影响、服务对象满意度三方面进行评价。具体如下：</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（1）社会效益及可持续影响</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国资大数据在线监管系统的建立，有利于增强领导决策的科学性，将产生明显的社会效益，全过程信息化管理有利于提高部门的工作效益及规范管理；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根据评分标准，项目立项权重分共27分，得分共22分。</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（2）满意度</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青岛市国资大数据在线监管系统满足了国资大数据监管工作的需要，通过寻访及电话咨询国资委相关业务处室、市属企业和区市国资监管机构对系统建设工作满意，并由外部专家组成的验收组对系统建设工作满意，使用系统的社会各界对系统建设工作满意</w:t>
      </w:r>
      <w:bookmarkStart w:id="39" w:name="_Toc21303"/>
      <w:bookmarkStart w:id="40" w:name="_Toc500860844"/>
      <w:bookmarkStart w:id="41" w:name="_Toc25323"/>
      <w:bookmarkStart w:id="42" w:name="_Toc18102"/>
      <w:r>
        <w:rPr>
          <w:rFonts w:ascii="仿宋_GB2312" w:hint="eastAsia"/>
          <w:kern w:val="2"/>
          <w:sz w:val="32"/>
          <w:szCs w:val="32"/>
        </w:rPr>
        <w:t>；</w:t>
      </w:r>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根据评分标准，项目立项权重分共8分，得分共8分。</w:t>
      </w:r>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43" w:name="_Toc5571"/>
      <w:r>
        <w:rPr>
          <w:rFonts w:ascii="楷体_GB2312" w:eastAsia="楷体_GB2312" w:hAnsi="楷体_GB2312" w:cs="楷体_GB2312" w:hint="eastAsia"/>
          <w:bCs/>
          <w:color w:val="000000"/>
          <w:kern w:val="2"/>
          <w:sz w:val="32"/>
          <w:szCs w:val="32"/>
        </w:rPr>
        <w:t>（二）评价结论</w:t>
      </w:r>
      <w:bookmarkEnd w:id="43"/>
    </w:p>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根据评价指标体系和评价标准，从决策、过程、产出和效益四个方面分四级指标评价绩效目标的实现程度，明细见下表：</w:t>
      </w:r>
    </w:p>
    <w:tbl>
      <w:tblPr>
        <w:tblW w:w="8665" w:type="dxa"/>
        <w:tblInd w:w="96" w:type="dxa"/>
        <w:tblLook w:val="04A0"/>
      </w:tblPr>
      <w:tblGrid>
        <w:gridCol w:w="948"/>
        <w:gridCol w:w="2028"/>
        <w:gridCol w:w="2244"/>
        <w:gridCol w:w="2236"/>
        <w:gridCol w:w="549"/>
        <w:gridCol w:w="660"/>
      </w:tblGrid>
      <w:tr w:rsidR="008E521E">
        <w:trPr>
          <w:trHeight w:val="408"/>
        </w:trPr>
        <w:tc>
          <w:tcPr>
            <w:tcW w:w="8664" w:type="dxa"/>
            <w:gridSpan w:val="6"/>
            <w:tcBorders>
              <w:top w:val="nil"/>
              <w:left w:val="nil"/>
              <w:bottom w:val="single" w:sz="4" w:space="0" w:color="000000"/>
              <w:right w:val="nil"/>
            </w:tcBorders>
            <w:shd w:val="clear" w:color="auto" w:fill="auto"/>
            <w:noWrap/>
            <w:vAlign w:val="center"/>
          </w:tcPr>
          <w:p w:rsidR="008E521E" w:rsidRDefault="00021C8E">
            <w:pPr>
              <w:jc w:val="center"/>
              <w:textAlignment w:val="center"/>
              <w:rPr>
                <w:rFonts w:ascii="仿宋_GB2312" w:hAnsi="Tahoma" w:cs="仿宋_GB2312"/>
                <w:b/>
                <w:bCs/>
                <w:color w:val="000000"/>
                <w:sz w:val="32"/>
                <w:szCs w:val="32"/>
              </w:rPr>
            </w:pPr>
            <w:r>
              <w:rPr>
                <w:rFonts w:ascii="仿宋_GB2312" w:hAnsi="Tahoma" w:cs="仿宋_GB2312"/>
                <w:b/>
                <w:bCs/>
                <w:color w:val="000000"/>
                <w:sz w:val="32"/>
                <w:szCs w:val="32"/>
              </w:rPr>
              <w:lastRenderedPageBreak/>
              <w:t>大数据专项业务费支出指标体系</w:t>
            </w:r>
          </w:p>
        </w:tc>
      </w:tr>
      <w:tr w:rsidR="008E521E">
        <w:trPr>
          <w:trHeight w:val="576"/>
        </w:trPr>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一级</w:t>
            </w:r>
            <w:r>
              <w:rPr>
                <w:rFonts w:ascii="仿宋_GB2312" w:hAnsi="Tahoma" w:cs="仿宋_GB2312"/>
                <w:b/>
                <w:bCs/>
                <w:color w:val="000000"/>
              </w:rPr>
              <w:br/>
              <w:t>指标</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二级指标</w:t>
            </w:r>
          </w:p>
        </w:tc>
        <w:tc>
          <w:tcPr>
            <w:tcW w:w="2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三级指标</w:t>
            </w:r>
          </w:p>
        </w:tc>
        <w:tc>
          <w:tcPr>
            <w:tcW w:w="2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四级指标</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权重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得分</w:t>
            </w:r>
          </w:p>
        </w:tc>
      </w:tr>
      <w:tr w:rsidR="008E521E">
        <w:trPr>
          <w:trHeight w:val="288"/>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决策</w:t>
            </w:r>
            <w:r>
              <w:rPr>
                <w:rFonts w:ascii="仿宋_GB2312" w:hAnsi="Tahoma" w:cs="仿宋_GB2312"/>
                <w:color w:val="000000"/>
              </w:rPr>
              <w:br/>
              <w:t>（20分）</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项目立项（6分）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立项依据充分性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立项程序规范性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绩效目标（6分）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绩效目标合理性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hint="eastAsia"/>
                <w:color w:val="000000"/>
              </w:rPr>
              <w:t>2.5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绩效指标明确性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1.5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资金投入（8分）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预算编制科学性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资金分配合理性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3.5</w:t>
            </w:r>
          </w:p>
        </w:tc>
      </w:tr>
      <w:tr w:rsidR="008E521E">
        <w:trPr>
          <w:trHeight w:val="288"/>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过程</w:t>
            </w:r>
            <w:r>
              <w:rPr>
                <w:rFonts w:ascii="仿宋_GB2312" w:hAnsi="Tahoma" w:cs="仿宋_GB2312"/>
                <w:color w:val="000000"/>
              </w:rPr>
              <w:br/>
              <w:t>（20分）</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资金管理（8分）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资金到位率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2</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预算执行率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hint="eastAsia"/>
                <w:color w:val="000000"/>
              </w:rPr>
              <w:t>1.8</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资金使用合规性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 xml:space="preserve">组织实施（12分） </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 xml:space="preserve"> 管理制度健全性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6</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制度执行有效性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r>
      <w:tr w:rsidR="008E521E">
        <w:trPr>
          <w:trHeight w:val="288"/>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产出</w:t>
            </w:r>
            <w:r>
              <w:rPr>
                <w:rFonts w:ascii="仿宋_GB2312" w:hAnsi="Tahoma" w:cs="仿宋_GB2312"/>
                <w:color w:val="000000"/>
              </w:rPr>
              <w:br/>
              <w:t>(25分)</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产出数量（10分）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实际完成率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数量变动率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textAlignment w:val="center"/>
              <w:rPr>
                <w:rFonts w:ascii="仿宋_GB2312" w:hAnsi="Tahoma" w:cs="仿宋_GB2312"/>
                <w:color w:val="000000"/>
              </w:rPr>
            </w:pPr>
            <w:r>
              <w:rPr>
                <w:rFonts w:ascii="仿宋_GB2312" w:hAnsi="Tahoma" w:cs="仿宋_GB2312"/>
                <w:color w:val="000000"/>
              </w:rPr>
              <w:t>产出质量（5分）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质量达标率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textAlignment w:val="center"/>
              <w:rPr>
                <w:rFonts w:ascii="仿宋_GB2312" w:hAnsi="Tahoma" w:cs="仿宋_GB2312"/>
                <w:color w:val="000000"/>
              </w:rPr>
            </w:pPr>
            <w:r>
              <w:rPr>
                <w:rFonts w:ascii="仿宋_GB2312" w:hAnsi="Tahoma" w:cs="仿宋_GB2312"/>
                <w:color w:val="000000"/>
              </w:rPr>
              <w:t>产出时效（5分）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完成及时率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4.5</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textAlignment w:val="center"/>
              <w:rPr>
                <w:rFonts w:ascii="仿宋_GB2312" w:hAnsi="Tahoma" w:cs="仿宋_GB2312"/>
                <w:color w:val="000000"/>
              </w:rPr>
            </w:pPr>
            <w:r>
              <w:rPr>
                <w:rFonts w:ascii="仿宋_GB2312" w:hAnsi="Tahoma" w:cs="仿宋_GB2312"/>
                <w:color w:val="000000"/>
              </w:rPr>
              <w:t>产出成本（5分）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成本节约率</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r>
      <w:tr w:rsidR="008E521E">
        <w:trPr>
          <w:trHeight w:val="288"/>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效益</w:t>
            </w:r>
            <w:r>
              <w:rPr>
                <w:rFonts w:ascii="仿宋_GB2312" w:hAnsi="Tahoma" w:cs="仿宋_GB2312"/>
                <w:color w:val="000000"/>
              </w:rPr>
              <w:br/>
              <w:t>（35分）</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项目效益（25分）</w:t>
            </w:r>
          </w:p>
        </w:tc>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社会效益</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sz w:val="16"/>
                <w:szCs w:val="16"/>
              </w:rPr>
            </w:pPr>
            <w:r>
              <w:rPr>
                <w:rFonts w:ascii="仿宋_GB2312" w:hAnsi="Tahoma" w:cs="仿宋_GB2312"/>
                <w:color w:val="000000"/>
                <w:sz w:val="16"/>
                <w:szCs w:val="16"/>
              </w:rPr>
              <w:t>市属企业资产总额同比增长率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hint="eastAsia"/>
                <w:color w:val="000000"/>
              </w:rPr>
              <w:t>8</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sz w:val="16"/>
                <w:szCs w:val="16"/>
              </w:rPr>
            </w:pPr>
            <w:r>
              <w:rPr>
                <w:rFonts w:ascii="仿宋_GB2312" w:hAnsi="Tahoma" w:cs="仿宋_GB2312"/>
                <w:color w:val="000000"/>
                <w:sz w:val="16"/>
                <w:szCs w:val="16"/>
              </w:rPr>
              <w:t>市属企业利润总额同比增长率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hint="eastAsia"/>
                <w:color w:val="000000"/>
              </w:rPr>
              <w:t>8</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sz w:val="16"/>
                <w:szCs w:val="16"/>
              </w:rPr>
            </w:pPr>
            <w:r>
              <w:rPr>
                <w:rFonts w:ascii="仿宋_GB2312" w:hAnsi="Tahoma" w:cs="仿宋_GB2312"/>
                <w:color w:val="000000"/>
                <w:sz w:val="16"/>
                <w:szCs w:val="16"/>
              </w:rPr>
              <w:t>市属企业职工平均收入增长情况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hint="eastAsia"/>
                <w:color w:val="000000"/>
              </w:rPr>
              <w:t>4</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可持续影响（2分）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项目发展机制可持续性</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sz w:val="16"/>
                <w:szCs w:val="16"/>
              </w:rPr>
            </w:pPr>
            <w:r>
              <w:rPr>
                <w:rFonts w:ascii="仿宋_GB2312" w:hAnsi="Tahoma" w:cs="仿宋_GB2312"/>
                <w:color w:val="000000"/>
                <w:sz w:val="16"/>
                <w:szCs w:val="16"/>
              </w:rPr>
              <w:t>企业监管机制</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2</w:t>
            </w:r>
          </w:p>
        </w:tc>
      </w:tr>
      <w:tr w:rsidR="008E521E">
        <w:trPr>
          <w:trHeight w:val="288"/>
        </w:trPr>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8E521E">
            <w:pPr>
              <w:jc w:val="center"/>
              <w:rPr>
                <w:rFonts w:ascii="仿宋_GB2312" w:hAnsi="Tahoma" w:cs="仿宋_GB2312"/>
                <w:color w:val="00000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满意度（8分）</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服务对象满意度</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sz w:val="16"/>
                <w:szCs w:val="16"/>
              </w:rPr>
            </w:pPr>
            <w:r>
              <w:rPr>
                <w:rFonts w:ascii="仿宋_GB2312" w:hAnsi="Tahoma" w:cs="仿宋_GB2312"/>
                <w:color w:val="000000"/>
                <w:sz w:val="16"/>
                <w:szCs w:val="16"/>
              </w:rPr>
              <w:t>市属企业满意度</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color w:val="000000"/>
              </w:rPr>
            </w:pPr>
            <w:r>
              <w:rPr>
                <w:rFonts w:ascii="仿宋_GB2312" w:hAnsi="Tahoma" w:cs="仿宋_GB2312"/>
                <w:color w:val="000000"/>
              </w:rPr>
              <w:t>8</w:t>
            </w:r>
          </w:p>
        </w:tc>
      </w:tr>
      <w:tr w:rsidR="008E521E">
        <w:trPr>
          <w:trHeight w:val="288"/>
        </w:trPr>
        <w:tc>
          <w:tcPr>
            <w:tcW w:w="74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合计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b/>
                <w:bCs/>
                <w:color w:val="000000"/>
              </w:rPr>
            </w:pPr>
            <w:r>
              <w:rPr>
                <w:rFonts w:ascii="仿宋_GB2312" w:hAnsi="Tahoma" w:cs="仿宋_GB2312"/>
                <w:b/>
                <w:bCs/>
                <w:color w:val="000000"/>
              </w:rPr>
              <w:t>100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1E" w:rsidRDefault="00021C8E">
            <w:pPr>
              <w:jc w:val="center"/>
              <w:textAlignment w:val="center"/>
              <w:rPr>
                <w:rFonts w:ascii="仿宋_GB2312" w:hAnsi="Tahoma" w:cs="仿宋_GB2312"/>
                <w:b/>
                <w:bCs/>
                <w:color w:val="000000"/>
              </w:rPr>
            </w:pPr>
            <w:r>
              <w:rPr>
                <w:rFonts w:ascii="仿宋_GB2312" w:hAnsi="Tahoma" w:cs="仿宋_GB2312" w:hint="eastAsia"/>
                <w:b/>
                <w:bCs/>
                <w:color w:val="000000"/>
              </w:rPr>
              <w:t>90.8</w:t>
            </w:r>
          </w:p>
        </w:tc>
      </w:tr>
    </w:tbl>
    <w:p w:rsidR="008E521E" w:rsidRDefault="00021C8E">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评价结论：根据青岛市人民政府国有资产监督管理委员会专项业务费支出指标体系打分结果，该项目综合得分为90.8分，总体评价等级为“优”。</w:t>
      </w:r>
      <w:bookmarkStart w:id="44" w:name="_Toc22152"/>
      <w:bookmarkStart w:id="45" w:name="_Toc500860845"/>
      <w:bookmarkStart w:id="46" w:name="_Toc18098"/>
      <w:bookmarkStart w:id="47" w:name="_Toc359824091"/>
      <w:bookmarkStart w:id="48" w:name="_Toc401761516"/>
      <w:bookmarkStart w:id="49" w:name="_Toc24266"/>
      <w:bookmarkEnd w:id="39"/>
      <w:bookmarkEnd w:id="40"/>
      <w:bookmarkEnd w:id="41"/>
      <w:bookmarkEnd w:id="42"/>
    </w:p>
    <w:p w:rsidR="008E521E" w:rsidRDefault="00021C8E">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50" w:name="_Toc19220"/>
      <w:r>
        <w:rPr>
          <w:rFonts w:ascii="楷体_GB2312" w:eastAsia="楷体_GB2312" w:hAnsi="楷体_GB2312" w:cs="楷体_GB2312" w:hint="eastAsia"/>
          <w:bCs/>
          <w:color w:val="000000"/>
          <w:kern w:val="2"/>
          <w:sz w:val="32"/>
          <w:szCs w:val="32"/>
        </w:rPr>
        <w:t>（三）主要问题</w:t>
      </w:r>
      <w:bookmarkEnd w:id="50"/>
    </w:p>
    <w:p w:rsidR="008E521E" w:rsidRDefault="00021C8E" w:rsidP="00956D25">
      <w:pPr>
        <w:autoSpaceDE w:val="0"/>
        <w:autoSpaceDN w:val="0"/>
        <w:spacing w:after="0" w:line="560" w:lineRule="exact"/>
        <w:ind w:firstLineChars="200" w:firstLine="640"/>
        <w:textAlignment w:val="bottom"/>
        <w:outlineLvl w:val="0"/>
        <w:rPr>
          <w:rFonts w:ascii="仿宋_GB2312"/>
          <w:kern w:val="2"/>
          <w:sz w:val="32"/>
          <w:szCs w:val="32"/>
        </w:rPr>
      </w:pPr>
      <w:r>
        <w:rPr>
          <w:rFonts w:ascii="仿宋_GB2312" w:hint="eastAsia"/>
          <w:kern w:val="2"/>
          <w:sz w:val="32"/>
          <w:szCs w:val="32"/>
        </w:rPr>
        <w:t>无</w:t>
      </w:r>
      <w:bookmarkEnd w:id="44"/>
      <w:bookmarkEnd w:id="45"/>
      <w:bookmarkEnd w:id="46"/>
      <w:bookmarkEnd w:id="47"/>
      <w:bookmarkEnd w:id="48"/>
      <w:bookmarkEnd w:id="49"/>
    </w:p>
    <w:p w:rsidR="000C7535" w:rsidRDefault="000C7535" w:rsidP="000C7535">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r>
        <w:rPr>
          <w:rFonts w:ascii="黑体" w:eastAsia="黑体" w:hAnsi="黑体" w:cs="黑体" w:hint="eastAsia"/>
          <w:bCs/>
          <w:color w:val="000000"/>
          <w:kern w:val="2"/>
          <w:sz w:val="32"/>
          <w:szCs w:val="32"/>
        </w:rPr>
        <w:t>四、评价单位盖章</w:t>
      </w:r>
    </w:p>
    <w:p w:rsidR="000C7535" w:rsidRPr="000C7535" w:rsidRDefault="000C7535" w:rsidP="00956D25">
      <w:pPr>
        <w:autoSpaceDE w:val="0"/>
        <w:autoSpaceDN w:val="0"/>
        <w:spacing w:after="0" w:line="560" w:lineRule="exact"/>
        <w:ind w:firstLineChars="200" w:firstLine="640"/>
        <w:textAlignment w:val="bottom"/>
        <w:outlineLvl w:val="0"/>
        <w:rPr>
          <w:rFonts w:ascii="仿宋_GB2312"/>
          <w:kern w:val="2"/>
          <w:sz w:val="32"/>
          <w:szCs w:val="32"/>
        </w:rPr>
      </w:pPr>
    </w:p>
    <w:sectPr w:rsidR="000C7535" w:rsidRPr="000C7535" w:rsidSect="008E521E">
      <w:footerReference w:type="default" r:id="rId9"/>
      <w:pgSz w:w="11906" w:h="16838"/>
      <w:pgMar w:top="2098" w:right="1588" w:bottom="2098" w:left="1588" w:header="851" w:footer="992" w:gutter="0"/>
      <w:pgNumType w:start="1"/>
      <w:cols w:space="72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92" w:rsidRDefault="00A80992" w:rsidP="008E521E">
      <w:pPr>
        <w:spacing w:after="0" w:line="240" w:lineRule="auto"/>
      </w:pPr>
      <w:r>
        <w:separator/>
      </w:r>
    </w:p>
  </w:endnote>
  <w:endnote w:type="continuationSeparator" w:id="1">
    <w:p w:rsidR="00A80992" w:rsidRDefault="00A80992" w:rsidP="008E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moder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Roman">
    <w:altName w:val="Times New Roman"/>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1E" w:rsidRDefault="008E521E">
    <w:pPr>
      <w:pStyle w:val="a3"/>
      <w:tabs>
        <w:tab w:val="clear" w:pos="4153"/>
        <w:tab w:val="center" w:pos="436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1E" w:rsidRDefault="008E521E">
    <w:pPr>
      <w:pStyle w:val="a3"/>
      <w:tabs>
        <w:tab w:val="clear" w:pos="4153"/>
        <w:tab w:val="center" w:pos="436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1E" w:rsidRDefault="00E1625B">
    <w:pPr>
      <w:pStyle w:val="a3"/>
      <w:tabs>
        <w:tab w:val="clear" w:pos="4153"/>
        <w:tab w:val="center" w:pos="4365"/>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filled="f" stroked="f">
          <v:textbox style="mso-fit-shape-to-text:t" inset="0,0,0,0">
            <w:txbxContent>
              <w:p w:rsidR="008E521E" w:rsidRDefault="00E1625B">
                <w:pPr>
                  <w:pStyle w:val="a3"/>
                  <w:rPr>
                    <w:rFonts w:eastAsia="仿宋_GB2312"/>
                  </w:rPr>
                </w:pPr>
                <w:r>
                  <w:fldChar w:fldCharType="begin"/>
                </w:r>
                <w:r w:rsidR="00021C8E">
                  <w:instrText xml:space="preserve"> PAGE  \* MERGEFORMAT </w:instrText>
                </w:r>
                <w:r>
                  <w:fldChar w:fldCharType="separate"/>
                </w:r>
                <w:r w:rsidR="00E403B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92" w:rsidRDefault="00A80992" w:rsidP="008E521E">
      <w:pPr>
        <w:spacing w:after="0" w:line="240" w:lineRule="auto"/>
      </w:pPr>
      <w:r>
        <w:separator/>
      </w:r>
    </w:p>
  </w:footnote>
  <w:footnote w:type="continuationSeparator" w:id="1">
    <w:p w:rsidR="00A80992" w:rsidRDefault="00A80992" w:rsidP="008E52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F203CA"/>
    <w:rsid w:val="00021C8E"/>
    <w:rsid w:val="000C7535"/>
    <w:rsid w:val="0010571E"/>
    <w:rsid w:val="00194C81"/>
    <w:rsid w:val="001F3927"/>
    <w:rsid w:val="008E521E"/>
    <w:rsid w:val="00956D25"/>
    <w:rsid w:val="00A80992"/>
    <w:rsid w:val="00B3175A"/>
    <w:rsid w:val="00B541DD"/>
    <w:rsid w:val="00E1625B"/>
    <w:rsid w:val="00E403B8"/>
    <w:rsid w:val="02AF3E36"/>
    <w:rsid w:val="07F203CA"/>
    <w:rsid w:val="1BAC20C7"/>
    <w:rsid w:val="2C102FD6"/>
    <w:rsid w:val="36C83912"/>
    <w:rsid w:val="5CB261BF"/>
    <w:rsid w:val="651A7FFF"/>
    <w:rsid w:val="66C46E6F"/>
    <w:rsid w:val="7952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21E"/>
    <w:pPr>
      <w:spacing w:after="120" w:line="276" w:lineRule="auto"/>
    </w:pPr>
    <w:rPr>
      <w:rFonts w:eastAsia="仿宋_GB2312"/>
      <w:sz w:val="22"/>
      <w:szCs w:val="22"/>
    </w:rPr>
  </w:style>
  <w:style w:type="paragraph" w:styleId="1">
    <w:name w:val="heading 1"/>
    <w:basedOn w:val="a"/>
    <w:next w:val="a"/>
    <w:uiPriority w:val="9"/>
    <w:qFormat/>
    <w:rsid w:val="008E521E"/>
    <w:pPr>
      <w:keepNext/>
      <w:keepLines/>
      <w:spacing w:before="120" w:after="60" w:line="500" w:lineRule="exact"/>
      <w:ind w:firstLineChars="200" w:firstLine="800"/>
      <w:outlineLvl w:val="0"/>
    </w:pPr>
    <w:rPr>
      <w:b/>
      <w:bCs/>
      <w:color w:val="000000"/>
      <w:sz w:val="32"/>
      <w:szCs w:val="28"/>
    </w:rPr>
  </w:style>
  <w:style w:type="paragraph" w:styleId="3">
    <w:name w:val="heading 3"/>
    <w:basedOn w:val="a"/>
    <w:next w:val="a"/>
    <w:uiPriority w:val="9"/>
    <w:unhideWhenUsed/>
    <w:qFormat/>
    <w:rsid w:val="008E521E"/>
    <w:pPr>
      <w:keepNext/>
      <w:keepLines/>
      <w:spacing w:before="120" w:after="60" w:line="500" w:lineRule="exact"/>
      <w:ind w:firstLineChars="200" w:firstLine="800"/>
      <w:outlineLvl w:val="2"/>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E521E"/>
    <w:pPr>
      <w:tabs>
        <w:tab w:val="center" w:pos="4153"/>
        <w:tab w:val="right" w:pos="8306"/>
      </w:tabs>
      <w:snapToGrid w:val="0"/>
    </w:pPr>
    <w:rPr>
      <w:rFonts w:eastAsia="宋体"/>
      <w:sz w:val="18"/>
      <w:szCs w:val="20"/>
    </w:rPr>
  </w:style>
  <w:style w:type="paragraph" w:styleId="a4">
    <w:name w:val="header"/>
    <w:basedOn w:val="a"/>
    <w:qFormat/>
    <w:rsid w:val="008E521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uiPriority w:val="39"/>
    <w:qFormat/>
    <w:rsid w:val="008E521E"/>
    <w:pPr>
      <w:tabs>
        <w:tab w:val="right" w:leader="dot" w:pos="8296"/>
      </w:tabs>
      <w:spacing w:line="500" w:lineRule="exact"/>
    </w:pPr>
    <w:rPr>
      <w:b/>
      <w:sz w:val="30"/>
      <w:szCs w:val="30"/>
    </w:rPr>
  </w:style>
  <w:style w:type="paragraph" w:styleId="2">
    <w:name w:val="toc 2"/>
    <w:basedOn w:val="a"/>
    <w:next w:val="a"/>
    <w:rsid w:val="008E521E"/>
    <w:pPr>
      <w:ind w:leftChars="200" w:left="420"/>
    </w:pPr>
  </w:style>
  <w:style w:type="paragraph" w:styleId="a5">
    <w:name w:val="Normal (Web)"/>
    <w:basedOn w:val="a"/>
    <w:qFormat/>
    <w:rsid w:val="008E521E"/>
    <w:pPr>
      <w:spacing w:beforeAutospacing="1" w:after="0" w:afterAutospacing="1"/>
    </w:pPr>
    <w:rPr>
      <w:sz w:val="24"/>
    </w:rPr>
  </w:style>
  <w:style w:type="paragraph" w:customStyle="1" w:styleId="a6">
    <w:name w:val="闻政正文"/>
    <w:basedOn w:val="a"/>
    <w:qFormat/>
    <w:rsid w:val="008E521E"/>
    <w:pPr>
      <w:spacing w:after="0" w:line="500" w:lineRule="exact"/>
      <w:ind w:firstLineChars="200" w:firstLine="800"/>
      <w:jc w:val="both"/>
    </w:pPr>
    <w:rPr>
      <w:sz w:val="28"/>
      <w:szCs w:val="20"/>
    </w:rPr>
  </w:style>
  <w:style w:type="paragraph" w:customStyle="1" w:styleId="5">
    <w:name w:val="闻政标题5"/>
    <w:basedOn w:val="a"/>
    <w:uiPriority w:val="99"/>
    <w:qFormat/>
    <w:rsid w:val="008E521E"/>
    <w:pPr>
      <w:spacing w:before="120" w:after="60" w:line="500" w:lineRule="exact"/>
      <w:ind w:firstLineChars="200" w:firstLine="200"/>
    </w:pPr>
    <w:rPr>
      <w:b/>
      <w:sz w:val="28"/>
      <w:szCs w:val="20"/>
    </w:rPr>
  </w:style>
  <w:style w:type="paragraph" w:customStyle="1" w:styleId="a7">
    <w:name w:val="报告正文"/>
    <w:basedOn w:val="a"/>
    <w:next w:val="a"/>
    <w:qFormat/>
    <w:rsid w:val="008E521E"/>
    <w:pPr>
      <w:widowControl w:val="0"/>
      <w:spacing w:line="560" w:lineRule="exact"/>
      <w:ind w:firstLineChars="200" w:firstLine="200"/>
      <w:jc w:val="both"/>
    </w:pPr>
    <w:rPr>
      <w:rFonts w:eastAsia="仿宋"/>
      <w:sz w:val="28"/>
      <w:szCs w:val="28"/>
    </w:rPr>
  </w:style>
  <w:style w:type="character" w:customStyle="1" w:styleId="NormalCharacter">
    <w:name w:val="NormalCharacter"/>
    <w:qFormat/>
    <w:rsid w:val="008E521E"/>
  </w:style>
  <w:style w:type="paragraph" w:customStyle="1" w:styleId="a8">
    <w:name w:val="闻政页码"/>
    <w:uiPriority w:val="6"/>
    <w:qFormat/>
    <w:rsid w:val="008E521E"/>
    <w:pPr>
      <w:jc w:val="center"/>
    </w:pPr>
    <w:rPr>
      <w:rFonts w:eastAsia="Times New Roman"/>
      <w:sz w:val="21"/>
      <w:szCs w:val="28"/>
    </w:rPr>
  </w:style>
  <w:style w:type="paragraph" w:customStyle="1" w:styleId="WPSOffice1">
    <w:name w:val="WPSOffice手动目录 1"/>
    <w:rsid w:val="008E521E"/>
  </w:style>
  <w:style w:type="paragraph" w:customStyle="1" w:styleId="WPSOffice2">
    <w:name w:val="WPSOffice手动目录 2"/>
    <w:rsid w:val="008E521E"/>
    <w:pPr>
      <w:ind w:leftChars="200" w:left="200"/>
    </w:pPr>
  </w:style>
  <w:style w:type="paragraph" w:customStyle="1" w:styleId="WPSOffice3">
    <w:name w:val="WPSOffice手动目录 3"/>
    <w:rsid w:val="008E521E"/>
    <w:pPr>
      <w:ind w:leftChars="400" w:left="400"/>
    </w:pPr>
  </w:style>
  <w:style w:type="paragraph" w:styleId="a9">
    <w:name w:val="Balloon Text"/>
    <w:basedOn w:val="a"/>
    <w:link w:val="Char"/>
    <w:rsid w:val="00956D25"/>
    <w:pPr>
      <w:spacing w:after="0" w:line="240" w:lineRule="auto"/>
    </w:pPr>
    <w:rPr>
      <w:sz w:val="18"/>
      <w:szCs w:val="18"/>
    </w:rPr>
  </w:style>
  <w:style w:type="character" w:customStyle="1" w:styleId="Char">
    <w:name w:val="批注框文本 Char"/>
    <w:basedOn w:val="a0"/>
    <w:link w:val="a9"/>
    <w:rsid w:val="00956D25"/>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Pages>
  <Words>897</Words>
  <Characters>5113</Characters>
  <Application>Microsoft Office Word</Application>
  <DocSecurity>0</DocSecurity>
  <Lines>42</Lines>
  <Paragraphs>11</Paragraphs>
  <ScaleCrop>false</ScaleCrop>
  <Company>昶顺世纪笔记本维修</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dc:creator>
  <cp:lastModifiedBy>Administrator</cp:lastModifiedBy>
  <cp:revision>7</cp:revision>
  <cp:lastPrinted>2021-09-16T05:42:00Z</cp:lastPrinted>
  <dcterms:created xsi:type="dcterms:W3CDTF">2021-07-21T01:18:00Z</dcterms:created>
  <dcterms:modified xsi:type="dcterms:W3CDTF">2021-10-15T07:57:00Z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5D5B9E0A3AEE49E4B7799F13E4DB6F14</vt:lpwstr>
  </property>
</Properties>
</file>