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市财政局202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年工作要点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2026年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，市财政局</w:t>
      </w:r>
      <w:r>
        <w:rPr>
          <w:rFonts w:hint="eastAsia" w:ascii="仿宋_GB2312" w:hAnsi="Calibri" w:eastAsia="仿宋_GB2312"/>
          <w:sz w:val="32"/>
          <w:szCs w:val="32"/>
        </w:rPr>
        <w:t>将坚持以习近平新时代中国特色社会主义思想为指导，全面贯彻落实党的二十大和二十届历次全会精神，坚持稳中求进、提质增效，继续实施更加积极的财政政策并提高精准度和有效性，做优增量、盘活存量，推动经济实现质的有效提升和量的合理增长，确保“十五五”开好局、起好步，奋力推进中国式现代化青岛实践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更加注重开源节流，在增强财政保障能力上持续用力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持续做好对上争取。</w:t>
      </w:r>
      <w:r>
        <w:rPr>
          <w:rFonts w:hint="eastAsia" w:ascii="仿宋_GB2312" w:hAnsi="Calibri" w:eastAsia="仿宋_GB2312"/>
          <w:sz w:val="32"/>
          <w:szCs w:val="32"/>
        </w:rPr>
        <w:t>抢抓更加积极有为的宏观政策机遇，加强政策专业性研究，积极争取新增债券、上级转移支付等政策性资金支持。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（二）依法依规加强收入组织。</w:t>
      </w:r>
      <w:r>
        <w:rPr>
          <w:rFonts w:hint="eastAsia" w:ascii="仿宋_GB2312" w:hAnsi="Calibri" w:eastAsia="仿宋_GB2312"/>
          <w:sz w:val="32"/>
          <w:szCs w:val="32"/>
        </w:rPr>
        <w:t>深化拓展跨部门涉税信息共享，加强重点税源信息化监测与管控。加强行政事业单位及国企低效闲置资产盘活利用。深化涉案财物集中统一管理改革，拓宽涉案财物接收范围、模式和处置渠道，提高资产变现效率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（三）培植壮大优质财源。</w:t>
      </w:r>
      <w:r>
        <w:rPr>
          <w:rFonts w:hint="eastAsia" w:ascii="仿宋_GB2312" w:hAnsi="Calibri" w:eastAsia="仿宋_GB2312"/>
          <w:sz w:val="32"/>
          <w:szCs w:val="32"/>
        </w:rPr>
        <w:t>围绕科技创新、先进制造业、专精特新企业等重点领域，落实好税费优惠政策。深化财政金融协同联动，灵活运用政府基金引导、股权投资领投、普惠金融激励等措施，涵养优质税源。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（四）深化落实过紧日子要求。</w:t>
      </w:r>
      <w:r>
        <w:rPr>
          <w:rFonts w:hint="eastAsia" w:ascii="仿宋_GB2312" w:hAnsi="Calibri" w:eastAsia="仿宋_GB2312"/>
          <w:sz w:val="32"/>
          <w:szCs w:val="32"/>
        </w:rPr>
        <w:t>严格落实中央关于党政机关习惯过紧日子各项要求，研究建立与之相适应的部门预算安排和管理等制度。健全市级部门过紧日子评估机制，强化评估结果应用。严控“三公”经费及一般性支出。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二、更加注重靶向施策，在优化财政资源配置上持续用力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（一）支持科技自立自强。</w:t>
      </w:r>
      <w:r>
        <w:rPr>
          <w:rFonts w:hint="eastAsia" w:ascii="仿宋_GB2312" w:hAnsi="Calibri" w:eastAsia="仿宋_GB2312"/>
          <w:sz w:val="32"/>
          <w:szCs w:val="32"/>
        </w:rPr>
        <w:t>落实财政科技投入稳定增长机制，2026年支持科技创新资金预算按照增长15％安排。支持高质量建设科创大走廊和上合科创中心。完善财政资金“拨改投”全周期管理机制，更好支持重大科技创新项目、创新平台建设及成果转化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（二）支持发展新质生产力。</w:t>
      </w:r>
      <w:r>
        <w:rPr>
          <w:rFonts w:hint="eastAsia" w:ascii="仿宋_GB2312" w:hAnsi="Calibri" w:eastAsia="仿宋_GB2312"/>
          <w:sz w:val="32"/>
          <w:szCs w:val="32"/>
        </w:rPr>
        <w:t>落实支持民营经济、人工智能和具身智能机器人产业、服务业发展等政策措施，提高财政惠企政策的覆盖面和可及性。优化市级基金投资决策流程，加快重点基金设立，更好发挥基金引导撬动作用。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（三）支持大力提振消费。</w:t>
      </w:r>
      <w:r>
        <w:rPr>
          <w:rFonts w:hint="eastAsia" w:ascii="仿宋_GB2312" w:hAnsi="Calibri" w:eastAsia="仿宋_GB2312"/>
          <w:sz w:val="32"/>
          <w:szCs w:val="32"/>
        </w:rPr>
        <w:t>优化落实国家消费品以旧换新政策，用好国际化消费环境建设、消费新业态新模式新场景“双试点”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和有奖发票试点</w:t>
      </w:r>
      <w:r>
        <w:rPr>
          <w:rFonts w:hint="eastAsia" w:ascii="仿宋_GB2312" w:hAnsi="Calibri" w:eastAsia="仿宋_GB2312"/>
          <w:sz w:val="32"/>
          <w:szCs w:val="32"/>
        </w:rPr>
        <w:t>，有效激发消费需求，推动消费扩容提质。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（四）助力绿色低碳高质量发展。</w:t>
      </w:r>
      <w:r>
        <w:rPr>
          <w:rFonts w:hint="eastAsia" w:ascii="仿宋_GB2312" w:hAnsi="Calibri" w:eastAsia="仿宋_GB2312"/>
          <w:sz w:val="32"/>
          <w:szCs w:val="32"/>
        </w:rPr>
        <w:t>强化财政资金绿色导向，持续推进大气、土壤、地表水等领域环境污染防治，积极推进碳达峰碳中和工作。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三、更加注重民生为大，在保障和改善民生上持续用力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（一）加大民生投入力度。</w:t>
      </w:r>
      <w:r>
        <w:rPr>
          <w:rFonts w:hint="eastAsia" w:ascii="仿宋_GB2312" w:hAnsi="Calibri" w:eastAsia="仿宋_GB2312"/>
          <w:sz w:val="32"/>
          <w:szCs w:val="32"/>
        </w:rPr>
        <w:t>坚持尽力而为、量力而行，持续加强普惠性、基础性、兜底性民生建设，推动更多资金资源投资于人、服务民生，确保民生支出占一般公共预算支出的比重稳定在70％左右。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（二）优化民生政策体系。</w:t>
      </w:r>
      <w:r>
        <w:rPr>
          <w:rFonts w:hint="eastAsia" w:ascii="仿宋_GB2312" w:hAnsi="Calibri" w:eastAsia="仿宋_GB2312"/>
          <w:sz w:val="32"/>
          <w:szCs w:val="32"/>
        </w:rPr>
        <w:t>坚持惠民生和促消费、投资于物和投资于人紧密结合，聚焦就业、教育、医疗、“一老一小”等领域，动态优化民生服务政策体系，增强民生政策的均衡性、可及性。适度提高城乡居民基本养老保险基础养老金标准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（三）扎实办好民生实事。</w:t>
      </w:r>
      <w:r>
        <w:rPr>
          <w:rFonts w:hint="eastAsia" w:ascii="仿宋_GB2312" w:hAnsi="Calibri" w:eastAsia="仿宋_GB2312"/>
          <w:sz w:val="32"/>
          <w:szCs w:val="32"/>
        </w:rPr>
        <w:t>统筹资金支持办好2026年市办民生实事，着力解决群众急难愁盼问题，稳步提高基本公共服务水平。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四、更加注重改革创新，在加强财政科学管理上持续用力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（一）推进财政科学管理综合试点。</w:t>
      </w:r>
      <w:r>
        <w:rPr>
          <w:rFonts w:hint="eastAsia" w:ascii="仿宋_GB2312" w:hAnsi="Calibri" w:eastAsia="仿宋_GB2312"/>
          <w:sz w:val="32"/>
          <w:szCs w:val="32"/>
        </w:rPr>
        <w:t>认真落实试点部署安排，项目化清单化推进11项改革任务，着力推出一批具有较强突破性、引领性的改革举措，全面提升财政管理系统化、精细化、标准化、法治化水平。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（二）深化零基预算改革。</w:t>
      </w:r>
      <w:r>
        <w:rPr>
          <w:rFonts w:hint="eastAsia" w:ascii="仿宋_GB2312" w:hAnsi="Calibri" w:eastAsia="仿宋_GB2312"/>
          <w:sz w:val="32"/>
          <w:szCs w:val="32"/>
        </w:rPr>
        <w:t>取消预算安排基数，按照“有保有压、先急后缓”的原则，从零开始编制预算，区别轻重缓急对预算项目进行排序，结合财力可能统筹安排支出。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（三）推动预算绩效管理提质增效。</w:t>
      </w:r>
      <w:r>
        <w:rPr>
          <w:rFonts w:hint="eastAsia" w:ascii="仿宋_GB2312" w:hAnsi="Calibri" w:eastAsia="仿宋_GB2312"/>
          <w:sz w:val="32"/>
          <w:szCs w:val="32"/>
        </w:rPr>
        <w:t>进一步前移绩效管理关口，增强事前绩效评估的约束性，把好政策项目出台源头关。健全“共性+分行业+核心”绩效目标指标体系。强化绩效评价结果应用，推动评价结果与预算安排、改进管理和完善政策实质性挂钩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（四）全面落实税制改革任务。</w:t>
      </w:r>
      <w:r>
        <w:rPr>
          <w:rFonts w:hint="eastAsia" w:ascii="仿宋_GB2312" w:hAnsi="Calibri" w:eastAsia="仿宋_GB2312"/>
          <w:sz w:val="32"/>
          <w:szCs w:val="32"/>
        </w:rPr>
        <w:t>按照中央部署积极稳妥推进税收制度改革，严格落实规范税收优惠、财政补贴政策的要求。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五、更加注重底线安全，在防范化解财政风险上持续用力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（一）兜牢基层“三保”底线。</w:t>
      </w:r>
      <w:r>
        <w:rPr>
          <w:rFonts w:hint="eastAsia" w:ascii="仿宋_GB2312" w:hAnsi="Calibri" w:eastAsia="仿宋_GB2312"/>
          <w:sz w:val="32"/>
          <w:szCs w:val="32"/>
        </w:rPr>
        <w:t>坚持“三保”在预算编列中的优先顺序，落实“县级为主、市级帮扶（兜底）”的分级责任体系，完善“三保”专户资金管理制度，强化监测预警、应急处置和库款调拨等措施，推动基层财政平稳运行。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（二）筑牢债务风险防线。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进一步规范地方政府债务管理，充分发挥专项债券项目“自审自发”试点政策效应，提升债券资金使用效能。统筹用好存量隐性债务置换政策，加快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推进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highlight w:val="none"/>
        </w:rPr>
        <w:t>融资平台改革转型。坚持在发展中化债、在化债中发展，扎实推进实施一揽子化债方案，守牢不发生系统性风险的底线。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（三）守牢财经纪律红线。</w:t>
      </w:r>
      <w:r>
        <w:rPr>
          <w:rFonts w:hint="eastAsia" w:ascii="仿宋_GB2312" w:hAnsi="Calibri" w:eastAsia="仿宋_GB2312"/>
          <w:sz w:val="32"/>
          <w:szCs w:val="32"/>
        </w:rPr>
        <w:t>持续加大财会监督力度，聚焦重点领域扎实开展违反财经纪律问题专项整治，推动财政资金安全规范高效使用。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28"/>
        </w:pBdr>
        <w:adjustRightInd w:val="0"/>
        <w:snapToGrid w:val="0"/>
        <w:spacing w:line="560" w:lineRule="exact"/>
        <w:ind w:firstLine="420" w:firstLineChars="20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GNkYzU0YjIxYWE3MTc5N2FlMDk3YWUwMmJhYTYifQ=="/>
  </w:docVars>
  <w:rsids>
    <w:rsidRoot w:val="00E33A46"/>
    <w:rsid w:val="003076F4"/>
    <w:rsid w:val="00323797"/>
    <w:rsid w:val="004104D6"/>
    <w:rsid w:val="00791AA4"/>
    <w:rsid w:val="00837599"/>
    <w:rsid w:val="00C83528"/>
    <w:rsid w:val="00E33A46"/>
    <w:rsid w:val="00E568AA"/>
    <w:rsid w:val="01AD638A"/>
    <w:rsid w:val="23B0586E"/>
    <w:rsid w:val="25184858"/>
    <w:rsid w:val="453534E4"/>
    <w:rsid w:val="4C6D727B"/>
    <w:rsid w:val="5166311F"/>
    <w:rsid w:val="59050C34"/>
    <w:rsid w:val="5FF106F3"/>
    <w:rsid w:val="67123833"/>
    <w:rsid w:val="76C90053"/>
    <w:rsid w:val="770025E3"/>
    <w:rsid w:val="784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1041</Characters>
  <Lines>43</Lines>
  <Paragraphs>22</Paragraphs>
  <TotalTime>0</TotalTime>
  <ScaleCrop>false</ScaleCrop>
  <LinksUpToDate>false</LinksUpToDate>
  <CharactersWithSpaces>2060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2025-03-06T03:03:00Z</dcterms:created>
  <dc:creator>Administrator</dc:creator>
  <cp:lastModifiedBy>青岛市财政局</cp:lastModifiedBy>
  <cp:lastPrinted>2026-04-01T07:37:22Z</cp:lastPrinted>
  <dcterms:modified xsi:type="dcterms:W3CDTF">2026-04-01T09:12:43Z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13CB5FDE13794A45B512FEC034C662E6_12</vt:lpwstr>
  </property>
</Properties>
</file>