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56" w:rsidRDefault="00FB1D56" w:rsidP="00FB1D56">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2024年加力支持消费品以旧换新</w:t>
      </w:r>
    </w:p>
    <w:p w:rsidR="00FB1D56" w:rsidRDefault="00FB1D56" w:rsidP="00FB1D56">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-新能源公交车及动力电池更新</w:t>
      </w:r>
    </w:p>
    <w:p w:rsidR="00FB1D56" w:rsidRDefault="00FB1D56" w:rsidP="00FB1D56">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政策绩效评价报告</w:t>
      </w:r>
    </w:p>
    <w:p w:rsidR="00FB1D56" w:rsidRDefault="00FB1D56" w:rsidP="00FB1D56">
      <w:pPr>
        <w:pStyle w:val="1"/>
        <w:ind w:firstLine="640"/>
      </w:pPr>
    </w:p>
    <w:p w:rsidR="00FB1D56" w:rsidRDefault="00FB1D56" w:rsidP="00FB1D56">
      <w:pPr>
        <w:ind w:firstLineChars="200" w:firstLine="640"/>
        <w:outlineLvl w:val="0"/>
        <w:rPr>
          <w:rFonts w:ascii="黑体" w:eastAsia="黑体" w:hAnsi="黑体" w:cs="黑体"/>
          <w:szCs w:val="40"/>
        </w:rPr>
      </w:pPr>
      <w:bookmarkStart w:id="0" w:name="_Toc19815"/>
      <w:r>
        <w:rPr>
          <w:rFonts w:ascii="黑体" w:eastAsia="黑体" w:hAnsi="黑体" w:cs="黑体" w:hint="eastAsia"/>
          <w:szCs w:val="40"/>
        </w:rPr>
        <w:t>一、政策基本情况</w:t>
      </w:r>
      <w:bookmarkEnd w:id="0"/>
    </w:p>
    <w:p w:rsidR="00FB1D56" w:rsidRDefault="00FB1D56" w:rsidP="00FB1D56">
      <w:pPr>
        <w:ind w:firstLineChars="200" w:firstLine="640"/>
        <w:outlineLvl w:val="1"/>
        <w:rPr>
          <w:rFonts w:ascii="楷体_GB2312" w:eastAsia="楷体_GB2312" w:hAnsi="楷体_GB2312" w:cs="楷体_GB2312"/>
          <w:szCs w:val="40"/>
        </w:rPr>
      </w:pPr>
      <w:bookmarkStart w:id="1" w:name="_Toc6060"/>
      <w:r>
        <w:rPr>
          <w:rFonts w:ascii="楷体_GB2312" w:eastAsia="楷体_GB2312" w:hAnsi="楷体_GB2312" w:cs="楷体_GB2312" w:hint="eastAsia"/>
          <w:szCs w:val="40"/>
        </w:rPr>
        <w:t>（一）政策概况</w:t>
      </w:r>
      <w:bookmarkEnd w:id="1"/>
    </w:p>
    <w:p w:rsidR="00FB1D56" w:rsidRDefault="00FB1D56" w:rsidP="00FB1D56">
      <w:pPr>
        <w:ind w:firstLineChars="200" w:firstLine="640"/>
        <w:rPr>
          <w:rFonts w:ascii="仿宋_GB2312" w:hAnsi="仿宋_GB2312"/>
          <w:szCs w:val="40"/>
          <w:highlight w:val="yellow"/>
        </w:rPr>
      </w:pPr>
      <w:r>
        <w:rPr>
          <w:rFonts w:ascii="仿宋_GB2312" w:hAnsi="仿宋_GB2312" w:hint="eastAsia"/>
          <w:szCs w:val="40"/>
        </w:rPr>
        <w:t>1.政策背景</w:t>
      </w:r>
    </w:p>
    <w:p w:rsidR="00FB1D56" w:rsidRDefault="00FB1D56" w:rsidP="00FB1D56">
      <w:pPr>
        <w:pStyle w:val="a4"/>
        <w:spacing w:line="600" w:lineRule="exact"/>
        <w:ind w:firstLine="640"/>
        <w:outlineLvl w:val="9"/>
        <w:rPr>
          <w:rFonts w:ascii="仿宋_GB2312" w:eastAsia="仿宋_GB2312" w:hAnsi="仿宋_GB2312"/>
        </w:rPr>
      </w:pPr>
      <w:r>
        <w:rPr>
          <w:rFonts w:ascii="仿宋_GB2312" w:eastAsia="仿宋_GB2312" w:hAnsi="仿宋_GB2312" w:hint="eastAsia"/>
        </w:rPr>
        <w:t>2024年加力支持消费品以旧换新-新能源公交车及动力电池更新政策的设立，是国家“双碳”战略部署与城市绿色转型发展的双重驱动下的重要举措，旨在</w:t>
      </w:r>
      <w:bookmarkStart w:id="2" w:name="_GoBack"/>
      <w:bookmarkEnd w:id="2"/>
      <w:r>
        <w:rPr>
          <w:rFonts w:ascii="仿宋_GB2312" w:eastAsia="仿宋_GB2312" w:hAnsi="仿宋_GB2312" w:hint="eastAsia"/>
        </w:rPr>
        <w:t>通过政策引导和技术革新推动公共交通领域的可持续发展。面对传统燃油公交车高能耗、高污染的突出问题，以及城市交通拥堵和空气质量治理的双重压力，青岛市积极响应国家新能源汽车产业发展规划要求，将新能源公交</w:t>
      </w:r>
      <w:proofErr w:type="gramStart"/>
      <w:r>
        <w:rPr>
          <w:rFonts w:ascii="仿宋_GB2312" w:eastAsia="仿宋_GB2312" w:hAnsi="仿宋_GB2312" w:hint="eastAsia"/>
        </w:rPr>
        <w:t>车推广</w:t>
      </w:r>
      <w:proofErr w:type="gramEnd"/>
      <w:r>
        <w:rPr>
          <w:rFonts w:ascii="仿宋_GB2312" w:eastAsia="仿宋_GB2312" w:hAnsi="仿宋_GB2312" w:hint="eastAsia"/>
        </w:rPr>
        <w:t>作为改善城市环境质量、提升市民出行体验的关键抓手。</w:t>
      </w:r>
    </w:p>
    <w:p w:rsidR="00FB1D56" w:rsidRDefault="00FB1D56" w:rsidP="00FB1D56">
      <w:pPr>
        <w:ind w:firstLineChars="200" w:firstLine="640"/>
        <w:rPr>
          <w:rFonts w:ascii="仿宋_GB2312" w:hAnsi="仿宋_GB2312"/>
          <w:szCs w:val="40"/>
        </w:rPr>
      </w:pPr>
      <w:r>
        <w:rPr>
          <w:rFonts w:ascii="仿宋_GB2312" w:hAnsi="仿宋_GB2312" w:hint="eastAsia"/>
          <w:szCs w:val="40"/>
        </w:rPr>
        <w:t>为加快推进青岛市新能源公交车及动力电池更新工作，青岛市交通运输局（以下简称“市交通局”）根据《国务院关于印发〈推动大规模设备更新和消费品以旧换新行动方案〉的通知》（国发〔2024〕7号）、《国家发展改革委 财政部印发〈关于加力支持大规模设备更新和消费品以旧换新的若干措施〉的通知》（</w:t>
      </w:r>
      <w:proofErr w:type="gramStart"/>
      <w:r>
        <w:rPr>
          <w:rFonts w:ascii="仿宋_GB2312" w:hAnsi="仿宋_GB2312" w:hint="eastAsia"/>
          <w:szCs w:val="40"/>
        </w:rPr>
        <w:t>发改环</w:t>
      </w:r>
      <w:proofErr w:type="gramEnd"/>
      <w:r>
        <w:rPr>
          <w:rFonts w:ascii="仿宋_GB2312" w:hAnsi="仿宋_GB2312" w:hint="eastAsia"/>
          <w:szCs w:val="40"/>
        </w:rPr>
        <w:t>资〔2024〕1104号）、《交通运输部等十三部门关于印发〈交通运输大规模设备更新行动方案〉的通知》（</w:t>
      </w:r>
      <w:proofErr w:type="gramStart"/>
      <w:r>
        <w:rPr>
          <w:rFonts w:ascii="仿宋_GB2312" w:hAnsi="仿宋_GB2312" w:hint="eastAsia"/>
          <w:szCs w:val="40"/>
        </w:rPr>
        <w:t>交规划发</w:t>
      </w:r>
      <w:proofErr w:type="gramEnd"/>
      <w:r>
        <w:rPr>
          <w:rFonts w:ascii="仿宋_GB2312" w:hAnsi="仿宋_GB2312" w:hint="eastAsia"/>
          <w:szCs w:val="40"/>
        </w:rPr>
        <w:t>〔2024〕62号）、《交通运输部 财政部关</w:t>
      </w:r>
      <w:r>
        <w:rPr>
          <w:rFonts w:ascii="仿宋_GB2312" w:hAnsi="仿宋_GB2312" w:hint="eastAsia"/>
          <w:szCs w:val="40"/>
        </w:rPr>
        <w:lastRenderedPageBreak/>
        <w:t>于印发新能源城市公交车及动力电池更新补贴实施细则的通知》（交运函〔2024〕390号）有关要求，结合青岛市实际情况,制定了《青岛市新能源城市公交车及动力电池更新补贴实际细则》（青交城交〔2024〕10号）。</w:t>
      </w:r>
    </w:p>
    <w:p w:rsidR="00FB1D56" w:rsidRDefault="00FB1D56" w:rsidP="00FB1D56">
      <w:pPr>
        <w:ind w:firstLineChars="200" w:firstLine="640"/>
        <w:rPr>
          <w:rFonts w:ascii="仿宋_GB2312" w:hAnsi="仿宋_GB2312"/>
        </w:rPr>
      </w:pPr>
      <w:r>
        <w:rPr>
          <w:rFonts w:ascii="仿宋_GB2312" w:hAnsi="仿宋_GB2312" w:hint="eastAsia"/>
        </w:rPr>
        <w:t>2.政策主要内容</w:t>
      </w:r>
    </w:p>
    <w:p w:rsidR="00FB1D56" w:rsidRDefault="00FB1D56" w:rsidP="00FB1D56">
      <w:pPr>
        <w:ind w:firstLineChars="200" w:firstLine="640"/>
        <w:rPr>
          <w:rFonts w:ascii="仿宋_GB2312" w:hAnsi="仿宋_GB2312"/>
          <w:szCs w:val="40"/>
        </w:rPr>
      </w:pPr>
      <w:r>
        <w:rPr>
          <w:rFonts w:ascii="仿宋_GB2312" w:hAnsi="仿宋_GB2312"/>
          <w:szCs w:val="40"/>
        </w:rPr>
        <w:t>对更新新能源公交车及更换动力电池给予补贴，</w:t>
      </w:r>
      <w:r>
        <w:rPr>
          <w:rFonts w:ascii="仿宋_GB2312" w:hAnsi="仿宋_GB2312" w:hint="eastAsia"/>
          <w:szCs w:val="40"/>
        </w:rPr>
        <w:t>鼓励结合客流变化、城市公交行业发展等情况，合理选择更换的新能源城市公交车辆车长类型，</w:t>
      </w:r>
      <w:r>
        <w:rPr>
          <w:rFonts w:ascii="仿宋_GB2312" w:hAnsi="仿宋_GB2312"/>
          <w:szCs w:val="40"/>
        </w:rPr>
        <w:t>标准为每辆车平均</w:t>
      </w:r>
      <w:r>
        <w:rPr>
          <w:rFonts w:ascii="仿宋_GB2312" w:hAnsi="仿宋_GB2312" w:hint="eastAsia"/>
          <w:szCs w:val="40"/>
        </w:rPr>
        <w:t>补贴</w:t>
      </w:r>
      <w:r>
        <w:rPr>
          <w:rFonts w:ascii="仿宋_GB2312" w:hAnsi="仿宋_GB2312"/>
          <w:szCs w:val="40"/>
        </w:rPr>
        <w:t>6万元，其中更新新能源公交车每辆平均</w:t>
      </w:r>
      <w:r>
        <w:rPr>
          <w:rFonts w:ascii="仿宋_GB2312" w:hAnsi="仿宋_GB2312" w:hint="eastAsia"/>
          <w:szCs w:val="40"/>
        </w:rPr>
        <w:t>补贴</w:t>
      </w:r>
      <w:r>
        <w:rPr>
          <w:rFonts w:ascii="仿宋_GB2312" w:hAnsi="仿宋_GB2312"/>
          <w:szCs w:val="40"/>
        </w:rPr>
        <w:t>8万元，更换动力电池每辆补贴4.2万元。具体要求如下：</w:t>
      </w:r>
    </w:p>
    <w:p w:rsidR="00FB1D56" w:rsidRDefault="00FB1D56" w:rsidP="00FB1D56">
      <w:pPr>
        <w:ind w:firstLineChars="200" w:firstLine="640"/>
        <w:rPr>
          <w:rFonts w:ascii="仿宋_GB2312" w:hAnsi="仿宋_GB2312"/>
          <w:szCs w:val="40"/>
        </w:rPr>
      </w:pPr>
      <w:r>
        <w:rPr>
          <w:rFonts w:ascii="仿宋_GB2312" w:hAnsi="仿宋_GB2312"/>
          <w:szCs w:val="40"/>
        </w:rPr>
        <w:t>更新公交车：报废老旧公交车并购买纳入《享受车船税减免优惠的节约能源</w:t>
      </w:r>
      <w:r>
        <w:rPr>
          <w:rFonts w:ascii="仿宋_GB2312" w:hAnsi="仿宋_GB2312" w:hint="eastAsia"/>
          <w:szCs w:val="40"/>
        </w:rPr>
        <w:t xml:space="preserve"> </w:t>
      </w:r>
      <w:r>
        <w:rPr>
          <w:rFonts w:ascii="仿宋_GB2312" w:hAnsi="仿宋_GB2312"/>
          <w:szCs w:val="40"/>
        </w:rPr>
        <w:t>使用新能源汽车车型目录》《减免车辆购置税的新能源汽车车型目录》《新能源汽车推广应用推荐车型目录》</w:t>
      </w:r>
      <w:r>
        <w:rPr>
          <w:rFonts w:ascii="仿宋_GB2312" w:hAnsi="仿宋_GB2312" w:hint="eastAsia"/>
          <w:szCs w:val="40"/>
        </w:rPr>
        <w:t>之一</w:t>
      </w:r>
      <w:r>
        <w:rPr>
          <w:rFonts w:ascii="仿宋_GB2312" w:hAnsi="仿宋_GB2312"/>
          <w:szCs w:val="40"/>
        </w:rPr>
        <w:t>的新能源公交车；</w:t>
      </w:r>
    </w:p>
    <w:p w:rsidR="00FB1D56" w:rsidRDefault="00FB1D56" w:rsidP="00FB1D56">
      <w:pPr>
        <w:ind w:firstLineChars="200" w:firstLine="640"/>
        <w:rPr>
          <w:rFonts w:ascii="仿宋_GB2312" w:hAnsi="仿宋_GB2312"/>
          <w:szCs w:val="40"/>
        </w:rPr>
      </w:pPr>
      <w:r>
        <w:rPr>
          <w:rFonts w:ascii="仿宋_GB2312" w:hAnsi="仿宋_GB2312"/>
          <w:szCs w:val="40"/>
        </w:rPr>
        <w:t>更换动力电池：对老旧新能源公交车动力电池进行全套更换，要求新电池生产日期在2024年1月1日后，质保年限不低于5年，且</w:t>
      </w:r>
      <w:r>
        <w:rPr>
          <w:rFonts w:ascii="仿宋_GB2312" w:hAnsi="仿宋_GB2312" w:hint="eastAsia"/>
          <w:szCs w:val="40"/>
        </w:rPr>
        <w:t>满足</w:t>
      </w:r>
      <w:r>
        <w:rPr>
          <w:rFonts w:ascii="仿宋_GB2312" w:hAnsi="仿宋_GB2312"/>
          <w:szCs w:val="40"/>
        </w:rPr>
        <w:t>GB38031-2020《电动汽车用动力蓄电池安全要求》强制性国家标准</w:t>
      </w:r>
      <w:r>
        <w:rPr>
          <w:rFonts w:ascii="仿宋_GB2312" w:hAnsi="仿宋_GB2312" w:hint="eastAsia"/>
          <w:szCs w:val="40"/>
        </w:rPr>
        <w:t>要求，并符合</w:t>
      </w:r>
      <w:r>
        <w:rPr>
          <w:rFonts w:ascii="仿宋_GB2312" w:hAnsi="仿宋_GB2312"/>
          <w:szCs w:val="40"/>
        </w:rPr>
        <w:t>行业管理</w:t>
      </w:r>
      <w:r>
        <w:rPr>
          <w:rFonts w:ascii="仿宋_GB2312" w:hAnsi="仿宋_GB2312" w:hint="eastAsia"/>
          <w:szCs w:val="40"/>
        </w:rPr>
        <w:t>部门关于新能源城市公交车辆动力电池更换事项</w:t>
      </w:r>
      <w:r>
        <w:rPr>
          <w:rFonts w:ascii="仿宋_GB2312" w:hAnsi="仿宋_GB2312"/>
          <w:szCs w:val="40"/>
        </w:rPr>
        <w:t>公告要求</w:t>
      </w:r>
      <w:r>
        <w:rPr>
          <w:rFonts w:ascii="仿宋_GB2312" w:hAnsi="仿宋_GB2312" w:hint="eastAsia"/>
          <w:szCs w:val="40"/>
        </w:rPr>
        <w:t>。</w:t>
      </w:r>
    </w:p>
    <w:p w:rsidR="00FB1D56" w:rsidRDefault="00FB1D56" w:rsidP="00FB1D56">
      <w:pPr>
        <w:ind w:firstLineChars="200" w:firstLine="640"/>
        <w:rPr>
          <w:rFonts w:ascii="仿宋_GB2312" w:hAnsi="仿宋_GB2312"/>
          <w:szCs w:val="40"/>
        </w:rPr>
      </w:pPr>
      <w:r>
        <w:rPr>
          <w:rFonts w:ascii="仿宋_GB2312" w:hAnsi="仿宋_GB2312" w:hint="eastAsia"/>
          <w:szCs w:val="40"/>
        </w:rPr>
        <w:t>3.组织实施情况</w:t>
      </w:r>
    </w:p>
    <w:p w:rsidR="00FB1D56" w:rsidRDefault="00FB1D56" w:rsidP="00FB1D56">
      <w:pPr>
        <w:pStyle w:val="a4"/>
        <w:spacing w:line="600" w:lineRule="exact"/>
        <w:ind w:firstLine="640"/>
        <w:outlineLvl w:val="9"/>
        <w:rPr>
          <w:rFonts w:ascii="仿宋_GB2312" w:eastAsia="仿宋_GB2312" w:hAnsi="仿宋_GB2312"/>
        </w:rPr>
      </w:pPr>
      <w:r>
        <w:rPr>
          <w:rFonts w:ascii="仿宋_GB2312" w:eastAsia="仿宋_GB2312" w:hAnsi="仿宋_GB2312" w:hint="eastAsia"/>
        </w:rPr>
        <w:t>各类别补贴政策的组织实施，主要由市交通局作为主管部门，统筹协调本次新能源城市公交车及动力电池更新</w:t>
      </w:r>
      <w:r>
        <w:rPr>
          <w:rFonts w:ascii="仿宋_GB2312" w:hAnsi="仿宋_GB2312" w:hint="eastAsia"/>
          <w:szCs w:val="40"/>
        </w:rPr>
        <w:t>工作</w:t>
      </w:r>
      <w:r>
        <w:rPr>
          <w:rFonts w:ascii="仿宋_GB2312" w:eastAsia="仿宋_GB2312" w:hAnsi="仿宋_GB2312" w:hint="eastAsia"/>
        </w:rPr>
        <w:t>，流程主要包括补贴申报、资料审核、补贴资金发放三个阶段，</w:t>
      </w:r>
      <w:r>
        <w:rPr>
          <w:rFonts w:ascii="仿宋_GB2312" w:eastAsia="仿宋_GB2312" w:hAnsi="仿宋_GB2312" w:hint="eastAsia"/>
        </w:rPr>
        <w:lastRenderedPageBreak/>
        <w:t>具体情况如下：</w:t>
      </w:r>
    </w:p>
    <w:p w:rsidR="00FB1D56" w:rsidRDefault="00FB1D56" w:rsidP="00FB1D56">
      <w:pPr>
        <w:ind w:firstLineChars="200" w:firstLine="640"/>
      </w:pPr>
      <w:r>
        <w:rPr>
          <w:rFonts w:ascii="仿宋_GB2312" w:hAnsi="仿宋_GB2312" w:hint="eastAsia"/>
          <w:szCs w:val="40"/>
        </w:rPr>
        <w:t>（1）</w:t>
      </w:r>
      <w:r>
        <w:rPr>
          <w:rFonts w:hint="eastAsia"/>
        </w:rPr>
        <w:t>补贴申报</w:t>
      </w:r>
    </w:p>
    <w:p w:rsidR="00FB1D56" w:rsidRDefault="00FB1D56" w:rsidP="00FB1D56">
      <w:pPr>
        <w:pStyle w:val="1"/>
        <w:ind w:firstLine="640"/>
        <w:rPr>
          <w:rFonts w:ascii="仿宋_GB2312" w:eastAsia="仿宋_GB2312" w:hAnsi="仿宋_GB2312"/>
        </w:rPr>
      </w:pPr>
      <w:r>
        <w:rPr>
          <w:rFonts w:ascii="仿宋_GB2312" w:eastAsia="仿宋_GB2312" w:hAnsi="仿宋_GB2312" w:hint="eastAsia"/>
        </w:rPr>
        <w:t>对于更新新能源城市公交车，申请人应提供报废车辆的首次注册登记时间、车辆识别代号、《报废机动车回收证明》《机动车注销证明》，以及新购车辆的识别代号、车辆型号、《机动车销售统一发票》《机动车登记证书》等信息与佐证材料。</w:t>
      </w:r>
    </w:p>
    <w:p w:rsidR="00FB1D56" w:rsidRDefault="00FB1D56" w:rsidP="00FB1D56">
      <w:pPr>
        <w:pStyle w:val="1"/>
        <w:ind w:firstLine="640"/>
        <w:rPr>
          <w:rFonts w:ascii="仿宋_GB2312" w:eastAsia="仿宋_GB2312" w:hAnsi="仿宋_GB2312"/>
        </w:rPr>
      </w:pPr>
      <w:r>
        <w:rPr>
          <w:rFonts w:ascii="仿宋_GB2312" w:eastAsia="仿宋_GB2312" w:hAnsi="仿宋_GB2312" w:hint="eastAsia"/>
        </w:rPr>
        <w:t>对于更换动力电池，申请人应提供更换动力电池车辆的识别代号、旧动力电池</w:t>
      </w:r>
      <w:proofErr w:type="gramStart"/>
      <w:r>
        <w:rPr>
          <w:rFonts w:ascii="仿宋_GB2312" w:eastAsia="仿宋_GB2312" w:hAnsi="仿宋_GB2312" w:hint="eastAsia"/>
        </w:rPr>
        <w:t>包数量</w:t>
      </w:r>
      <w:proofErr w:type="gramEnd"/>
      <w:r>
        <w:rPr>
          <w:rFonts w:ascii="仿宋_GB2312" w:eastAsia="仿宋_GB2312" w:hAnsi="仿宋_GB2312" w:hint="eastAsia"/>
        </w:rPr>
        <w:t>及编码，更换后的动力电池</w:t>
      </w:r>
      <w:proofErr w:type="gramStart"/>
      <w:r>
        <w:rPr>
          <w:rFonts w:ascii="仿宋_GB2312" w:eastAsia="仿宋_GB2312" w:hAnsi="仿宋_GB2312" w:hint="eastAsia"/>
        </w:rPr>
        <w:t>包数量</w:t>
      </w:r>
      <w:proofErr w:type="gramEnd"/>
      <w:r>
        <w:rPr>
          <w:rFonts w:ascii="仿宋_GB2312" w:eastAsia="仿宋_GB2312" w:hAnsi="仿宋_GB2312" w:hint="eastAsia"/>
        </w:rPr>
        <w:t>及编码、生产日期等信息，以及动力电池更换合同(含动力电池安全合</w:t>
      </w:r>
      <w:proofErr w:type="gramStart"/>
      <w:r>
        <w:rPr>
          <w:rFonts w:ascii="仿宋_GB2312" w:eastAsia="仿宋_GB2312" w:hAnsi="仿宋_GB2312" w:hint="eastAsia"/>
        </w:rPr>
        <w:t>规</w:t>
      </w:r>
      <w:proofErr w:type="gramEnd"/>
      <w:r>
        <w:rPr>
          <w:rFonts w:ascii="仿宋_GB2312" w:eastAsia="仿宋_GB2312" w:hAnsi="仿宋_GB2312" w:hint="eastAsia"/>
        </w:rPr>
        <w:t>性要求)和验收证明等佐证材料。</w:t>
      </w:r>
    </w:p>
    <w:p w:rsidR="00FB1D56" w:rsidRDefault="00FB1D56" w:rsidP="00FB1D56">
      <w:pPr>
        <w:pStyle w:val="1"/>
        <w:ind w:firstLine="640"/>
        <w:rPr>
          <w:rFonts w:ascii="仿宋_GB2312" w:eastAsia="仿宋_GB2312" w:hAnsi="仿宋_GB2312"/>
        </w:rPr>
      </w:pPr>
      <w:r>
        <w:rPr>
          <w:rFonts w:ascii="仿宋_GB2312" w:eastAsia="仿宋_GB2312" w:hAnsi="仿宋_GB2312" w:hint="eastAsia"/>
        </w:rPr>
        <w:t>除《机动车注销证明》《机动车登记证书》截止至2025年1月15日外，其余材料须在2024年7月1日至12月31日内取得。</w:t>
      </w:r>
    </w:p>
    <w:p w:rsidR="00FB1D56" w:rsidRDefault="00FB1D56" w:rsidP="00FB1D56">
      <w:pPr>
        <w:ind w:firstLineChars="200" w:firstLine="640"/>
        <w:rPr>
          <w:rFonts w:ascii="Calibri" w:hAnsi="Calibri" w:cs="Calibri"/>
        </w:rPr>
      </w:pPr>
      <w:r>
        <w:rPr>
          <w:rFonts w:ascii="仿宋_GB2312" w:hAnsi="仿宋_GB2312" w:hint="eastAsia"/>
          <w:szCs w:val="40"/>
        </w:rPr>
        <w:t>（2）</w:t>
      </w:r>
      <w:r>
        <w:rPr>
          <w:rFonts w:ascii="Calibri" w:hAnsi="Calibri" w:cs="Calibri" w:hint="eastAsia"/>
        </w:rPr>
        <w:t>资料审核</w:t>
      </w:r>
    </w:p>
    <w:p w:rsidR="00FB1D56" w:rsidRDefault="00FB1D56" w:rsidP="00FB1D56">
      <w:pPr>
        <w:ind w:firstLineChars="200" w:firstLine="640"/>
        <w:rPr>
          <w:rFonts w:ascii="仿宋_GB2312" w:hAnsi="仿宋_GB2312"/>
        </w:rPr>
      </w:pPr>
      <w:r>
        <w:rPr>
          <w:rFonts w:ascii="仿宋_GB2312" w:hAnsi="仿宋_GB2312" w:hint="eastAsia"/>
        </w:rPr>
        <w:t>市级交通运输主管部门收到申报信息后，及时进行审核、反馈审核结果。材料完整合</w:t>
      </w:r>
      <w:proofErr w:type="gramStart"/>
      <w:r>
        <w:rPr>
          <w:rFonts w:ascii="仿宋_GB2312" w:hAnsi="仿宋_GB2312" w:hint="eastAsia"/>
        </w:rPr>
        <w:t>规</w:t>
      </w:r>
      <w:proofErr w:type="gramEnd"/>
      <w:r>
        <w:rPr>
          <w:rFonts w:ascii="仿宋_GB2312" w:hAnsi="仿宋_GB2312" w:hint="eastAsia"/>
        </w:rPr>
        <w:t>的，予以审核通过；信息不完整或不清晰无法辨识的，申请人按要求在2025年2月10日前补正有关信息。</w:t>
      </w:r>
    </w:p>
    <w:p w:rsidR="00FB1D56" w:rsidRDefault="00FB1D56" w:rsidP="00FB1D56">
      <w:pPr>
        <w:pStyle w:val="1"/>
        <w:ind w:firstLine="640"/>
        <w:rPr>
          <w:rFonts w:asciiTheme="minorHAnsi" w:eastAsia="仿宋_GB2312" w:hAnsiTheme="minorHAnsi"/>
        </w:rPr>
      </w:pPr>
      <w:r>
        <w:rPr>
          <w:rFonts w:ascii="仿宋_GB2312" w:eastAsia="仿宋_GB2312" w:hAnsi="仿宋_GB2312" w:hint="eastAsia"/>
          <w:szCs w:val="40"/>
        </w:rPr>
        <w:t>（3）</w:t>
      </w:r>
      <w:r>
        <w:rPr>
          <w:rFonts w:asciiTheme="minorHAnsi" w:eastAsia="仿宋_GB2312" w:hAnsiTheme="minorHAnsi" w:hint="eastAsia"/>
        </w:rPr>
        <w:t>补贴资金发放</w:t>
      </w:r>
    </w:p>
    <w:p w:rsidR="00FB1D56" w:rsidRDefault="00FB1D56" w:rsidP="00FB1D56">
      <w:pPr>
        <w:pStyle w:val="1"/>
        <w:ind w:firstLine="640"/>
        <w:rPr>
          <w:rFonts w:ascii="仿宋_GB2312" w:eastAsia="仿宋_GB2312" w:hAnsi="仿宋_GB2312"/>
        </w:rPr>
      </w:pPr>
      <w:r>
        <w:rPr>
          <w:rFonts w:asciiTheme="minorHAnsi" w:eastAsia="仿宋_GB2312" w:hAnsiTheme="minorHAnsi" w:hint="eastAsia"/>
        </w:rPr>
        <w:t>市级交通运输主管部门及时汇总符合补贴条件的公交车及动力电池更新信息，确定补贴金额，并向市级财政部门提出资金申请，经审核后按程序拨付补贴资金。</w:t>
      </w:r>
    </w:p>
    <w:p w:rsidR="00FB1D56" w:rsidRDefault="00FB1D56" w:rsidP="00FB1D56">
      <w:pPr>
        <w:ind w:firstLineChars="200" w:firstLine="640"/>
        <w:rPr>
          <w:rFonts w:ascii="仿宋_GB2312" w:hAnsi="仿宋_GB2312"/>
          <w:szCs w:val="40"/>
        </w:rPr>
      </w:pPr>
      <w:r>
        <w:rPr>
          <w:rFonts w:ascii="仿宋_GB2312" w:hAnsi="仿宋_GB2312" w:hint="eastAsia"/>
          <w:szCs w:val="40"/>
        </w:rPr>
        <w:lastRenderedPageBreak/>
        <w:t>4.资金投入及使用情况</w:t>
      </w:r>
    </w:p>
    <w:p w:rsidR="00FB1D56" w:rsidRDefault="00FB1D56" w:rsidP="00FB1D56">
      <w:pPr>
        <w:pStyle w:val="a4"/>
        <w:snapToGrid/>
        <w:spacing w:line="600" w:lineRule="exact"/>
        <w:ind w:firstLine="640"/>
        <w:outlineLvl w:val="9"/>
        <w:rPr>
          <w:rFonts w:ascii="仿宋_GB2312" w:eastAsia="仿宋_GB2312" w:hAnsi="仿宋_GB2312"/>
        </w:rPr>
      </w:pPr>
      <w:r>
        <w:rPr>
          <w:rFonts w:ascii="仿宋_GB2312" w:eastAsia="仿宋_GB2312" w:hAnsi="仿宋_GB2312" w:hint="eastAsia"/>
          <w:szCs w:val="40"/>
        </w:rPr>
        <w:t>2024年度政策预算安排</w:t>
      </w:r>
      <w:r>
        <w:rPr>
          <w:rFonts w:ascii="仿宋_GB2312" w:eastAsia="仿宋_GB2312" w:hAnsi="仿宋_GB2312" w:hint="eastAsia"/>
        </w:rPr>
        <w:t>9,471.00万元，其中中央负担8,051.00万元，地方配套1,420.00万元。</w:t>
      </w:r>
      <w:r>
        <w:rPr>
          <w:rFonts w:ascii="仿宋_GB2312" w:eastAsia="仿宋_GB2312" w:hAnsi="仿宋_GB2312" w:hint="eastAsia"/>
          <w:szCs w:val="40"/>
        </w:rPr>
        <w:t>实际支出金额</w:t>
      </w:r>
      <w:r>
        <w:rPr>
          <w:rFonts w:ascii="仿宋_GB2312" w:eastAsia="仿宋_GB2312" w:hAnsi="仿宋_GB2312" w:hint="eastAsia"/>
        </w:rPr>
        <w:t>9,</w:t>
      </w:r>
    </w:p>
    <w:p w:rsidR="00FB1D56" w:rsidRDefault="00FB1D56" w:rsidP="00FB1D56">
      <w:pPr>
        <w:pStyle w:val="a4"/>
        <w:snapToGrid/>
        <w:spacing w:line="600" w:lineRule="exact"/>
        <w:ind w:firstLineChars="0" w:firstLine="0"/>
        <w:outlineLvl w:val="9"/>
        <w:rPr>
          <w:rFonts w:ascii="仿宋_GB2312" w:eastAsia="仿宋_GB2312" w:hAnsi="仿宋_GB2312"/>
          <w:highlight w:val="cyan"/>
        </w:rPr>
      </w:pPr>
      <w:r>
        <w:rPr>
          <w:rFonts w:ascii="仿宋_GB2312" w:eastAsia="仿宋_GB2312" w:hAnsi="仿宋_GB2312" w:hint="eastAsia"/>
        </w:rPr>
        <w:t>471.00万元，</w:t>
      </w:r>
      <w:r>
        <w:rPr>
          <w:rFonts w:ascii="仿宋_GB2312" w:eastAsia="仿宋_GB2312" w:hAnsi="仿宋_GB2312" w:hint="eastAsia"/>
          <w:szCs w:val="40"/>
        </w:rPr>
        <w:t>各区市具体情况如下：</w:t>
      </w:r>
    </w:p>
    <w:p w:rsidR="00FB1D56" w:rsidRDefault="00FB1D56" w:rsidP="00FB1D56">
      <w:pPr>
        <w:ind w:firstLineChars="200" w:firstLine="640"/>
        <w:jc w:val="right"/>
        <w:rPr>
          <w:rFonts w:ascii="仿宋_GB2312" w:hAnsi="仿宋_GB2312"/>
          <w:szCs w:val="40"/>
        </w:rPr>
      </w:pPr>
      <w:bookmarkStart w:id="3" w:name="_Toc4468"/>
      <w:r>
        <w:rPr>
          <w:rFonts w:ascii="仿宋_GB2312" w:hAnsi="仿宋_GB2312" w:hint="eastAsia"/>
          <w:szCs w:val="40"/>
        </w:rPr>
        <w:t>单位：万元</w:t>
      </w:r>
    </w:p>
    <w:tbl>
      <w:tblPr>
        <w:tblW w:w="5000" w:type="pct"/>
        <w:tblLook w:val="04A0" w:firstRow="1" w:lastRow="0" w:firstColumn="1" w:lastColumn="0" w:noHBand="0" w:noVBand="1"/>
      </w:tblPr>
      <w:tblGrid>
        <w:gridCol w:w="1180"/>
        <w:gridCol w:w="1096"/>
        <w:gridCol w:w="1096"/>
        <w:gridCol w:w="986"/>
        <w:gridCol w:w="1096"/>
        <w:gridCol w:w="1096"/>
        <w:gridCol w:w="986"/>
        <w:gridCol w:w="986"/>
      </w:tblGrid>
      <w:tr w:rsidR="00FB1D56" w:rsidTr="00FC0A59">
        <w:trPr>
          <w:trHeight w:val="525"/>
        </w:trPr>
        <w:tc>
          <w:tcPr>
            <w:tcW w:w="862" w:type="pct"/>
            <w:tcBorders>
              <w:top w:val="single" w:sz="8" w:space="0" w:color="auto"/>
              <w:left w:val="single" w:sz="8" w:space="0" w:color="auto"/>
              <w:bottom w:val="single" w:sz="8" w:space="0" w:color="auto"/>
              <w:right w:val="single" w:sz="8" w:space="0" w:color="auto"/>
            </w:tcBorders>
            <w:shd w:val="clear" w:color="auto" w:fill="auto"/>
            <w:vAlign w:val="center"/>
          </w:tcPr>
          <w:p w:rsidR="00FB1D56" w:rsidRDefault="00FB1D56" w:rsidP="00FC0A59">
            <w:pPr>
              <w:widowControl/>
              <w:spacing w:line="240" w:lineRule="auto"/>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区域</w:t>
            </w:r>
          </w:p>
        </w:tc>
        <w:tc>
          <w:tcPr>
            <w:tcW w:w="633" w:type="pct"/>
            <w:tcBorders>
              <w:top w:val="single" w:sz="8" w:space="0" w:color="auto"/>
              <w:left w:val="nil"/>
              <w:bottom w:val="single" w:sz="8" w:space="0" w:color="auto"/>
              <w:right w:val="single" w:sz="8" w:space="0" w:color="auto"/>
            </w:tcBorders>
            <w:shd w:val="clear" w:color="auto" w:fill="auto"/>
            <w:vAlign w:val="center"/>
          </w:tcPr>
          <w:p w:rsidR="00FB1D56" w:rsidRDefault="00FB1D56" w:rsidP="00FC0A59">
            <w:pPr>
              <w:widowControl/>
              <w:spacing w:line="240" w:lineRule="auto"/>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中央负担预算金额</w:t>
            </w:r>
          </w:p>
        </w:tc>
        <w:tc>
          <w:tcPr>
            <w:tcW w:w="628" w:type="pct"/>
            <w:tcBorders>
              <w:top w:val="single" w:sz="8" w:space="0" w:color="auto"/>
              <w:left w:val="nil"/>
              <w:bottom w:val="single" w:sz="8" w:space="0" w:color="auto"/>
              <w:right w:val="single" w:sz="8" w:space="0" w:color="auto"/>
            </w:tcBorders>
            <w:shd w:val="clear" w:color="auto" w:fill="auto"/>
            <w:vAlign w:val="center"/>
          </w:tcPr>
          <w:p w:rsidR="00FB1D56" w:rsidRDefault="00FB1D56" w:rsidP="00FC0A59">
            <w:pPr>
              <w:widowControl/>
              <w:spacing w:line="240" w:lineRule="auto"/>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中央负担实际支付金额</w:t>
            </w:r>
          </w:p>
        </w:tc>
        <w:tc>
          <w:tcPr>
            <w:tcW w:w="640" w:type="pct"/>
            <w:tcBorders>
              <w:top w:val="single" w:sz="8" w:space="0" w:color="auto"/>
              <w:left w:val="nil"/>
              <w:bottom w:val="single" w:sz="8" w:space="0" w:color="auto"/>
              <w:right w:val="single" w:sz="8" w:space="0" w:color="auto"/>
            </w:tcBorders>
            <w:shd w:val="clear" w:color="auto" w:fill="auto"/>
            <w:vAlign w:val="center"/>
          </w:tcPr>
          <w:p w:rsidR="00FB1D56" w:rsidRDefault="00FB1D56" w:rsidP="00FC0A59">
            <w:pPr>
              <w:widowControl/>
              <w:spacing w:line="240" w:lineRule="auto"/>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中央负担预算执行率</w:t>
            </w:r>
          </w:p>
        </w:tc>
        <w:tc>
          <w:tcPr>
            <w:tcW w:w="502" w:type="pct"/>
            <w:tcBorders>
              <w:top w:val="single" w:sz="8" w:space="0" w:color="auto"/>
              <w:left w:val="nil"/>
              <w:bottom w:val="single" w:sz="8" w:space="0" w:color="auto"/>
              <w:right w:val="single" w:sz="8" w:space="0" w:color="auto"/>
            </w:tcBorders>
            <w:shd w:val="clear" w:color="auto" w:fill="auto"/>
            <w:vAlign w:val="center"/>
          </w:tcPr>
          <w:p w:rsidR="00FB1D56" w:rsidRDefault="00FB1D56" w:rsidP="00FC0A59">
            <w:pPr>
              <w:widowControl/>
              <w:spacing w:line="240" w:lineRule="auto"/>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地方配套资金预算金额</w:t>
            </w:r>
          </w:p>
        </w:tc>
        <w:tc>
          <w:tcPr>
            <w:tcW w:w="556" w:type="pct"/>
            <w:tcBorders>
              <w:top w:val="single" w:sz="8" w:space="0" w:color="auto"/>
              <w:left w:val="nil"/>
              <w:bottom w:val="single" w:sz="8" w:space="0" w:color="auto"/>
              <w:right w:val="single" w:sz="8" w:space="0" w:color="auto"/>
            </w:tcBorders>
            <w:shd w:val="clear" w:color="auto" w:fill="auto"/>
            <w:vAlign w:val="center"/>
          </w:tcPr>
          <w:p w:rsidR="00FB1D56" w:rsidRDefault="00FB1D56" w:rsidP="00FC0A59">
            <w:pPr>
              <w:widowControl/>
              <w:spacing w:line="240" w:lineRule="auto"/>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地方配套资金实际支付金额</w:t>
            </w:r>
          </w:p>
        </w:tc>
        <w:tc>
          <w:tcPr>
            <w:tcW w:w="610" w:type="pct"/>
            <w:tcBorders>
              <w:top w:val="single" w:sz="8" w:space="0" w:color="auto"/>
              <w:left w:val="nil"/>
              <w:bottom w:val="single" w:sz="8" w:space="0" w:color="auto"/>
              <w:right w:val="single" w:sz="8" w:space="0" w:color="auto"/>
            </w:tcBorders>
            <w:shd w:val="clear" w:color="auto" w:fill="auto"/>
            <w:vAlign w:val="center"/>
          </w:tcPr>
          <w:p w:rsidR="00FB1D56" w:rsidRDefault="00FB1D56" w:rsidP="00FC0A59">
            <w:pPr>
              <w:widowControl/>
              <w:spacing w:line="240" w:lineRule="auto"/>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地方配套资金预算执行率</w:t>
            </w:r>
          </w:p>
        </w:tc>
        <w:tc>
          <w:tcPr>
            <w:tcW w:w="565" w:type="pct"/>
            <w:tcBorders>
              <w:top w:val="single" w:sz="8" w:space="0" w:color="auto"/>
              <w:left w:val="nil"/>
              <w:bottom w:val="single" w:sz="8" w:space="0" w:color="auto"/>
              <w:right w:val="single" w:sz="8" w:space="0" w:color="auto"/>
            </w:tcBorders>
            <w:shd w:val="clear" w:color="auto" w:fill="auto"/>
            <w:vAlign w:val="center"/>
          </w:tcPr>
          <w:p w:rsidR="00FB1D56" w:rsidRDefault="00FB1D56" w:rsidP="00FC0A59">
            <w:pPr>
              <w:widowControl/>
              <w:spacing w:line="240" w:lineRule="auto"/>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合计预算执行率</w:t>
            </w:r>
          </w:p>
        </w:tc>
      </w:tr>
      <w:tr w:rsidR="00FB1D56" w:rsidTr="00FC0A59">
        <w:trPr>
          <w:trHeight w:val="315"/>
        </w:trPr>
        <w:tc>
          <w:tcPr>
            <w:tcW w:w="862" w:type="pct"/>
            <w:tcBorders>
              <w:top w:val="nil"/>
              <w:left w:val="single" w:sz="8" w:space="0" w:color="auto"/>
              <w:bottom w:val="single" w:sz="8" w:space="0" w:color="auto"/>
              <w:right w:val="single" w:sz="8" w:space="0" w:color="auto"/>
            </w:tcBorders>
            <w:shd w:val="clear" w:color="auto" w:fill="auto"/>
            <w:vAlign w:val="center"/>
          </w:tcPr>
          <w:p w:rsidR="00FB1D56" w:rsidRDefault="00FB1D56" w:rsidP="00FC0A59">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即墨区</w:t>
            </w:r>
          </w:p>
        </w:tc>
        <w:tc>
          <w:tcPr>
            <w:tcW w:w="633" w:type="pct"/>
            <w:tcBorders>
              <w:top w:val="nil"/>
              <w:left w:val="nil"/>
              <w:bottom w:val="single" w:sz="8" w:space="0" w:color="auto"/>
              <w:right w:val="single" w:sz="8" w:space="0" w:color="auto"/>
            </w:tcBorders>
            <w:shd w:val="clear" w:color="auto" w:fill="auto"/>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323.00</w:t>
            </w:r>
          </w:p>
        </w:tc>
        <w:tc>
          <w:tcPr>
            <w:tcW w:w="628"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323.00</w:t>
            </w:r>
          </w:p>
        </w:tc>
        <w:tc>
          <w:tcPr>
            <w:tcW w:w="64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02"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57.00</w:t>
            </w:r>
          </w:p>
        </w:tc>
        <w:tc>
          <w:tcPr>
            <w:tcW w:w="556"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57.00</w:t>
            </w:r>
          </w:p>
        </w:tc>
        <w:tc>
          <w:tcPr>
            <w:tcW w:w="61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65"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r>
      <w:tr w:rsidR="00FB1D56" w:rsidTr="00FC0A59">
        <w:trPr>
          <w:trHeight w:val="315"/>
        </w:trPr>
        <w:tc>
          <w:tcPr>
            <w:tcW w:w="862" w:type="pct"/>
            <w:tcBorders>
              <w:top w:val="nil"/>
              <w:left w:val="single" w:sz="8" w:space="0" w:color="auto"/>
              <w:bottom w:val="single" w:sz="8" w:space="0" w:color="auto"/>
              <w:right w:val="single" w:sz="8" w:space="0" w:color="auto"/>
            </w:tcBorders>
            <w:shd w:val="clear" w:color="auto" w:fill="auto"/>
            <w:vAlign w:val="center"/>
          </w:tcPr>
          <w:p w:rsidR="00FB1D56" w:rsidRDefault="00FB1D56" w:rsidP="00FC0A59">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胶州市</w:t>
            </w:r>
          </w:p>
        </w:tc>
        <w:tc>
          <w:tcPr>
            <w:tcW w:w="633" w:type="pct"/>
            <w:tcBorders>
              <w:top w:val="nil"/>
              <w:left w:val="nil"/>
              <w:bottom w:val="single" w:sz="8" w:space="0" w:color="auto"/>
              <w:right w:val="single" w:sz="8" w:space="0" w:color="auto"/>
            </w:tcBorders>
            <w:shd w:val="clear" w:color="auto" w:fill="auto"/>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190.00</w:t>
            </w:r>
          </w:p>
        </w:tc>
        <w:tc>
          <w:tcPr>
            <w:tcW w:w="628"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190.00</w:t>
            </w:r>
          </w:p>
        </w:tc>
        <w:tc>
          <w:tcPr>
            <w:tcW w:w="64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02"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33.00</w:t>
            </w:r>
          </w:p>
        </w:tc>
        <w:tc>
          <w:tcPr>
            <w:tcW w:w="556"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33.00</w:t>
            </w:r>
          </w:p>
        </w:tc>
        <w:tc>
          <w:tcPr>
            <w:tcW w:w="61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65"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r>
      <w:tr w:rsidR="00FB1D56" w:rsidTr="00FC0A59">
        <w:trPr>
          <w:trHeight w:val="315"/>
        </w:trPr>
        <w:tc>
          <w:tcPr>
            <w:tcW w:w="862" w:type="pct"/>
            <w:tcBorders>
              <w:top w:val="nil"/>
              <w:left w:val="single" w:sz="8" w:space="0" w:color="auto"/>
              <w:bottom w:val="single" w:sz="8" w:space="0" w:color="auto"/>
              <w:right w:val="single" w:sz="8" w:space="0" w:color="auto"/>
            </w:tcBorders>
            <w:shd w:val="clear" w:color="auto" w:fill="auto"/>
            <w:vAlign w:val="center"/>
          </w:tcPr>
          <w:p w:rsidR="00FB1D56" w:rsidRDefault="00FB1D56" w:rsidP="00FC0A59">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平度市</w:t>
            </w:r>
          </w:p>
        </w:tc>
        <w:tc>
          <w:tcPr>
            <w:tcW w:w="633" w:type="pct"/>
            <w:tcBorders>
              <w:top w:val="nil"/>
              <w:left w:val="nil"/>
              <w:bottom w:val="single" w:sz="8" w:space="0" w:color="auto"/>
              <w:right w:val="single" w:sz="8" w:space="0" w:color="auto"/>
            </w:tcBorders>
            <w:shd w:val="clear" w:color="auto" w:fill="auto"/>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562.00</w:t>
            </w:r>
          </w:p>
        </w:tc>
        <w:tc>
          <w:tcPr>
            <w:tcW w:w="628"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562.00</w:t>
            </w:r>
          </w:p>
        </w:tc>
        <w:tc>
          <w:tcPr>
            <w:tcW w:w="64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02"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98.00</w:t>
            </w:r>
          </w:p>
        </w:tc>
        <w:tc>
          <w:tcPr>
            <w:tcW w:w="556"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98.00</w:t>
            </w:r>
          </w:p>
        </w:tc>
        <w:tc>
          <w:tcPr>
            <w:tcW w:w="61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65"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r>
      <w:tr w:rsidR="00FB1D56" w:rsidTr="00FC0A59">
        <w:trPr>
          <w:trHeight w:val="555"/>
        </w:trPr>
        <w:tc>
          <w:tcPr>
            <w:tcW w:w="862" w:type="pct"/>
            <w:tcBorders>
              <w:top w:val="nil"/>
              <w:left w:val="single" w:sz="8" w:space="0" w:color="auto"/>
              <w:bottom w:val="single" w:sz="8" w:space="0" w:color="auto"/>
              <w:right w:val="single" w:sz="8" w:space="0" w:color="auto"/>
            </w:tcBorders>
            <w:shd w:val="clear" w:color="auto" w:fill="auto"/>
            <w:vAlign w:val="center"/>
          </w:tcPr>
          <w:p w:rsidR="00FB1D56" w:rsidRDefault="00FB1D56" w:rsidP="00FC0A59">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西海岸新区</w:t>
            </w:r>
          </w:p>
        </w:tc>
        <w:tc>
          <w:tcPr>
            <w:tcW w:w="633" w:type="pct"/>
            <w:tcBorders>
              <w:top w:val="nil"/>
              <w:left w:val="nil"/>
              <w:bottom w:val="single" w:sz="8" w:space="0" w:color="auto"/>
              <w:right w:val="single" w:sz="8" w:space="0" w:color="auto"/>
            </w:tcBorders>
            <w:shd w:val="clear" w:color="auto" w:fill="auto"/>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1,860.00</w:t>
            </w:r>
          </w:p>
        </w:tc>
        <w:tc>
          <w:tcPr>
            <w:tcW w:w="628"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1,860.00</w:t>
            </w:r>
          </w:p>
        </w:tc>
        <w:tc>
          <w:tcPr>
            <w:tcW w:w="64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02"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328.00</w:t>
            </w:r>
          </w:p>
        </w:tc>
        <w:tc>
          <w:tcPr>
            <w:tcW w:w="556"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328.00</w:t>
            </w:r>
          </w:p>
        </w:tc>
        <w:tc>
          <w:tcPr>
            <w:tcW w:w="61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65"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r>
      <w:tr w:rsidR="00FB1D56" w:rsidTr="00FC0A59">
        <w:trPr>
          <w:trHeight w:val="315"/>
        </w:trPr>
        <w:tc>
          <w:tcPr>
            <w:tcW w:w="862" w:type="pct"/>
            <w:tcBorders>
              <w:top w:val="nil"/>
              <w:left w:val="single" w:sz="8" w:space="0" w:color="auto"/>
              <w:bottom w:val="single" w:sz="8" w:space="0" w:color="auto"/>
              <w:right w:val="single" w:sz="8" w:space="0" w:color="auto"/>
            </w:tcBorders>
            <w:shd w:val="clear" w:color="auto" w:fill="auto"/>
            <w:vAlign w:val="center"/>
          </w:tcPr>
          <w:p w:rsidR="00FB1D56" w:rsidRDefault="00FB1D56" w:rsidP="00FC0A59">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主城区</w:t>
            </w:r>
          </w:p>
        </w:tc>
        <w:tc>
          <w:tcPr>
            <w:tcW w:w="633" w:type="pct"/>
            <w:tcBorders>
              <w:top w:val="nil"/>
              <w:left w:val="nil"/>
              <w:bottom w:val="single" w:sz="8" w:space="0" w:color="auto"/>
              <w:right w:val="single" w:sz="8" w:space="0" w:color="auto"/>
            </w:tcBorders>
            <w:shd w:val="clear" w:color="auto" w:fill="auto"/>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5,116.00</w:t>
            </w:r>
          </w:p>
        </w:tc>
        <w:tc>
          <w:tcPr>
            <w:tcW w:w="628"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5,116.00</w:t>
            </w:r>
          </w:p>
        </w:tc>
        <w:tc>
          <w:tcPr>
            <w:tcW w:w="64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02"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904.00</w:t>
            </w:r>
          </w:p>
        </w:tc>
        <w:tc>
          <w:tcPr>
            <w:tcW w:w="556"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904.00</w:t>
            </w:r>
          </w:p>
        </w:tc>
        <w:tc>
          <w:tcPr>
            <w:tcW w:w="61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65"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r>
      <w:tr w:rsidR="00FB1D56" w:rsidTr="00FC0A59">
        <w:trPr>
          <w:trHeight w:val="315"/>
        </w:trPr>
        <w:tc>
          <w:tcPr>
            <w:tcW w:w="862" w:type="pct"/>
            <w:tcBorders>
              <w:top w:val="nil"/>
              <w:left w:val="single" w:sz="8" w:space="0" w:color="auto"/>
              <w:bottom w:val="single" w:sz="8" w:space="0" w:color="auto"/>
              <w:right w:val="single" w:sz="8" w:space="0" w:color="auto"/>
            </w:tcBorders>
            <w:shd w:val="clear" w:color="auto" w:fill="auto"/>
            <w:vAlign w:val="center"/>
          </w:tcPr>
          <w:p w:rsidR="00FB1D56" w:rsidRDefault="00FB1D56" w:rsidP="00FC0A59">
            <w:pPr>
              <w:widowControl/>
              <w:jc w:val="center"/>
              <w:rPr>
                <w:rFonts w:ascii="仿宋_GB2312" w:hAnsi="宋体" w:cs="宋体"/>
                <w:color w:val="000000"/>
                <w:kern w:val="0"/>
                <w:sz w:val="22"/>
                <w:szCs w:val="22"/>
              </w:rPr>
            </w:pPr>
            <w:r>
              <w:rPr>
                <w:rFonts w:ascii="仿宋_GB2312" w:hAnsi="宋体" w:cs="宋体" w:hint="eastAsia"/>
                <w:color w:val="000000"/>
                <w:kern w:val="0"/>
                <w:sz w:val="22"/>
                <w:szCs w:val="22"/>
              </w:rPr>
              <w:t>合计</w:t>
            </w:r>
          </w:p>
        </w:tc>
        <w:tc>
          <w:tcPr>
            <w:tcW w:w="633" w:type="pct"/>
            <w:tcBorders>
              <w:top w:val="nil"/>
              <w:left w:val="nil"/>
              <w:bottom w:val="single" w:sz="8" w:space="0" w:color="auto"/>
              <w:right w:val="single" w:sz="8" w:space="0" w:color="auto"/>
            </w:tcBorders>
            <w:shd w:val="clear" w:color="auto" w:fill="auto"/>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fldChar w:fldCharType="begin"/>
            </w:r>
            <w:r>
              <w:rPr>
                <w:rFonts w:ascii="仿宋_GB2312" w:hAnsi="Times New Roman" w:cs="Times New Roman" w:hint="eastAsia"/>
                <w:color w:val="000000"/>
                <w:kern w:val="0"/>
                <w:sz w:val="22"/>
                <w:szCs w:val="22"/>
              </w:rPr>
              <w:instrText xml:space="preserve"> = sum(B2:B6) \* MERGEFORMAT </w:instrText>
            </w:r>
            <w:r>
              <w:rPr>
                <w:rFonts w:ascii="仿宋_GB2312" w:hAnsi="Times New Roman" w:cs="Times New Roman" w:hint="eastAsia"/>
                <w:color w:val="000000"/>
                <w:kern w:val="0"/>
                <w:sz w:val="22"/>
                <w:szCs w:val="22"/>
              </w:rPr>
              <w:fldChar w:fldCharType="separate"/>
            </w:r>
            <w:r>
              <w:rPr>
                <w:rFonts w:ascii="仿宋_GB2312" w:hAnsi="Times New Roman" w:cs="Times New Roman" w:hint="eastAsia"/>
                <w:color w:val="000000"/>
                <w:kern w:val="0"/>
                <w:sz w:val="22"/>
                <w:szCs w:val="22"/>
              </w:rPr>
              <w:t>8,051</w:t>
            </w:r>
            <w:r>
              <w:rPr>
                <w:rFonts w:ascii="仿宋_GB2312" w:hAnsi="Times New Roman" w:cs="Times New Roman" w:hint="eastAsia"/>
                <w:color w:val="000000"/>
                <w:kern w:val="0"/>
                <w:sz w:val="22"/>
                <w:szCs w:val="22"/>
              </w:rPr>
              <w:fldChar w:fldCharType="end"/>
            </w:r>
            <w:r>
              <w:rPr>
                <w:rFonts w:ascii="仿宋_GB2312" w:hAnsi="Times New Roman" w:cs="Times New Roman" w:hint="eastAsia"/>
                <w:color w:val="000000"/>
                <w:kern w:val="0"/>
                <w:sz w:val="22"/>
                <w:szCs w:val="22"/>
              </w:rPr>
              <w:t>.00</w:t>
            </w:r>
          </w:p>
        </w:tc>
        <w:tc>
          <w:tcPr>
            <w:tcW w:w="628"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fldChar w:fldCharType="begin"/>
            </w:r>
            <w:r>
              <w:rPr>
                <w:rFonts w:ascii="仿宋_GB2312" w:hAnsi="Times New Roman" w:cs="Times New Roman" w:hint="eastAsia"/>
                <w:color w:val="000000"/>
                <w:kern w:val="0"/>
                <w:sz w:val="22"/>
                <w:szCs w:val="22"/>
              </w:rPr>
              <w:instrText xml:space="preserve"> = sum(C2:C6) \* MERGEFORMAT </w:instrText>
            </w:r>
            <w:r>
              <w:rPr>
                <w:rFonts w:ascii="仿宋_GB2312" w:hAnsi="Times New Roman" w:cs="Times New Roman" w:hint="eastAsia"/>
                <w:color w:val="000000"/>
                <w:kern w:val="0"/>
                <w:sz w:val="22"/>
                <w:szCs w:val="22"/>
              </w:rPr>
              <w:fldChar w:fldCharType="separate"/>
            </w:r>
            <w:r>
              <w:rPr>
                <w:rFonts w:ascii="仿宋_GB2312" w:hAnsi="Times New Roman" w:cs="Times New Roman" w:hint="eastAsia"/>
                <w:color w:val="000000"/>
                <w:kern w:val="0"/>
                <w:sz w:val="22"/>
                <w:szCs w:val="22"/>
              </w:rPr>
              <w:t>8,051</w:t>
            </w:r>
            <w:r>
              <w:rPr>
                <w:rFonts w:ascii="仿宋_GB2312" w:hAnsi="Times New Roman" w:cs="Times New Roman" w:hint="eastAsia"/>
                <w:color w:val="000000"/>
                <w:kern w:val="0"/>
                <w:sz w:val="22"/>
                <w:szCs w:val="22"/>
              </w:rPr>
              <w:fldChar w:fldCharType="end"/>
            </w:r>
            <w:r>
              <w:rPr>
                <w:rFonts w:ascii="仿宋_GB2312" w:hAnsi="Times New Roman" w:cs="Times New Roman" w:hint="eastAsia"/>
                <w:color w:val="000000"/>
                <w:kern w:val="0"/>
                <w:sz w:val="22"/>
                <w:szCs w:val="22"/>
              </w:rPr>
              <w:t>.00</w:t>
            </w:r>
          </w:p>
        </w:tc>
        <w:tc>
          <w:tcPr>
            <w:tcW w:w="64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02"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fldChar w:fldCharType="begin"/>
            </w:r>
            <w:r>
              <w:rPr>
                <w:rFonts w:ascii="仿宋_GB2312" w:hAnsi="Times New Roman" w:cs="Times New Roman" w:hint="eastAsia"/>
                <w:color w:val="000000"/>
                <w:kern w:val="0"/>
                <w:sz w:val="22"/>
                <w:szCs w:val="22"/>
              </w:rPr>
              <w:instrText xml:space="preserve"> = sum(E2:E6) \* MERGEFORMAT </w:instrText>
            </w:r>
            <w:r>
              <w:rPr>
                <w:rFonts w:ascii="仿宋_GB2312" w:hAnsi="Times New Roman" w:cs="Times New Roman" w:hint="eastAsia"/>
                <w:color w:val="000000"/>
                <w:kern w:val="0"/>
                <w:sz w:val="22"/>
                <w:szCs w:val="22"/>
              </w:rPr>
              <w:fldChar w:fldCharType="separate"/>
            </w:r>
            <w:r>
              <w:rPr>
                <w:rFonts w:ascii="仿宋_GB2312" w:hAnsi="Times New Roman" w:cs="Times New Roman" w:hint="eastAsia"/>
                <w:color w:val="000000"/>
                <w:kern w:val="0"/>
                <w:sz w:val="22"/>
                <w:szCs w:val="22"/>
              </w:rPr>
              <w:t>1,42</w:t>
            </w:r>
            <w:r>
              <w:rPr>
                <w:rFonts w:ascii="仿宋_GB2312" w:hAnsi="Times New Roman" w:cs="Times New Roman" w:hint="eastAsia"/>
                <w:color w:val="000000"/>
                <w:kern w:val="0"/>
                <w:sz w:val="22"/>
                <w:szCs w:val="22"/>
              </w:rPr>
              <w:fldChar w:fldCharType="end"/>
            </w:r>
            <w:r>
              <w:rPr>
                <w:rFonts w:ascii="仿宋_GB2312" w:hAnsi="Times New Roman" w:cs="Times New Roman" w:hint="eastAsia"/>
                <w:color w:val="000000"/>
                <w:kern w:val="0"/>
                <w:sz w:val="22"/>
                <w:szCs w:val="22"/>
              </w:rPr>
              <w:t>0.00</w:t>
            </w:r>
          </w:p>
        </w:tc>
        <w:tc>
          <w:tcPr>
            <w:tcW w:w="556"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fldChar w:fldCharType="begin"/>
            </w:r>
            <w:r>
              <w:rPr>
                <w:rFonts w:ascii="仿宋_GB2312" w:hAnsi="Times New Roman" w:cs="Times New Roman" w:hint="eastAsia"/>
                <w:color w:val="000000"/>
                <w:kern w:val="0"/>
                <w:sz w:val="22"/>
                <w:szCs w:val="22"/>
              </w:rPr>
              <w:instrText xml:space="preserve"> = sum(F2:F6) \* MERGEFORMAT </w:instrText>
            </w:r>
            <w:r>
              <w:rPr>
                <w:rFonts w:ascii="仿宋_GB2312" w:hAnsi="Times New Roman" w:cs="Times New Roman" w:hint="eastAsia"/>
                <w:color w:val="000000"/>
                <w:kern w:val="0"/>
                <w:sz w:val="22"/>
                <w:szCs w:val="22"/>
              </w:rPr>
              <w:fldChar w:fldCharType="separate"/>
            </w:r>
            <w:r>
              <w:rPr>
                <w:rFonts w:ascii="仿宋_GB2312" w:hAnsi="Times New Roman" w:cs="Times New Roman" w:hint="eastAsia"/>
                <w:color w:val="000000"/>
                <w:kern w:val="0"/>
                <w:sz w:val="22"/>
                <w:szCs w:val="22"/>
              </w:rPr>
              <w:t>1,420</w:t>
            </w:r>
            <w:r>
              <w:rPr>
                <w:rFonts w:ascii="仿宋_GB2312" w:hAnsi="Times New Roman" w:cs="Times New Roman" w:hint="eastAsia"/>
                <w:color w:val="000000"/>
                <w:kern w:val="0"/>
                <w:sz w:val="22"/>
                <w:szCs w:val="22"/>
              </w:rPr>
              <w:fldChar w:fldCharType="end"/>
            </w:r>
            <w:r>
              <w:rPr>
                <w:rFonts w:ascii="仿宋_GB2312" w:hAnsi="Times New Roman" w:cs="Times New Roman" w:hint="eastAsia"/>
                <w:color w:val="000000"/>
                <w:kern w:val="0"/>
                <w:sz w:val="22"/>
                <w:szCs w:val="22"/>
              </w:rPr>
              <w:t>.00</w:t>
            </w:r>
          </w:p>
        </w:tc>
        <w:tc>
          <w:tcPr>
            <w:tcW w:w="610"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c>
          <w:tcPr>
            <w:tcW w:w="565" w:type="pct"/>
            <w:tcBorders>
              <w:top w:val="nil"/>
              <w:left w:val="nil"/>
              <w:bottom w:val="single" w:sz="8" w:space="0" w:color="auto"/>
              <w:right w:val="single" w:sz="8" w:space="0" w:color="auto"/>
            </w:tcBorders>
            <w:shd w:val="clear" w:color="auto" w:fill="auto"/>
            <w:noWrap/>
            <w:vAlign w:val="center"/>
          </w:tcPr>
          <w:p w:rsidR="00FB1D56" w:rsidRDefault="00FB1D56" w:rsidP="00FC0A59">
            <w:pPr>
              <w:widowControl/>
              <w:jc w:val="right"/>
              <w:rPr>
                <w:rFonts w:ascii="仿宋_GB2312" w:hAnsi="Times New Roman" w:cs="Times New Roman"/>
                <w:color w:val="000000"/>
                <w:kern w:val="0"/>
                <w:sz w:val="22"/>
                <w:szCs w:val="22"/>
              </w:rPr>
            </w:pPr>
            <w:r>
              <w:rPr>
                <w:rFonts w:ascii="仿宋_GB2312" w:hAnsi="Times New Roman" w:cs="Times New Roman" w:hint="eastAsia"/>
                <w:color w:val="000000"/>
                <w:kern w:val="0"/>
                <w:sz w:val="22"/>
                <w:szCs w:val="22"/>
              </w:rPr>
              <w:t>100.00%</w:t>
            </w:r>
          </w:p>
        </w:tc>
      </w:tr>
    </w:tbl>
    <w:p w:rsidR="00FB1D56" w:rsidRDefault="00FB1D56" w:rsidP="00FB1D56">
      <w:pPr>
        <w:numPr>
          <w:ilvl w:val="0"/>
          <w:numId w:val="1"/>
        </w:numPr>
        <w:ind w:firstLineChars="200" w:firstLine="640"/>
        <w:outlineLvl w:val="1"/>
        <w:rPr>
          <w:rFonts w:ascii="楷体_GB2312" w:eastAsia="楷体_GB2312" w:hAnsi="楷体_GB2312" w:cs="楷体_GB2312"/>
          <w:szCs w:val="40"/>
        </w:rPr>
      </w:pPr>
      <w:r>
        <w:rPr>
          <w:rFonts w:ascii="楷体_GB2312" w:eastAsia="楷体_GB2312" w:hAnsi="楷体_GB2312" w:cs="楷体_GB2312" w:hint="eastAsia"/>
          <w:szCs w:val="40"/>
        </w:rPr>
        <w:t>政策绩效目标</w:t>
      </w:r>
      <w:bookmarkEnd w:id="3"/>
    </w:p>
    <w:p w:rsidR="00FB1D56" w:rsidRDefault="00FB1D56" w:rsidP="00FB1D56">
      <w:pPr>
        <w:ind w:firstLineChars="200" w:firstLine="640"/>
      </w:pPr>
      <w:r>
        <w:rPr>
          <w:rFonts w:ascii="仿宋_GB2312" w:hAnsi="仿宋_GB2312" w:hint="eastAsia"/>
          <w:szCs w:val="40"/>
        </w:rPr>
        <w:t>1</w:t>
      </w:r>
      <w:r>
        <w:rPr>
          <w:rFonts w:ascii="仿宋_GB2312" w:hAnsi="仿宋_GB2312"/>
          <w:szCs w:val="40"/>
        </w:rPr>
        <w:t>.</w:t>
      </w:r>
      <w:r>
        <w:rPr>
          <w:rFonts w:ascii="仿宋_GB2312" w:hAnsi="仿宋_GB2312" w:hint="eastAsia"/>
          <w:szCs w:val="40"/>
        </w:rPr>
        <w:t>绩效目标</w:t>
      </w:r>
    </w:p>
    <w:p w:rsidR="00FB1D56" w:rsidRDefault="00FB1D56" w:rsidP="00FB1D56">
      <w:pPr>
        <w:ind w:firstLineChars="200" w:firstLine="640"/>
        <w:rPr>
          <w:rFonts w:ascii="仿宋_GB2312" w:hAnsi="仿宋_GB2312"/>
          <w:szCs w:val="40"/>
        </w:rPr>
      </w:pPr>
      <w:bookmarkStart w:id="4" w:name="_Toc24641"/>
      <w:r>
        <w:rPr>
          <w:rFonts w:ascii="仿宋_GB2312" w:hAnsi="仿宋_GB2312" w:hint="eastAsia"/>
          <w:szCs w:val="40"/>
        </w:rPr>
        <w:t>（1）通过2024年底完成新能源公交车挂牌及动力电池验收，进一步提升我市公共交通领域新能源车辆比例。</w:t>
      </w:r>
    </w:p>
    <w:p w:rsidR="00FB1D56" w:rsidRDefault="00FB1D56" w:rsidP="00FB1D56">
      <w:pPr>
        <w:ind w:firstLineChars="200" w:firstLine="640"/>
        <w:rPr>
          <w:rFonts w:ascii="仿宋_GB2312" w:hAnsi="仿宋_GB2312"/>
          <w:szCs w:val="40"/>
        </w:rPr>
      </w:pPr>
      <w:r>
        <w:rPr>
          <w:rFonts w:ascii="仿宋_GB2312" w:hAnsi="仿宋_GB2312" w:hint="eastAsia"/>
          <w:szCs w:val="40"/>
        </w:rPr>
        <w:t>（2）通过完成2024年新能源公交车及动力电池更新项目补贴资金支付，提升项目预算资金执行率。</w:t>
      </w:r>
    </w:p>
    <w:p w:rsidR="00FB1D56" w:rsidRDefault="00FB1D56" w:rsidP="00FB1D56">
      <w:pPr>
        <w:ind w:firstLineChars="200" w:firstLine="640"/>
      </w:pPr>
      <w:r>
        <w:rPr>
          <w:rFonts w:ascii="仿宋_GB2312" w:hAnsi="仿宋_GB2312" w:hint="eastAsia"/>
          <w:szCs w:val="40"/>
        </w:rPr>
        <w:t>2</w:t>
      </w:r>
      <w:r>
        <w:rPr>
          <w:rFonts w:ascii="仿宋_GB2312" w:hAnsi="仿宋_GB2312"/>
          <w:szCs w:val="40"/>
        </w:rPr>
        <w:t>.</w:t>
      </w:r>
      <w:r>
        <w:rPr>
          <w:rFonts w:ascii="仿宋_GB2312" w:hAnsi="仿宋_GB2312" w:hint="eastAsia"/>
          <w:szCs w:val="40"/>
        </w:rPr>
        <w:t>主要指标</w:t>
      </w:r>
    </w:p>
    <w:p w:rsidR="00FB1D56" w:rsidRDefault="00FB1D56" w:rsidP="00FB1D56">
      <w:pPr>
        <w:ind w:firstLineChars="200" w:firstLine="640"/>
        <w:rPr>
          <w:rFonts w:ascii="仿宋_GB2312" w:hAnsi="仿宋_GB2312"/>
          <w:szCs w:val="40"/>
        </w:rPr>
      </w:pPr>
      <w:r>
        <w:rPr>
          <w:rFonts w:ascii="仿宋_GB2312" w:hAnsi="仿宋_GB2312" w:hint="eastAsia"/>
          <w:szCs w:val="40"/>
        </w:rPr>
        <w:t>根据关于印发《青岛市新能源城市公交车及动力电池更</w:t>
      </w:r>
      <w:r>
        <w:rPr>
          <w:rFonts w:ascii="仿宋_GB2312" w:hAnsi="仿宋_GB2312" w:hint="eastAsia"/>
          <w:szCs w:val="40"/>
        </w:rPr>
        <w:lastRenderedPageBreak/>
        <w:t>新补贴实施细则》的通知（青交城交〔2024〕10号），市交通局设置了如下主要指标：</w:t>
      </w:r>
    </w:p>
    <w:p w:rsidR="00FB1D56" w:rsidRDefault="00FB1D56" w:rsidP="00FB1D56">
      <w:pPr>
        <w:ind w:firstLineChars="200" w:firstLine="640"/>
        <w:rPr>
          <w:rFonts w:ascii="仿宋_GB2312" w:hAnsi="仿宋_GB2312"/>
          <w:szCs w:val="40"/>
        </w:rPr>
      </w:pPr>
      <w:r>
        <w:rPr>
          <w:rFonts w:ascii="仿宋_GB2312" w:hAnsi="仿宋_GB2312" w:hint="eastAsia"/>
          <w:szCs w:val="40"/>
        </w:rPr>
        <w:t>产出类：2024年计划更新新能源公交车数量≥537辆；2024年计划更新动力电池数量≥1232套；更新车辆注册登记率100%；补贴资金支出合</w:t>
      </w:r>
      <w:proofErr w:type="gramStart"/>
      <w:r>
        <w:rPr>
          <w:rFonts w:ascii="仿宋_GB2312" w:hAnsi="仿宋_GB2312" w:hint="eastAsia"/>
          <w:szCs w:val="40"/>
        </w:rPr>
        <w:t>规</w:t>
      </w:r>
      <w:proofErr w:type="gramEnd"/>
      <w:r>
        <w:rPr>
          <w:rFonts w:ascii="仿宋_GB2312" w:hAnsi="仿宋_GB2312" w:hint="eastAsia"/>
          <w:szCs w:val="40"/>
        </w:rPr>
        <w:t>率100%；补贴资金支付及时率100%。</w:t>
      </w:r>
    </w:p>
    <w:p w:rsidR="00FB1D56" w:rsidRDefault="00FB1D56" w:rsidP="00FB1D56">
      <w:pPr>
        <w:ind w:firstLineChars="200" w:firstLine="640"/>
        <w:rPr>
          <w:rFonts w:ascii="仿宋_GB2312" w:hAnsi="仿宋_GB2312"/>
          <w:szCs w:val="40"/>
        </w:rPr>
      </w:pPr>
      <w:r>
        <w:rPr>
          <w:rFonts w:ascii="仿宋_GB2312" w:hAnsi="仿宋_GB2312" w:hint="eastAsia"/>
          <w:szCs w:val="40"/>
        </w:rPr>
        <w:t>效益类：8.5米级公交车更新购置单价≤95万元；7米级公交车更新购置单价≤75万元；全市绿色公交车比例≥97%；</w:t>
      </w:r>
    </w:p>
    <w:p w:rsidR="00FB1D56" w:rsidRDefault="00FB1D56" w:rsidP="00FB1D56">
      <w:pPr>
        <w:ind w:firstLineChars="200" w:firstLine="640"/>
        <w:rPr>
          <w:rFonts w:ascii="仿宋_GB2312" w:hAnsi="仿宋_GB2312"/>
          <w:szCs w:val="40"/>
        </w:rPr>
      </w:pPr>
      <w:r>
        <w:rPr>
          <w:rFonts w:ascii="仿宋_GB2312" w:hAnsi="仿宋_GB2312" w:hint="eastAsia"/>
          <w:szCs w:val="40"/>
        </w:rPr>
        <w:t>满意度：市民对公共交通服务的满意度≥90%。</w:t>
      </w:r>
    </w:p>
    <w:p w:rsidR="00FB1D56" w:rsidRDefault="00FB1D56" w:rsidP="00FB1D56">
      <w:pPr>
        <w:ind w:firstLineChars="200" w:firstLine="640"/>
        <w:outlineLvl w:val="0"/>
        <w:rPr>
          <w:rFonts w:ascii="黑体" w:eastAsia="黑体" w:hAnsi="黑体" w:cs="黑体"/>
          <w:szCs w:val="40"/>
        </w:rPr>
      </w:pPr>
      <w:r>
        <w:rPr>
          <w:rFonts w:ascii="黑体" w:eastAsia="黑体" w:hAnsi="黑体" w:cs="黑体" w:hint="eastAsia"/>
          <w:szCs w:val="40"/>
        </w:rPr>
        <w:t>二、绩效评价工作开展情况</w:t>
      </w:r>
      <w:bookmarkEnd w:id="4"/>
    </w:p>
    <w:p w:rsidR="00FB1D56" w:rsidRDefault="00FB1D56" w:rsidP="00FB1D56">
      <w:pPr>
        <w:ind w:firstLineChars="200" w:firstLine="640"/>
        <w:outlineLvl w:val="1"/>
        <w:rPr>
          <w:rFonts w:ascii="楷体_GB2312" w:eastAsia="楷体_GB2312" w:hAnsi="楷体_GB2312" w:cs="楷体_GB2312"/>
          <w:szCs w:val="40"/>
        </w:rPr>
      </w:pPr>
      <w:bookmarkStart w:id="5" w:name="_Toc32355"/>
      <w:r>
        <w:rPr>
          <w:rFonts w:ascii="楷体_GB2312" w:eastAsia="楷体_GB2312" w:hAnsi="楷体_GB2312" w:cs="楷体_GB2312" w:hint="eastAsia"/>
          <w:szCs w:val="40"/>
        </w:rPr>
        <w:t>（一）评价目的、评价对象和范围</w:t>
      </w:r>
    </w:p>
    <w:p w:rsidR="00FB1D56" w:rsidRDefault="00FB1D56" w:rsidP="00FB1D56">
      <w:pPr>
        <w:ind w:firstLineChars="200" w:firstLine="640"/>
        <w:rPr>
          <w:rFonts w:ascii="仿宋_GB2312" w:hAnsi="仿宋_GB2312"/>
          <w:szCs w:val="40"/>
        </w:rPr>
      </w:pPr>
      <w:r>
        <w:rPr>
          <w:rFonts w:ascii="仿宋_GB2312" w:hAnsi="仿宋_GB2312" w:hint="eastAsia"/>
          <w:szCs w:val="40"/>
        </w:rPr>
        <w:t>1.评价目的</w:t>
      </w:r>
    </w:p>
    <w:p w:rsidR="00FB1D56" w:rsidRDefault="00FB1D56" w:rsidP="00FB1D56">
      <w:pPr>
        <w:ind w:firstLineChars="200" w:firstLine="640"/>
        <w:rPr>
          <w:rFonts w:ascii="仿宋_GB2312" w:hAnsi="仿宋_GB2312"/>
          <w:szCs w:val="40"/>
        </w:rPr>
      </w:pPr>
      <w:r>
        <w:rPr>
          <w:rFonts w:ascii="仿宋_GB2312" w:hAnsi="仿宋_GB2312" w:hint="eastAsia"/>
          <w:szCs w:val="40"/>
        </w:rPr>
        <w:t>通过对2024年加力支持消费品以旧换新-新能源公交车及动力电池更新政策制定、执行情况和资金使用情况进行绩效评价，对政策实施中存在的政策制定、实施、效果等问题进行归纳与分析，以便对财政资金的政策安排使用提出改进建议。通过开展政策性评价，促进单位提升政策管理工作水平，强化支出责任，规范资金管理行为，提高财政资金使用效益，保障部门更好地履行职责。</w:t>
      </w:r>
    </w:p>
    <w:p w:rsidR="00FB1D56" w:rsidRDefault="00FB1D56" w:rsidP="00FB1D56">
      <w:pPr>
        <w:ind w:firstLineChars="200" w:firstLine="640"/>
        <w:rPr>
          <w:rFonts w:ascii="仿宋_GB2312" w:hAnsi="仿宋_GB2312"/>
          <w:szCs w:val="40"/>
        </w:rPr>
      </w:pPr>
      <w:r>
        <w:rPr>
          <w:rFonts w:ascii="仿宋_GB2312" w:hAnsi="仿宋_GB2312" w:hint="eastAsia"/>
          <w:szCs w:val="40"/>
        </w:rPr>
        <w:t>2.评价对象</w:t>
      </w:r>
    </w:p>
    <w:p w:rsidR="00FB1D56" w:rsidRDefault="00FB1D56" w:rsidP="00FB1D56">
      <w:pPr>
        <w:ind w:firstLineChars="200" w:firstLine="640"/>
        <w:rPr>
          <w:rFonts w:ascii="仿宋_GB2312" w:hAnsi="仿宋_GB2312"/>
          <w:szCs w:val="40"/>
        </w:rPr>
      </w:pPr>
      <w:r>
        <w:rPr>
          <w:rFonts w:ascii="仿宋_GB2312" w:hAnsi="仿宋_GB2312" w:hint="eastAsia"/>
          <w:szCs w:val="40"/>
        </w:rPr>
        <w:t>评价对象为2024年新能源城市公交车及动力电池更新补贴政策。</w:t>
      </w:r>
    </w:p>
    <w:p w:rsidR="00FB1D56" w:rsidRDefault="00FB1D56" w:rsidP="00FB1D56">
      <w:pPr>
        <w:ind w:firstLineChars="200" w:firstLine="640"/>
        <w:rPr>
          <w:rFonts w:ascii="仿宋_GB2312" w:hAnsi="仿宋_GB2312"/>
          <w:szCs w:val="40"/>
        </w:rPr>
      </w:pPr>
      <w:r>
        <w:rPr>
          <w:rFonts w:ascii="仿宋_GB2312" w:hAnsi="仿宋_GB2312" w:hint="eastAsia"/>
          <w:szCs w:val="40"/>
        </w:rPr>
        <w:lastRenderedPageBreak/>
        <w:t>3.评价范围</w:t>
      </w:r>
    </w:p>
    <w:p w:rsidR="00FB1D56" w:rsidRDefault="00FB1D56" w:rsidP="00FB1D56">
      <w:pPr>
        <w:ind w:firstLineChars="200" w:firstLine="640"/>
        <w:rPr>
          <w:rFonts w:ascii="仿宋_GB2312" w:hAnsi="仿宋_GB2312"/>
          <w:szCs w:val="40"/>
        </w:rPr>
      </w:pPr>
      <w:r>
        <w:rPr>
          <w:rFonts w:ascii="仿宋_GB2312" w:hAnsi="仿宋_GB2312" w:hint="eastAsia"/>
          <w:szCs w:val="40"/>
        </w:rPr>
        <w:t>本次评价范围包括政策制定、政策实施、政策效果等三个方面内容。</w:t>
      </w:r>
    </w:p>
    <w:p w:rsidR="00FB1D56" w:rsidRDefault="00FB1D56" w:rsidP="00FB1D56">
      <w:pPr>
        <w:ind w:firstLineChars="200" w:firstLine="640"/>
        <w:outlineLvl w:val="1"/>
        <w:rPr>
          <w:rFonts w:ascii="楷体_GB2312" w:eastAsia="楷体_GB2312" w:hAnsi="楷体_GB2312" w:cs="楷体_GB2312"/>
          <w:szCs w:val="40"/>
        </w:rPr>
      </w:pPr>
      <w:r>
        <w:rPr>
          <w:rFonts w:ascii="楷体_GB2312" w:eastAsia="楷体_GB2312" w:hAnsi="楷体_GB2312" w:cs="楷体_GB2312" w:hint="eastAsia"/>
          <w:szCs w:val="40"/>
        </w:rPr>
        <w:t>（二）评价重点、评价指标体系和评价标准</w:t>
      </w:r>
    </w:p>
    <w:p w:rsidR="00FB1D56" w:rsidRDefault="00FB1D56" w:rsidP="00FB1D56">
      <w:pPr>
        <w:ind w:firstLineChars="200" w:firstLine="640"/>
        <w:rPr>
          <w:rFonts w:ascii="仿宋_GB2312" w:hAnsi="仿宋_GB2312"/>
          <w:szCs w:val="40"/>
        </w:rPr>
      </w:pPr>
      <w:r>
        <w:rPr>
          <w:rFonts w:ascii="仿宋_GB2312" w:hAnsi="仿宋_GB2312" w:hint="eastAsia"/>
          <w:szCs w:val="40"/>
        </w:rPr>
        <w:t>1.评价重点</w:t>
      </w:r>
    </w:p>
    <w:p w:rsidR="00FB1D56" w:rsidRDefault="00FB1D56" w:rsidP="00FB1D56">
      <w:pPr>
        <w:ind w:firstLineChars="200" w:firstLine="640"/>
        <w:rPr>
          <w:rFonts w:ascii="仿宋_GB2312" w:hAnsi="仿宋_GB2312"/>
          <w:szCs w:val="40"/>
        </w:rPr>
      </w:pPr>
      <w:r>
        <w:rPr>
          <w:rFonts w:ascii="仿宋_GB2312" w:hAnsi="仿宋_GB2312" w:hint="eastAsia"/>
          <w:szCs w:val="40"/>
        </w:rPr>
        <w:t>（1）政策内容是否明确、全面。</w:t>
      </w:r>
    </w:p>
    <w:p w:rsidR="00FB1D56" w:rsidRDefault="00FB1D56" w:rsidP="00FB1D56">
      <w:pPr>
        <w:ind w:firstLineChars="200" w:firstLine="640"/>
        <w:rPr>
          <w:rFonts w:ascii="仿宋_GB2312" w:hAnsi="仿宋_GB2312"/>
          <w:szCs w:val="40"/>
        </w:rPr>
      </w:pPr>
      <w:r>
        <w:rPr>
          <w:rFonts w:ascii="仿宋_GB2312" w:hAnsi="仿宋_GB2312" w:hint="eastAsia"/>
          <w:szCs w:val="40"/>
        </w:rPr>
        <w:t>（2）关注政策支出发放及时性。</w:t>
      </w:r>
    </w:p>
    <w:p w:rsidR="00FB1D56" w:rsidRDefault="00FB1D56" w:rsidP="00FB1D56">
      <w:pPr>
        <w:ind w:firstLineChars="200" w:firstLine="640"/>
        <w:rPr>
          <w:rFonts w:ascii="仿宋_GB2312" w:hAnsi="仿宋_GB2312"/>
          <w:szCs w:val="40"/>
        </w:rPr>
      </w:pPr>
      <w:r>
        <w:rPr>
          <w:rFonts w:ascii="仿宋_GB2312" w:hAnsi="仿宋_GB2312" w:hint="eastAsia"/>
          <w:szCs w:val="40"/>
        </w:rPr>
        <w:t>（3）关注政策延续性及完善程度。</w:t>
      </w:r>
    </w:p>
    <w:p w:rsidR="00FB1D56" w:rsidRDefault="00FB1D56" w:rsidP="00FB1D56">
      <w:pPr>
        <w:ind w:firstLineChars="200" w:firstLine="640"/>
        <w:rPr>
          <w:rFonts w:ascii="仿宋_GB2312" w:hAnsi="仿宋_GB2312"/>
          <w:szCs w:val="40"/>
        </w:rPr>
      </w:pPr>
      <w:r>
        <w:rPr>
          <w:rFonts w:ascii="仿宋_GB2312" w:hAnsi="仿宋_GB2312" w:hint="eastAsia"/>
          <w:szCs w:val="40"/>
        </w:rPr>
        <w:t>（4）关注服务对象满意程度。</w:t>
      </w:r>
    </w:p>
    <w:p w:rsidR="00FB1D56" w:rsidRDefault="00FB1D56" w:rsidP="00FB1D56">
      <w:pPr>
        <w:ind w:firstLineChars="200" w:firstLine="640"/>
        <w:rPr>
          <w:rFonts w:ascii="仿宋_GB2312" w:hAnsi="仿宋_GB2312"/>
          <w:szCs w:val="40"/>
        </w:rPr>
      </w:pPr>
      <w:r>
        <w:rPr>
          <w:rFonts w:ascii="仿宋_GB2312" w:hAnsi="仿宋_GB2312" w:hint="eastAsia"/>
          <w:szCs w:val="40"/>
        </w:rPr>
        <w:t>（5）关注政策经济效益、社会效益、生态效益。</w:t>
      </w:r>
    </w:p>
    <w:p w:rsidR="00FB1D56" w:rsidRDefault="00FB1D56" w:rsidP="00FB1D56">
      <w:pPr>
        <w:ind w:firstLineChars="200" w:firstLine="640"/>
        <w:rPr>
          <w:rFonts w:ascii="仿宋_GB2312" w:hAnsi="仿宋_GB2312"/>
          <w:szCs w:val="40"/>
        </w:rPr>
      </w:pPr>
      <w:r>
        <w:rPr>
          <w:rFonts w:ascii="仿宋_GB2312" w:hAnsi="仿宋_GB2312" w:hint="eastAsia"/>
          <w:szCs w:val="40"/>
        </w:rPr>
        <w:t>2.评价指标体系</w:t>
      </w:r>
    </w:p>
    <w:p w:rsidR="00FB1D56" w:rsidRDefault="00FB1D56" w:rsidP="00FB1D56">
      <w:pPr>
        <w:ind w:firstLineChars="200" w:firstLine="640"/>
        <w:rPr>
          <w:rFonts w:ascii="仿宋_GB2312" w:hAnsi="仿宋_GB2312"/>
          <w:szCs w:val="40"/>
        </w:rPr>
      </w:pPr>
      <w:r>
        <w:rPr>
          <w:rFonts w:ascii="仿宋_GB2312" w:hAnsi="仿宋_GB2312" w:hint="eastAsia"/>
          <w:szCs w:val="40"/>
        </w:rPr>
        <w:t>从政策制定、政策实施、政策效果3个维</w:t>
      </w:r>
      <w:proofErr w:type="gramStart"/>
      <w:r>
        <w:rPr>
          <w:rFonts w:ascii="仿宋_GB2312" w:hAnsi="仿宋_GB2312" w:hint="eastAsia"/>
          <w:szCs w:val="40"/>
        </w:rPr>
        <w:t>度制定</w:t>
      </w:r>
      <w:proofErr w:type="gramEnd"/>
      <w:r>
        <w:rPr>
          <w:rFonts w:ascii="仿宋_GB2312" w:hAnsi="仿宋_GB2312" w:hint="eastAsia"/>
          <w:szCs w:val="40"/>
        </w:rPr>
        <w:t>绩效评价指标体系，聚焦政策实施效果进行具体评价指标的权重赋分。</w:t>
      </w:r>
    </w:p>
    <w:p w:rsidR="00FB1D56" w:rsidRDefault="00FB1D56" w:rsidP="00FB1D56">
      <w:pPr>
        <w:ind w:firstLineChars="200" w:firstLine="640"/>
        <w:rPr>
          <w:rFonts w:ascii="仿宋_GB2312" w:hAnsi="仿宋_GB2312"/>
          <w:szCs w:val="40"/>
        </w:rPr>
      </w:pPr>
      <w:r>
        <w:rPr>
          <w:rFonts w:ascii="仿宋_GB2312" w:hAnsi="仿宋_GB2312" w:hint="eastAsia"/>
          <w:szCs w:val="40"/>
        </w:rPr>
        <w:t>（1）政策制定。分值权重10%。指标包括政策设立、政策目标、资金安排3个方面。评价内容主要包括设立依据充分性、设立程序规范性、目标合理性、政策支出标准科学性、资金分配合理性等。</w:t>
      </w:r>
    </w:p>
    <w:p w:rsidR="00FB1D56" w:rsidRDefault="00FB1D56" w:rsidP="00FB1D56">
      <w:pPr>
        <w:ind w:firstLineChars="200" w:firstLine="640"/>
        <w:rPr>
          <w:rFonts w:ascii="仿宋_GB2312" w:hAnsi="仿宋_GB2312"/>
          <w:szCs w:val="40"/>
        </w:rPr>
      </w:pPr>
      <w:r>
        <w:rPr>
          <w:rFonts w:ascii="仿宋_GB2312" w:hAnsi="仿宋_GB2312" w:hint="eastAsia"/>
          <w:szCs w:val="40"/>
        </w:rPr>
        <w:t>（2）政策实施。分值权重30%。指标包括资金管理、保障机制2个方面。评价内容主要包括资金到位保障、预算执行率、资金使用规范性、政策制度健全性、政策执行监管等。</w:t>
      </w:r>
    </w:p>
    <w:p w:rsidR="00FB1D56" w:rsidRDefault="00FB1D56" w:rsidP="00FB1D56">
      <w:pPr>
        <w:ind w:firstLineChars="200" w:firstLine="640"/>
        <w:rPr>
          <w:rFonts w:ascii="仿宋_GB2312" w:hAnsi="仿宋_GB2312"/>
          <w:szCs w:val="40"/>
        </w:rPr>
      </w:pPr>
      <w:r>
        <w:rPr>
          <w:rFonts w:ascii="仿宋_GB2312" w:hAnsi="仿宋_GB2312" w:hint="eastAsia"/>
          <w:szCs w:val="40"/>
        </w:rPr>
        <w:t>（3）政策效果。分值权重60%。指标包括数量指标、质量指标、时效指标、成本指标、经济效益、社会效益、可持</w:t>
      </w:r>
      <w:r>
        <w:rPr>
          <w:rFonts w:ascii="仿宋_GB2312" w:hAnsi="仿宋_GB2312" w:hint="eastAsia"/>
          <w:szCs w:val="40"/>
        </w:rPr>
        <w:lastRenderedPageBreak/>
        <w:t>续影响和服务对象满意度8个方面。评价内容主要包括新能源公交车及动力电池更换完成率、小型化、低地板、低入口城市公交车辆更新完成率、公交车</w:t>
      </w:r>
      <w:proofErr w:type="gramStart"/>
      <w:r>
        <w:rPr>
          <w:rFonts w:ascii="仿宋_GB2312" w:hAnsi="仿宋_GB2312" w:hint="eastAsia"/>
          <w:szCs w:val="40"/>
        </w:rPr>
        <w:t>运营维保成本</w:t>
      </w:r>
      <w:proofErr w:type="gramEnd"/>
      <w:r>
        <w:rPr>
          <w:rFonts w:ascii="仿宋_GB2312" w:hAnsi="仿宋_GB2312" w:hint="eastAsia"/>
          <w:szCs w:val="40"/>
        </w:rPr>
        <w:t>下降率、绿色车辆占比、市民出行品质、年度二氧化碳减排总量、报废动力电池回收率等。</w:t>
      </w:r>
    </w:p>
    <w:p w:rsidR="00FB1D56" w:rsidRDefault="00FB1D56" w:rsidP="00FB1D56">
      <w:pPr>
        <w:ind w:firstLineChars="200" w:firstLine="640"/>
        <w:rPr>
          <w:rFonts w:ascii="仿宋_GB2312" w:hAnsi="仿宋_GB2312"/>
          <w:szCs w:val="40"/>
        </w:rPr>
      </w:pPr>
      <w:r>
        <w:rPr>
          <w:rFonts w:ascii="仿宋_GB2312" w:hAnsi="仿宋_GB2312" w:hint="eastAsia"/>
          <w:szCs w:val="40"/>
        </w:rPr>
        <w:t>3.评价标准</w:t>
      </w:r>
    </w:p>
    <w:p w:rsidR="00FB1D56" w:rsidRDefault="00FB1D56" w:rsidP="00FB1D56">
      <w:pPr>
        <w:ind w:firstLineChars="200" w:firstLine="640"/>
        <w:rPr>
          <w:rFonts w:ascii="仿宋_GB2312" w:hAnsi="仿宋_GB2312"/>
          <w:szCs w:val="40"/>
        </w:rPr>
      </w:pPr>
      <w:r>
        <w:rPr>
          <w:rFonts w:ascii="仿宋_GB2312" w:hAnsi="仿宋_GB2312" w:hint="eastAsia"/>
          <w:szCs w:val="40"/>
        </w:rPr>
        <w:t>本次政策</w:t>
      </w:r>
      <w:proofErr w:type="gramStart"/>
      <w:r>
        <w:rPr>
          <w:rFonts w:ascii="仿宋_GB2312" w:hAnsi="仿宋_GB2312" w:hint="eastAsia"/>
          <w:szCs w:val="40"/>
        </w:rPr>
        <w:t>评价总分值</w:t>
      </w:r>
      <w:proofErr w:type="gramEnd"/>
      <w:r>
        <w:rPr>
          <w:rFonts w:ascii="仿宋_GB2312" w:hAnsi="仿宋_GB2312" w:hint="eastAsia"/>
          <w:szCs w:val="40"/>
        </w:rPr>
        <w:t>为100分，其中政策制定10分，政策实施30分，政策效果60分。参照《青岛市市级项目支出预算绩效管理结果应用办法》（</w:t>
      </w:r>
      <w:proofErr w:type="gramStart"/>
      <w:r>
        <w:rPr>
          <w:rFonts w:ascii="仿宋_GB2312" w:hAnsi="仿宋_GB2312" w:hint="eastAsia"/>
          <w:szCs w:val="40"/>
        </w:rPr>
        <w:t>青财绩</w:t>
      </w:r>
      <w:proofErr w:type="gramEnd"/>
      <w:r>
        <w:rPr>
          <w:rFonts w:ascii="仿宋_GB2312" w:hAnsi="仿宋_GB2312" w:hint="eastAsia"/>
          <w:szCs w:val="40"/>
        </w:rPr>
        <w:t>〔2023〕5号），本次绩效评价等级划分为四档。</w:t>
      </w:r>
    </w:p>
    <w:p w:rsidR="00FB1D56" w:rsidRDefault="00FB1D56" w:rsidP="00FB1D56">
      <w:pPr>
        <w:ind w:firstLineChars="200" w:firstLine="640"/>
        <w:rPr>
          <w:rFonts w:ascii="仿宋_GB2312" w:hAnsi="仿宋_GB2312"/>
          <w:szCs w:val="40"/>
        </w:rPr>
      </w:pPr>
      <w:r>
        <w:rPr>
          <w:rFonts w:ascii="仿宋_GB2312" w:hAnsi="仿宋_GB2312" w:hint="eastAsia"/>
          <w:szCs w:val="40"/>
        </w:rPr>
        <w:t>评分90（含）-100分为优；</w:t>
      </w:r>
    </w:p>
    <w:p w:rsidR="00FB1D56" w:rsidRDefault="00FB1D56" w:rsidP="00FB1D56">
      <w:pPr>
        <w:ind w:firstLineChars="200" w:firstLine="640"/>
        <w:rPr>
          <w:rFonts w:ascii="仿宋_GB2312" w:hAnsi="仿宋_GB2312"/>
          <w:szCs w:val="40"/>
        </w:rPr>
      </w:pPr>
      <w:r>
        <w:rPr>
          <w:rFonts w:ascii="仿宋_GB2312" w:hAnsi="仿宋_GB2312" w:hint="eastAsia"/>
          <w:szCs w:val="40"/>
        </w:rPr>
        <w:t>评分80（含）-90分为良；</w:t>
      </w:r>
    </w:p>
    <w:p w:rsidR="00FB1D56" w:rsidRDefault="00FB1D56" w:rsidP="00FB1D56">
      <w:pPr>
        <w:ind w:firstLineChars="200" w:firstLine="640"/>
        <w:rPr>
          <w:rFonts w:ascii="仿宋_GB2312" w:hAnsi="仿宋_GB2312"/>
          <w:szCs w:val="40"/>
        </w:rPr>
      </w:pPr>
      <w:r>
        <w:rPr>
          <w:rFonts w:ascii="仿宋_GB2312" w:hAnsi="仿宋_GB2312" w:hint="eastAsia"/>
          <w:szCs w:val="40"/>
        </w:rPr>
        <w:t>评分60（含）-80分为中；</w:t>
      </w:r>
    </w:p>
    <w:p w:rsidR="00FB1D56" w:rsidRDefault="00FB1D56" w:rsidP="00FB1D56">
      <w:pPr>
        <w:ind w:firstLineChars="200" w:firstLine="640"/>
        <w:rPr>
          <w:rFonts w:ascii="仿宋_GB2312" w:hAnsi="仿宋_GB2312"/>
          <w:szCs w:val="40"/>
        </w:rPr>
      </w:pPr>
      <w:r>
        <w:rPr>
          <w:rFonts w:ascii="仿宋_GB2312" w:hAnsi="仿宋_GB2312" w:hint="eastAsia"/>
          <w:szCs w:val="40"/>
        </w:rPr>
        <w:t>评分0-60分为差。</w:t>
      </w:r>
    </w:p>
    <w:p w:rsidR="00FB1D56" w:rsidRDefault="00FB1D56" w:rsidP="00FB1D56">
      <w:pPr>
        <w:numPr>
          <w:ilvl w:val="0"/>
          <w:numId w:val="2"/>
        </w:numPr>
        <w:ind w:firstLineChars="200" w:firstLine="640"/>
        <w:outlineLvl w:val="1"/>
        <w:rPr>
          <w:rFonts w:ascii="楷体_GB2312" w:eastAsia="楷体_GB2312" w:hAnsi="楷体_GB2312" w:cs="楷体_GB2312"/>
          <w:szCs w:val="40"/>
        </w:rPr>
      </w:pPr>
      <w:r>
        <w:rPr>
          <w:rFonts w:ascii="楷体_GB2312" w:eastAsia="楷体_GB2312" w:hAnsi="楷体_GB2312" w:cs="楷体_GB2312" w:hint="eastAsia"/>
          <w:szCs w:val="40"/>
        </w:rPr>
        <w:t>评价组织实施与评价方法</w:t>
      </w:r>
    </w:p>
    <w:p w:rsidR="00FB1D56" w:rsidRDefault="00FB1D56" w:rsidP="00FB1D56">
      <w:pPr>
        <w:ind w:firstLineChars="200" w:firstLine="640"/>
        <w:rPr>
          <w:rFonts w:ascii="仿宋_GB2312" w:hAnsi="仿宋_GB2312"/>
          <w:szCs w:val="40"/>
        </w:rPr>
      </w:pPr>
      <w:r>
        <w:rPr>
          <w:rFonts w:ascii="仿宋_GB2312" w:hAnsi="仿宋_GB2312" w:hint="eastAsia"/>
          <w:szCs w:val="40"/>
        </w:rPr>
        <w:t>1.评价工作组人员及分工</w:t>
      </w:r>
    </w:p>
    <w:p w:rsidR="00FB1D56" w:rsidRDefault="00FB1D56" w:rsidP="00FB1D56">
      <w:pPr>
        <w:ind w:firstLineChars="200" w:firstLine="640"/>
        <w:rPr>
          <w:rFonts w:ascii="仿宋_GB2312" w:hAnsi="仿宋_GB2312"/>
          <w:szCs w:val="40"/>
        </w:rPr>
      </w:pPr>
      <w:r>
        <w:rPr>
          <w:rFonts w:ascii="仿宋_GB2312" w:hAnsi="仿宋_GB2312" w:hint="eastAsia"/>
          <w:szCs w:val="40"/>
        </w:rPr>
        <w:t>本次绩效评价工作由利安达会计师事务所（特殊普通合伙）承担，负责收集资料、制定方案、撰写报告等。同时聘请外部专家参与，</w:t>
      </w:r>
      <w:r>
        <w:rPr>
          <w:rFonts w:hint="eastAsia"/>
        </w:rPr>
        <w:t>负责对本次绩效评价发表独立意见</w:t>
      </w:r>
      <w:r>
        <w:rPr>
          <w:rFonts w:ascii="仿宋_GB2312" w:hAnsi="仿宋_GB2312" w:hint="eastAsia"/>
          <w:szCs w:val="40"/>
        </w:rPr>
        <w:t>。具体人员分工详见附件4。</w:t>
      </w:r>
    </w:p>
    <w:p w:rsidR="00FB1D56" w:rsidRDefault="00FB1D56" w:rsidP="00FB1D56">
      <w:pPr>
        <w:ind w:firstLineChars="200" w:firstLine="640"/>
        <w:rPr>
          <w:rFonts w:ascii="仿宋_GB2312" w:hAnsi="仿宋_GB2312"/>
          <w:szCs w:val="40"/>
        </w:rPr>
      </w:pPr>
      <w:r>
        <w:rPr>
          <w:rFonts w:ascii="仿宋_GB2312" w:hAnsi="仿宋_GB2312" w:hint="eastAsia"/>
          <w:szCs w:val="40"/>
        </w:rPr>
        <w:t>2.组织实施过程</w:t>
      </w:r>
    </w:p>
    <w:p w:rsidR="00FB1D56" w:rsidRDefault="00FB1D56" w:rsidP="00FB1D56">
      <w:pPr>
        <w:ind w:firstLineChars="200" w:firstLine="640"/>
        <w:rPr>
          <w:rFonts w:ascii="仿宋_GB2312" w:hAnsi="仿宋_GB2312"/>
          <w:szCs w:val="40"/>
        </w:rPr>
      </w:pPr>
      <w:r>
        <w:rPr>
          <w:rFonts w:ascii="仿宋_GB2312" w:hAnsi="仿宋_GB2312" w:hint="eastAsia"/>
          <w:szCs w:val="40"/>
        </w:rPr>
        <w:t>（1）前期准备阶段</w:t>
      </w:r>
    </w:p>
    <w:p w:rsidR="00FB1D56" w:rsidRDefault="00FB1D56" w:rsidP="00FB1D56">
      <w:pPr>
        <w:ind w:firstLineChars="200" w:firstLine="640"/>
        <w:rPr>
          <w:rFonts w:ascii="仿宋_GB2312" w:hAnsi="仿宋_GB2312"/>
          <w:szCs w:val="40"/>
        </w:rPr>
      </w:pPr>
      <w:r>
        <w:rPr>
          <w:rFonts w:ascii="仿宋_GB2312" w:hAnsi="仿宋_GB2312" w:hint="eastAsia"/>
          <w:szCs w:val="40"/>
        </w:rPr>
        <w:t>对接需求。</w:t>
      </w:r>
      <w:proofErr w:type="gramStart"/>
      <w:r>
        <w:rPr>
          <w:rFonts w:ascii="仿宋_GB2312" w:hAnsi="仿宋_GB2312" w:hint="eastAsia"/>
          <w:szCs w:val="40"/>
        </w:rPr>
        <w:t>对接市</w:t>
      </w:r>
      <w:proofErr w:type="gramEnd"/>
      <w:r>
        <w:rPr>
          <w:rFonts w:ascii="仿宋_GB2312" w:hAnsi="仿宋_GB2312" w:hint="eastAsia"/>
          <w:szCs w:val="40"/>
        </w:rPr>
        <w:t>财政局、市交通</w:t>
      </w:r>
      <w:proofErr w:type="gramStart"/>
      <w:r>
        <w:rPr>
          <w:rFonts w:ascii="仿宋_GB2312" w:hAnsi="仿宋_GB2312" w:hint="eastAsia"/>
          <w:szCs w:val="40"/>
        </w:rPr>
        <w:t>局相关</w:t>
      </w:r>
      <w:proofErr w:type="gramEnd"/>
      <w:r>
        <w:rPr>
          <w:rFonts w:ascii="仿宋_GB2312" w:hAnsi="仿宋_GB2312" w:hint="eastAsia"/>
          <w:szCs w:val="40"/>
        </w:rPr>
        <w:t>业务处室，通</w:t>
      </w:r>
      <w:r>
        <w:rPr>
          <w:rFonts w:ascii="仿宋_GB2312" w:hAnsi="仿宋_GB2312" w:hint="eastAsia"/>
          <w:szCs w:val="40"/>
        </w:rPr>
        <w:lastRenderedPageBreak/>
        <w:t>过座谈，了解政策基本情况，明确评价目的和重点、时限要求等。</w:t>
      </w:r>
    </w:p>
    <w:p w:rsidR="00FB1D56" w:rsidRDefault="00FB1D56" w:rsidP="00FB1D56">
      <w:pPr>
        <w:ind w:firstLineChars="200" w:firstLine="640"/>
        <w:rPr>
          <w:rFonts w:ascii="仿宋_GB2312" w:hAnsi="仿宋_GB2312"/>
          <w:szCs w:val="40"/>
        </w:rPr>
      </w:pPr>
      <w:r>
        <w:rPr>
          <w:rFonts w:ascii="仿宋_GB2312" w:hAnsi="仿宋_GB2312" w:hint="eastAsia"/>
          <w:szCs w:val="40"/>
        </w:rPr>
        <w:t>成立评价工作组。根据被评价政策特点，选取外部专家，组成评价工作组，学习政策实施的背景和内容，会商评价思路，列明</w:t>
      </w:r>
      <w:proofErr w:type="gramStart"/>
      <w:r>
        <w:rPr>
          <w:rFonts w:ascii="仿宋_GB2312" w:hAnsi="仿宋_GB2312" w:hint="eastAsia"/>
          <w:szCs w:val="40"/>
        </w:rPr>
        <w:t>需部门</w:t>
      </w:r>
      <w:proofErr w:type="gramEnd"/>
      <w:r>
        <w:rPr>
          <w:rFonts w:ascii="仿宋_GB2312" w:hAnsi="仿宋_GB2312" w:hint="eastAsia"/>
          <w:szCs w:val="40"/>
        </w:rPr>
        <w:t>提供的评价资料清单。</w:t>
      </w:r>
    </w:p>
    <w:p w:rsidR="00FB1D56" w:rsidRDefault="00FB1D56" w:rsidP="00FB1D56">
      <w:pPr>
        <w:ind w:firstLineChars="200" w:firstLine="640"/>
        <w:rPr>
          <w:rFonts w:ascii="仿宋_GB2312" w:hAnsi="仿宋_GB2312"/>
          <w:szCs w:val="40"/>
        </w:rPr>
      </w:pPr>
      <w:r>
        <w:rPr>
          <w:rFonts w:ascii="仿宋_GB2312" w:hAnsi="仿宋_GB2312" w:hint="eastAsia"/>
          <w:szCs w:val="40"/>
        </w:rPr>
        <w:t>（2）组织实施阶段</w:t>
      </w:r>
    </w:p>
    <w:p w:rsidR="00FB1D56" w:rsidRDefault="00FB1D56" w:rsidP="00FB1D56">
      <w:pPr>
        <w:ind w:firstLineChars="200" w:firstLine="640"/>
        <w:rPr>
          <w:rFonts w:ascii="仿宋_GB2312" w:hAnsi="仿宋_GB2312"/>
          <w:szCs w:val="40"/>
        </w:rPr>
      </w:pPr>
      <w:r>
        <w:rPr>
          <w:rFonts w:ascii="仿宋_GB2312" w:hAnsi="仿宋_GB2312" w:hint="eastAsia"/>
          <w:szCs w:val="40"/>
        </w:rPr>
        <w:t>收集绩效评价信息。收集、梳理2024年加力支持消费品以旧换新-新能源公交车及动力电池更新政策的实施方案和实施细则，预算安排及执行等情况。</w:t>
      </w:r>
    </w:p>
    <w:p w:rsidR="00FB1D56" w:rsidRDefault="00FB1D56" w:rsidP="00FB1D56">
      <w:pPr>
        <w:ind w:firstLineChars="200" w:firstLine="640"/>
        <w:rPr>
          <w:rFonts w:ascii="仿宋_GB2312" w:hAnsi="仿宋_GB2312"/>
          <w:szCs w:val="40"/>
        </w:rPr>
      </w:pPr>
      <w:r>
        <w:rPr>
          <w:rFonts w:ascii="仿宋_GB2312" w:hAnsi="仿宋_GB2312" w:hint="eastAsia"/>
          <w:szCs w:val="40"/>
        </w:rPr>
        <w:t>编制绩效评价方案。根据绩效评价要求和政策基本情况，制定绩效评价方案，包括政策基本概况、评价工作安排、社会调查方案和绩效评价指标体系等。征求市交通局意见后组织实施。</w:t>
      </w:r>
    </w:p>
    <w:p w:rsidR="00FB1D56" w:rsidRDefault="00FB1D56" w:rsidP="00FB1D56">
      <w:pPr>
        <w:ind w:firstLineChars="200" w:firstLine="640"/>
      </w:pPr>
      <w:r>
        <w:rPr>
          <w:rFonts w:ascii="仿宋_GB2312" w:hAnsi="仿宋_GB2312" w:hint="eastAsia"/>
          <w:szCs w:val="40"/>
        </w:rPr>
        <w:t>（3）现场评价阶段</w:t>
      </w:r>
    </w:p>
    <w:p w:rsidR="00FB1D56" w:rsidRDefault="00FB1D56" w:rsidP="00FB1D56">
      <w:pPr>
        <w:pStyle w:val="a4"/>
        <w:spacing w:line="600" w:lineRule="exact"/>
        <w:ind w:firstLine="640"/>
        <w:outlineLvl w:val="9"/>
        <w:rPr>
          <w:rFonts w:ascii="仿宋_GB2312" w:eastAsia="仿宋_GB2312" w:hAnsi="仿宋_GB2312"/>
          <w:szCs w:val="40"/>
        </w:rPr>
      </w:pPr>
      <w:r>
        <w:rPr>
          <w:rFonts w:ascii="仿宋_GB2312" w:eastAsia="仿宋_GB2312" w:hAnsi="仿宋_GB2312" w:hint="eastAsia"/>
          <w:szCs w:val="40"/>
        </w:rPr>
        <w:t>现场评价。按照“不低于具体政策实施单位数量的30%、政策资金预算总额的60%”的选点原则，</w:t>
      </w:r>
      <w:r>
        <w:rPr>
          <w:rFonts w:ascii="仿宋_GB2312" w:eastAsia="仿宋_GB2312" w:hAnsi="仿宋_GB2312" w:hint="eastAsia"/>
        </w:rPr>
        <w:t>对市交通局提供的更新537辆新能源公交车、1,232套动力电池补贴申报资料随机抽查，共抽取1,421份补贴申报资料进行核查，抽查数量比例为80.33</w:t>
      </w:r>
      <w:r>
        <w:rPr>
          <w:rFonts w:ascii="仿宋_GB2312" w:eastAsia="仿宋_GB2312" w:hAnsi="仿宋_GB2312"/>
        </w:rPr>
        <w:t>%</w:t>
      </w:r>
      <w:r>
        <w:rPr>
          <w:rFonts w:ascii="仿宋_GB2312" w:eastAsia="仿宋_GB2312" w:hAnsi="仿宋_GB2312" w:hint="eastAsia"/>
        </w:rPr>
        <w:t>，抽查补贴总额为7,869.00万元，抽查金额比例为83.32</w:t>
      </w:r>
      <w:r>
        <w:rPr>
          <w:rFonts w:ascii="仿宋_GB2312" w:eastAsia="仿宋_GB2312" w:hAnsi="仿宋_GB2312"/>
        </w:rPr>
        <w:t>%</w:t>
      </w:r>
      <w:r>
        <w:rPr>
          <w:rFonts w:ascii="仿宋_GB2312" w:eastAsia="仿宋_GB2312" w:hAnsi="仿宋_GB2312" w:hint="eastAsia"/>
        </w:rPr>
        <w:t>。对公交集团第三分公司、第四分公司、第六分公司等更新车辆企业进行现场评价，查看部分更新车辆的出厂时间等铭牌信息；并与相关负责人进行访谈，了解本次政策的实施效果。</w:t>
      </w:r>
    </w:p>
    <w:p w:rsidR="00FB1D56" w:rsidRDefault="00FB1D56" w:rsidP="00FB1D56">
      <w:pPr>
        <w:pStyle w:val="a4"/>
        <w:spacing w:line="600" w:lineRule="exact"/>
        <w:ind w:firstLine="640"/>
        <w:outlineLvl w:val="9"/>
        <w:rPr>
          <w:rFonts w:ascii="仿宋_GB2312" w:eastAsia="仿宋_GB2312" w:hAnsi="仿宋_GB2312"/>
          <w:szCs w:val="40"/>
        </w:rPr>
      </w:pPr>
      <w:r>
        <w:rPr>
          <w:rFonts w:ascii="仿宋_GB2312" w:eastAsia="仿宋_GB2312" w:hAnsi="仿宋_GB2312" w:hint="eastAsia"/>
          <w:szCs w:val="40"/>
        </w:rPr>
        <w:lastRenderedPageBreak/>
        <w:t>社会调查。采用</w:t>
      </w:r>
      <w:r>
        <w:rPr>
          <w:rFonts w:ascii="仿宋_GB2312" w:hAnsi="仿宋_GB2312" w:hint="eastAsia"/>
          <w:szCs w:val="40"/>
        </w:rPr>
        <w:t>电话</w:t>
      </w:r>
      <w:r>
        <w:rPr>
          <w:rFonts w:ascii="仿宋_GB2312" w:eastAsia="仿宋_GB2312" w:hAnsi="仿宋_GB2312" w:hint="eastAsia"/>
          <w:szCs w:val="40"/>
        </w:rPr>
        <w:t>问卷和网络问卷两种方式，对领取补贴的公交企业、新能源公交车驾驶员及乘坐新能源公交车的市民三类群体进行调查，了解被调查对象对政策实施的知晓情况、实施效果的满意程度，以及对政策制定、执行过程中存在问题的改进建议。</w:t>
      </w:r>
      <w:r>
        <w:rPr>
          <w:rFonts w:ascii="仿宋_GB2312" w:eastAsia="仿宋_GB2312" w:hAnsi="仿宋_GB2312" w:hint="eastAsia"/>
        </w:rPr>
        <w:t>本次评价对10家领取补助的公交企业进行电话问卷，共收回10份有效问卷，领取补助公交企业满意度为</w:t>
      </w:r>
      <w:r>
        <w:rPr>
          <w:rFonts w:ascii="仿宋_GB2312" w:eastAsia="仿宋_GB2312" w:hAnsi="仿宋_GB2312"/>
        </w:rPr>
        <w:t>9</w:t>
      </w:r>
      <w:r>
        <w:rPr>
          <w:rFonts w:ascii="仿宋_GB2312" w:eastAsia="仿宋_GB2312" w:hAnsi="仿宋_GB2312" w:hint="eastAsia"/>
        </w:rPr>
        <w:t>9</w:t>
      </w:r>
      <w:r>
        <w:rPr>
          <w:rFonts w:ascii="仿宋_GB2312" w:eastAsia="仿宋_GB2312" w:hAnsi="仿宋_GB2312"/>
        </w:rPr>
        <w:t>%</w:t>
      </w:r>
      <w:r>
        <w:rPr>
          <w:rFonts w:ascii="仿宋_GB2312" w:eastAsia="仿宋_GB2312" w:hAnsi="仿宋_GB2312" w:hint="eastAsia"/>
        </w:rPr>
        <w:t>；通过网络问卷的方式向公交车驾驶员及乘坐新能源公交车的市民发放问卷</w:t>
      </w:r>
      <w:r>
        <w:rPr>
          <w:rFonts w:ascii="仿宋_GB2312" w:eastAsia="仿宋_GB2312" w:hAnsi="仿宋_GB2312" w:hint="eastAsia"/>
          <w:szCs w:val="40"/>
        </w:rPr>
        <w:t>，最终收回410份驾驶员有效问卷，综合满意度为91.4%；收回325份市民有效问卷，综合满意度为91.25%。具体调查数据、分析过程和受益对象反映的问题等详见附件3</w:t>
      </w:r>
      <w:r>
        <w:rPr>
          <w:rFonts w:ascii="仿宋_GB2312" w:eastAsia="仿宋_GB2312" w:hAnsi="仿宋_GB2312" w:hint="eastAsia"/>
        </w:rPr>
        <w:t>。</w:t>
      </w:r>
    </w:p>
    <w:p w:rsidR="00FB1D56" w:rsidRDefault="00FB1D56" w:rsidP="00FB1D56">
      <w:pPr>
        <w:ind w:firstLineChars="200" w:firstLine="640"/>
        <w:rPr>
          <w:rFonts w:ascii="仿宋_GB2312" w:hAnsi="仿宋_GB2312"/>
          <w:szCs w:val="40"/>
        </w:rPr>
      </w:pPr>
      <w:r>
        <w:rPr>
          <w:rFonts w:ascii="仿宋_GB2312" w:hAnsi="仿宋_GB2312" w:hint="eastAsia"/>
          <w:szCs w:val="40"/>
        </w:rPr>
        <w:t>（4）报告形成阶段</w:t>
      </w:r>
    </w:p>
    <w:p w:rsidR="00FB1D56" w:rsidRDefault="00FB1D56" w:rsidP="00FB1D56">
      <w:pPr>
        <w:ind w:firstLineChars="200" w:firstLine="640"/>
        <w:rPr>
          <w:rFonts w:ascii="仿宋_GB2312" w:hAnsi="仿宋_GB2312"/>
          <w:szCs w:val="40"/>
        </w:rPr>
      </w:pPr>
      <w:r>
        <w:rPr>
          <w:rFonts w:ascii="仿宋_GB2312" w:hAnsi="仿宋_GB2312" w:hint="eastAsia"/>
          <w:szCs w:val="40"/>
        </w:rPr>
        <w:t>报告撰写。内容主要包括政策概况、评价工作基本情况、总体绩效分析、存在的问题及原因分析、意见建议及附件等。</w:t>
      </w:r>
    </w:p>
    <w:p w:rsidR="00FB1D56" w:rsidRDefault="00FB1D56" w:rsidP="00FB1D56">
      <w:pPr>
        <w:ind w:firstLineChars="200" w:firstLine="640"/>
        <w:rPr>
          <w:rFonts w:ascii="仿宋_GB2312" w:hAnsi="仿宋_GB2312"/>
          <w:szCs w:val="40"/>
        </w:rPr>
      </w:pPr>
      <w:r>
        <w:rPr>
          <w:rFonts w:ascii="仿宋_GB2312" w:hAnsi="仿宋_GB2312" w:hint="eastAsia"/>
          <w:szCs w:val="40"/>
        </w:rPr>
        <w:t>报告修改完善。将评价报告提交市财政局和市交通局征求意见，根据有效意见修改完善，出具最终报告。</w:t>
      </w:r>
    </w:p>
    <w:p w:rsidR="00FB1D56" w:rsidRDefault="00FB1D56" w:rsidP="00FB1D56">
      <w:pPr>
        <w:ind w:firstLineChars="200" w:firstLine="640"/>
        <w:rPr>
          <w:rFonts w:ascii="仿宋_GB2312" w:hAnsi="仿宋_GB2312"/>
          <w:szCs w:val="40"/>
        </w:rPr>
      </w:pPr>
      <w:r>
        <w:rPr>
          <w:rFonts w:ascii="仿宋_GB2312" w:hAnsi="仿宋_GB2312" w:hint="eastAsia"/>
          <w:szCs w:val="40"/>
        </w:rPr>
        <w:t>3.评价方法</w:t>
      </w:r>
    </w:p>
    <w:p w:rsidR="00FB1D56" w:rsidRDefault="00FB1D56" w:rsidP="00FB1D56">
      <w:pPr>
        <w:ind w:firstLineChars="200" w:firstLine="640"/>
        <w:rPr>
          <w:rFonts w:ascii="仿宋_GB2312" w:hAnsi="仿宋_GB2312"/>
          <w:szCs w:val="40"/>
        </w:rPr>
      </w:pPr>
      <w:r>
        <w:rPr>
          <w:rFonts w:ascii="仿宋_GB2312" w:hAnsi="仿宋_GB2312" w:hint="eastAsia"/>
          <w:szCs w:val="40"/>
        </w:rPr>
        <w:t>本次评价主要采用因素分析法、比较法、成本效益法、公众评判法等方法，对2024年加力支持消费品以旧换新-新能源公交车及动力电池更新政策实施效果和继续实施的必要性进行评价论证。根据本次绩效评价政策特点，工作组主要采取现场抽查、社会调查的方式开展。</w:t>
      </w:r>
    </w:p>
    <w:p w:rsidR="00FB1D56" w:rsidRDefault="00FB1D56" w:rsidP="00FB1D56">
      <w:pPr>
        <w:ind w:firstLineChars="200" w:firstLine="640"/>
        <w:rPr>
          <w:rFonts w:ascii="仿宋_GB2312" w:hAnsi="仿宋_GB2312"/>
          <w:szCs w:val="40"/>
        </w:rPr>
      </w:pPr>
      <w:r>
        <w:rPr>
          <w:rFonts w:ascii="仿宋_GB2312" w:hAnsi="仿宋_GB2312" w:hint="eastAsia"/>
          <w:szCs w:val="40"/>
        </w:rPr>
        <w:t>（1）因素分析法。通过综合分析影响政策绩效目标实</w:t>
      </w:r>
      <w:r>
        <w:rPr>
          <w:rFonts w:ascii="仿宋_GB2312" w:hAnsi="仿宋_GB2312" w:hint="eastAsia"/>
          <w:szCs w:val="40"/>
        </w:rPr>
        <w:lastRenderedPageBreak/>
        <w:t>现、实施效果的内外因素，评价绩效目标实现程度；通过列举所有影响成本与收益的因素进行综合分析，从而得出评价结果的方法。</w:t>
      </w:r>
    </w:p>
    <w:p w:rsidR="00FB1D56" w:rsidRDefault="00FB1D56" w:rsidP="00FB1D56">
      <w:pPr>
        <w:ind w:firstLineChars="200" w:firstLine="640"/>
        <w:rPr>
          <w:rFonts w:ascii="仿宋_GB2312" w:hAnsi="仿宋_GB2312"/>
          <w:szCs w:val="40"/>
        </w:rPr>
      </w:pPr>
      <w:r>
        <w:rPr>
          <w:rFonts w:ascii="仿宋_GB2312" w:hAnsi="仿宋_GB2312" w:hint="eastAsia"/>
          <w:szCs w:val="40"/>
        </w:rPr>
        <w:t>（2）比较法。通过对绩效目标与实施效果、历史与当期情况、不同部门和地区同类支出的比较，综合分析绩效目标实现程度。</w:t>
      </w:r>
    </w:p>
    <w:p w:rsidR="00FB1D56" w:rsidRDefault="00FB1D56" w:rsidP="00FB1D56">
      <w:pPr>
        <w:ind w:firstLineChars="200" w:firstLine="640"/>
        <w:rPr>
          <w:rFonts w:ascii="仿宋_GB2312" w:hAnsi="仿宋_GB2312"/>
          <w:szCs w:val="40"/>
        </w:rPr>
      </w:pPr>
      <w:r>
        <w:rPr>
          <w:rFonts w:ascii="仿宋_GB2312" w:hAnsi="仿宋_GB2312" w:hint="eastAsia"/>
          <w:szCs w:val="40"/>
        </w:rPr>
        <w:t>（3）成本效益法。通过将一定时期内的支出所产生的效益与付出的成本进行对比分析，从而评价政策绩效的方法。</w:t>
      </w:r>
    </w:p>
    <w:p w:rsidR="00FB1D56" w:rsidRDefault="00FB1D56" w:rsidP="00FB1D56">
      <w:pPr>
        <w:ind w:firstLineChars="200" w:firstLine="640"/>
        <w:rPr>
          <w:rFonts w:ascii="仿宋_GB2312" w:hAnsi="仿宋_GB2312"/>
          <w:szCs w:val="40"/>
        </w:rPr>
      </w:pPr>
      <w:r>
        <w:rPr>
          <w:rFonts w:ascii="仿宋_GB2312" w:hAnsi="仿宋_GB2312" w:hint="eastAsia"/>
          <w:szCs w:val="40"/>
        </w:rPr>
        <w:t>（4）公众评判法。通过专家评估、公众问卷及抽样调查等方式对预算支出绩效情况进行评价。</w:t>
      </w:r>
    </w:p>
    <w:p w:rsidR="00FB1D56" w:rsidRDefault="00FB1D56" w:rsidP="00FB1D56">
      <w:pPr>
        <w:ind w:firstLineChars="200" w:firstLine="640"/>
        <w:outlineLvl w:val="0"/>
        <w:rPr>
          <w:rFonts w:ascii="黑体" w:eastAsia="黑体" w:hAnsi="黑体" w:cs="黑体"/>
          <w:szCs w:val="40"/>
        </w:rPr>
      </w:pPr>
      <w:r>
        <w:rPr>
          <w:rFonts w:ascii="黑体" w:eastAsia="黑体" w:hAnsi="黑体" w:cs="黑体" w:hint="eastAsia"/>
          <w:szCs w:val="40"/>
        </w:rPr>
        <w:t>三、评价结论及分析</w:t>
      </w:r>
      <w:bookmarkEnd w:id="5"/>
    </w:p>
    <w:p w:rsidR="00FB1D56" w:rsidRDefault="00FB1D56" w:rsidP="00FB1D56">
      <w:pPr>
        <w:ind w:firstLineChars="200" w:firstLine="640"/>
        <w:rPr>
          <w:rFonts w:ascii="黑体" w:eastAsia="黑体" w:hAnsi="黑体" w:cs="黑体"/>
          <w:sz w:val="28"/>
          <w:szCs w:val="28"/>
        </w:rPr>
      </w:pPr>
      <w:r>
        <w:rPr>
          <w:rFonts w:ascii="仿宋_GB2312" w:hAnsi="仿宋_GB2312" w:hint="eastAsia"/>
          <w:szCs w:val="40"/>
        </w:rPr>
        <w:t>根据评价情况，结合专家意见，</w:t>
      </w:r>
      <w:proofErr w:type="gramStart"/>
      <w:r>
        <w:rPr>
          <w:rFonts w:ascii="仿宋_GB2312" w:hAnsi="仿宋_GB2312" w:hint="eastAsia"/>
          <w:szCs w:val="40"/>
        </w:rPr>
        <w:t>评价组</w:t>
      </w:r>
      <w:proofErr w:type="gramEnd"/>
      <w:r>
        <w:rPr>
          <w:rFonts w:ascii="仿宋_GB2312" w:hAnsi="仿宋_GB2312" w:hint="eastAsia"/>
          <w:szCs w:val="40"/>
        </w:rPr>
        <w:t>对新能源城市公交车及动力更新政策进行了综合分析，并从政策制定、政策实施、政策效果三个维度对新能源城市公交车及动力更新政策进行了评价，评价得分90.00分（评分情况详见附件1），评价结果为“优”。得分情况见下表：</w:t>
      </w:r>
    </w:p>
    <w:p w:rsidR="00FB1D56" w:rsidRDefault="00FB1D56" w:rsidP="00FB1D56">
      <w:pPr>
        <w:jc w:val="center"/>
        <w:rPr>
          <w:rFonts w:ascii="黑体" w:eastAsia="黑体" w:hAnsi="黑体" w:cs="黑体"/>
          <w:sz w:val="28"/>
          <w:szCs w:val="28"/>
        </w:rPr>
      </w:pPr>
      <w:r>
        <w:rPr>
          <w:rFonts w:ascii="黑体" w:eastAsia="黑体" w:hAnsi="黑体" w:cs="黑体" w:hint="eastAsia"/>
          <w:sz w:val="28"/>
          <w:szCs w:val="28"/>
        </w:rPr>
        <w:t>2024年加力支持消费品以旧换新</w:t>
      </w:r>
    </w:p>
    <w:p w:rsidR="00FB1D56" w:rsidRDefault="00FB1D56" w:rsidP="00FB1D56">
      <w:pPr>
        <w:jc w:val="center"/>
        <w:rPr>
          <w:rFonts w:ascii="黑体" w:eastAsia="黑体" w:hAnsi="黑体" w:cs="黑体"/>
          <w:sz w:val="28"/>
          <w:szCs w:val="28"/>
        </w:rPr>
      </w:pPr>
      <w:r>
        <w:rPr>
          <w:rFonts w:ascii="黑体" w:eastAsia="黑体" w:hAnsi="黑体" w:cs="黑体" w:hint="eastAsia"/>
          <w:sz w:val="28"/>
          <w:szCs w:val="28"/>
        </w:rPr>
        <w:t>-新能源公交车及动力电池更新政策绩效评价得分情况表</w:t>
      </w:r>
    </w:p>
    <w:tbl>
      <w:tblPr>
        <w:tblStyle w:val="a5"/>
        <w:tblW w:w="0" w:type="auto"/>
        <w:tblInd w:w="229" w:type="dxa"/>
        <w:tblLook w:val="04A0" w:firstRow="1" w:lastRow="0" w:firstColumn="1" w:lastColumn="0" w:noHBand="0" w:noVBand="1"/>
      </w:tblPr>
      <w:tblGrid>
        <w:gridCol w:w="2070"/>
        <w:gridCol w:w="2072"/>
        <w:gridCol w:w="2074"/>
        <w:gridCol w:w="2077"/>
      </w:tblGrid>
      <w:tr w:rsidR="00FB1D56" w:rsidTr="00FC0A59">
        <w:trPr>
          <w:trHeight w:val="454"/>
        </w:trPr>
        <w:tc>
          <w:tcPr>
            <w:tcW w:w="2087" w:type="dxa"/>
            <w:vAlign w:val="center"/>
          </w:tcPr>
          <w:p w:rsidR="00FB1D56" w:rsidRDefault="00FB1D56" w:rsidP="00FC0A59">
            <w:pPr>
              <w:jc w:val="center"/>
              <w:rPr>
                <w:rFonts w:ascii="黑体" w:eastAsia="黑体" w:hAnsi="黑体" w:cs="黑体"/>
                <w:sz w:val="28"/>
                <w:szCs w:val="28"/>
              </w:rPr>
            </w:pPr>
            <w:r>
              <w:rPr>
                <w:rFonts w:ascii="黑体" w:eastAsia="黑体" w:hAnsi="黑体" w:cs="黑体" w:hint="eastAsia"/>
                <w:sz w:val="28"/>
                <w:szCs w:val="28"/>
              </w:rPr>
              <w:t>一级指标</w:t>
            </w:r>
          </w:p>
        </w:tc>
        <w:tc>
          <w:tcPr>
            <w:tcW w:w="2087" w:type="dxa"/>
            <w:vAlign w:val="center"/>
          </w:tcPr>
          <w:p w:rsidR="00FB1D56" w:rsidRDefault="00FB1D56" w:rsidP="00FC0A59">
            <w:pPr>
              <w:jc w:val="center"/>
              <w:rPr>
                <w:rFonts w:ascii="黑体" w:eastAsia="黑体" w:hAnsi="黑体" w:cs="黑体"/>
                <w:sz w:val="28"/>
                <w:szCs w:val="28"/>
              </w:rPr>
            </w:pPr>
            <w:r>
              <w:rPr>
                <w:rFonts w:ascii="黑体" w:eastAsia="黑体" w:hAnsi="黑体" w:cs="黑体" w:hint="eastAsia"/>
                <w:sz w:val="28"/>
                <w:szCs w:val="28"/>
              </w:rPr>
              <w:t>指标分值</w:t>
            </w:r>
          </w:p>
        </w:tc>
        <w:tc>
          <w:tcPr>
            <w:tcW w:w="2087" w:type="dxa"/>
            <w:vAlign w:val="center"/>
          </w:tcPr>
          <w:p w:rsidR="00FB1D56" w:rsidRDefault="00FB1D56" w:rsidP="00FC0A59">
            <w:pPr>
              <w:jc w:val="center"/>
              <w:rPr>
                <w:rFonts w:ascii="黑体" w:eastAsia="黑体" w:hAnsi="黑体" w:cs="黑体"/>
                <w:sz w:val="28"/>
                <w:szCs w:val="28"/>
              </w:rPr>
            </w:pPr>
            <w:r>
              <w:rPr>
                <w:rFonts w:ascii="黑体" w:eastAsia="黑体" w:hAnsi="黑体" w:cs="黑体" w:hint="eastAsia"/>
                <w:sz w:val="28"/>
                <w:szCs w:val="28"/>
              </w:rPr>
              <w:t>得分</w:t>
            </w:r>
          </w:p>
        </w:tc>
        <w:tc>
          <w:tcPr>
            <w:tcW w:w="2088" w:type="dxa"/>
            <w:vAlign w:val="center"/>
          </w:tcPr>
          <w:p w:rsidR="00FB1D56" w:rsidRDefault="00FB1D56" w:rsidP="00FC0A59">
            <w:pPr>
              <w:jc w:val="center"/>
              <w:rPr>
                <w:rFonts w:ascii="黑体" w:eastAsia="黑体" w:hAnsi="黑体" w:cs="黑体"/>
                <w:sz w:val="28"/>
                <w:szCs w:val="28"/>
              </w:rPr>
            </w:pPr>
            <w:r>
              <w:rPr>
                <w:rFonts w:ascii="黑体" w:eastAsia="黑体" w:hAnsi="黑体" w:cs="黑体" w:hint="eastAsia"/>
                <w:sz w:val="28"/>
                <w:szCs w:val="28"/>
              </w:rPr>
              <w:t>得分率</w:t>
            </w:r>
          </w:p>
        </w:tc>
      </w:tr>
      <w:tr w:rsidR="00FB1D56" w:rsidTr="00FC0A59">
        <w:trPr>
          <w:trHeight w:val="454"/>
        </w:trPr>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政策制定</w:t>
            </w:r>
          </w:p>
        </w:tc>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10</w:t>
            </w:r>
          </w:p>
        </w:tc>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9.5</w:t>
            </w:r>
          </w:p>
        </w:tc>
        <w:tc>
          <w:tcPr>
            <w:tcW w:w="2088"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95%</w:t>
            </w:r>
          </w:p>
        </w:tc>
      </w:tr>
      <w:tr w:rsidR="00FB1D56" w:rsidTr="00FC0A59">
        <w:trPr>
          <w:trHeight w:val="454"/>
        </w:trPr>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政策实施</w:t>
            </w:r>
          </w:p>
        </w:tc>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30</w:t>
            </w:r>
          </w:p>
        </w:tc>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24.00</w:t>
            </w:r>
          </w:p>
        </w:tc>
        <w:tc>
          <w:tcPr>
            <w:tcW w:w="2088"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80%</w:t>
            </w:r>
          </w:p>
        </w:tc>
      </w:tr>
      <w:tr w:rsidR="00FB1D56" w:rsidTr="00FC0A59">
        <w:trPr>
          <w:trHeight w:val="454"/>
        </w:trPr>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政策效果</w:t>
            </w:r>
          </w:p>
        </w:tc>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60</w:t>
            </w:r>
          </w:p>
        </w:tc>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56.5</w:t>
            </w:r>
          </w:p>
        </w:tc>
        <w:tc>
          <w:tcPr>
            <w:tcW w:w="2088"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94.17%</w:t>
            </w:r>
          </w:p>
        </w:tc>
      </w:tr>
      <w:tr w:rsidR="00FB1D56" w:rsidTr="00FC0A59">
        <w:trPr>
          <w:trHeight w:val="454"/>
        </w:trPr>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合计</w:t>
            </w:r>
          </w:p>
        </w:tc>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100</w:t>
            </w:r>
          </w:p>
        </w:tc>
        <w:tc>
          <w:tcPr>
            <w:tcW w:w="2087"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90.00</w:t>
            </w:r>
          </w:p>
        </w:tc>
        <w:tc>
          <w:tcPr>
            <w:tcW w:w="2088" w:type="dxa"/>
            <w:vAlign w:val="center"/>
          </w:tcPr>
          <w:p w:rsidR="00FB1D56" w:rsidRDefault="00FB1D56" w:rsidP="00FC0A59">
            <w:pPr>
              <w:jc w:val="center"/>
              <w:rPr>
                <w:rFonts w:ascii="仿宋_GB2312" w:hAnsi="仿宋_GB2312"/>
                <w:sz w:val="28"/>
                <w:szCs w:val="28"/>
              </w:rPr>
            </w:pPr>
            <w:r>
              <w:rPr>
                <w:rFonts w:ascii="仿宋_GB2312" w:hAnsi="仿宋_GB2312" w:hint="eastAsia"/>
                <w:sz w:val="28"/>
                <w:szCs w:val="28"/>
              </w:rPr>
              <w:t>90.00%</w:t>
            </w:r>
          </w:p>
        </w:tc>
      </w:tr>
    </w:tbl>
    <w:p w:rsidR="00FB1D56" w:rsidRDefault="00FB1D56" w:rsidP="00FB1D56">
      <w:pPr>
        <w:ind w:firstLineChars="200" w:firstLine="640"/>
        <w:outlineLvl w:val="1"/>
        <w:rPr>
          <w:rFonts w:ascii="楷体_GB2312" w:eastAsia="楷体_GB2312" w:hAnsi="楷体_GB2312" w:cs="楷体_GB2312"/>
          <w:szCs w:val="40"/>
        </w:rPr>
      </w:pPr>
      <w:bookmarkStart w:id="6" w:name="_Toc203829344"/>
      <w:r>
        <w:rPr>
          <w:rFonts w:ascii="楷体_GB2312" w:eastAsia="楷体_GB2312" w:hAnsi="楷体_GB2312" w:cs="楷体_GB2312" w:hint="eastAsia"/>
          <w:szCs w:val="40"/>
        </w:rPr>
        <w:lastRenderedPageBreak/>
        <w:t>（一）政策制定。指标分值10分，得分9.5分，得分率95%。</w:t>
      </w:r>
      <w:bookmarkEnd w:id="6"/>
    </w:p>
    <w:p w:rsidR="00FB1D56" w:rsidRDefault="00FB1D56" w:rsidP="00FB1D56">
      <w:pPr>
        <w:ind w:firstLineChars="200" w:firstLine="640"/>
        <w:rPr>
          <w:rFonts w:ascii="仿宋_GB2312" w:hAnsi="仿宋_GB2312"/>
          <w:szCs w:val="40"/>
        </w:rPr>
      </w:pPr>
      <w:r>
        <w:rPr>
          <w:rFonts w:ascii="仿宋_GB2312" w:hAnsi="仿宋_GB2312" w:hint="eastAsia"/>
          <w:szCs w:val="40"/>
        </w:rPr>
        <w:t>本项政策根据《交通运输部 财政部关于印发新能源城市公交车及动力电池更新补贴实施细则的通知》（交运函〔2024〕390号）等要求设立，同时制定了补助标准及审核、发放流程，目的是为了进一步提升我市公共交通领域新能源车辆比例，政策目标较为明确清晰，但部分绩效目标设置不够科学、合理。</w:t>
      </w:r>
    </w:p>
    <w:p w:rsidR="00FB1D56" w:rsidRDefault="00FB1D56" w:rsidP="00FB1D56">
      <w:pPr>
        <w:ind w:firstLineChars="200" w:firstLine="640"/>
        <w:rPr>
          <w:rFonts w:ascii="仿宋_GB2312" w:hAnsi="仿宋_GB2312"/>
          <w:highlight w:val="yellow"/>
        </w:rPr>
      </w:pPr>
      <w:r>
        <w:rPr>
          <w:rFonts w:ascii="仿宋_GB2312" w:hAnsi="仿宋_GB2312" w:hint="eastAsia"/>
        </w:rPr>
        <w:t>1.政策设立。指标分值3分，得分3分。包括设立依据充分性和设立程序规范性2个三级指标。</w:t>
      </w:r>
    </w:p>
    <w:p w:rsidR="00FB1D56" w:rsidRDefault="00FB1D56" w:rsidP="00FB1D56">
      <w:pPr>
        <w:ind w:firstLineChars="200" w:firstLine="640"/>
        <w:rPr>
          <w:rFonts w:ascii="仿宋_GB2312" w:hAnsi="仿宋_GB2312"/>
        </w:rPr>
      </w:pPr>
      <w:r>
        <w:rPr>
          <w:rFonts w:ascii="仿宋_GB2312" w:hAnsi="仿宋_GB2312" w:hint="eastAsia"/>
        </w:rPr>
        <w:t>（1）“设立依据充分性”指标分值1.5分，得分1.5分。根据《国务院关于印发〈推动大规模设备更新和消费品以旧换新行动方案〉的通知》（国发〔2024〕7号）、《国家发展改革委 财政部印发〈关于加力支持大规模设备更新和消费品以旧换新的若干措施〉的通知》（</w:t>
      </w:r>
      <w:proofErr w:type="gramStart"/>
      <w:r>
        <w:rPr>
          <w:rFonts w:ascii="仿宋_GB2312" w:hAnsi="仿宋_GB2312" w:hint="eastAsia"/>
        </w:rPr>
        <w:t>发改环</w:t>
      </w:r>
      <w:proofErr w:type="gramEnd"/>
      <w:r>
        <w:rPr>
          <w:rFonts w:ascii="仿宋_GB2312" w:hAnsi="仿宋_GB2312" w:hint="eastAsia"/>
        </w:rPr>
        <w:t>资〔2024〕1104号）、青岛市发展和改革委员会等9部门《关于印发青岛市加力支持消费品以旧换新实施方案的通知》（</w:t>
      </w:r>
      <w:proofErr w:type="gramStart"/>
      <w:r>
        <w:rPr>
          <w:rFonts w:ascii="仿宋_GB2312" w:hAnsi="仿宋_GB2312" w:hint="eastAsia"/>
        </w:rPr>
        <w:t>青发改环资</w:t>
      </w:r>
      <w:proofErr w:type="gramEnd"/>
      <w:r>
        <w:rPr>
          <w:rFonts w:ascii="仿宋_GB2312" w:hAnsi="仿宋_GB2312" w:hint="eastAsia"/>
        </w:rPr>
        <w:t>〔2024〕269号）等相关文件，市交通局等部门制定2024年加力支持消费品以旧换新-新能源公交车及动力电池更新政策实施细则并组织实施，政策设立依据充分，按照评分标准得满分。</w:t>
      </w:r>
    </w:p>
    <w:p w:rsidR="00FB1D56" w:rsidRDefault="00FB1D56" w:rsidP="00FB1D56">
      <w:pPr>
        <w:ind w:firstLineChars="200" w:firstLine="640"/>
        <w:rPr>
          <w:rFonts w:ascii="仿宋_GB2312" w:hAnsi="仿宋_GB2312"/>
        </w:rPr>
      </w:pPr>
      <w:r>
        <w:rPr>
          <w:rFonts w:ascii="仿宋_GB2312" w:hAnsi="仿宋_GB2312" w:hint="eastAsia"/>
        </w:rPr>
        <w:t>（2）“设立程序规范性”指标分值1.5分，得分1.5分。2024年新能源城市公交车及动力电池更新补贴政策根据中央和省级相关政策要求及标准制定，按程序申请设立，设立</w:t>
      </w:r>
      <w:r>
        <w:rPr>
          <w:rFonts w:ascii="仿宋_GB2312" w:hAnsi="仿宋_GB2312" w:hint="eastAsia"/>
        </w:rPr>
        <w:lastRenderedPageBreak/>
        <w:t>程序规范，按照评分标准得满分。</w:t>
      </w:r>
    </w:p>
    <w:p w:rsidR="00FB1D56" w:rsidRDefault="00FB1D56" w:rsidP="00FB1D56">
      <w:pPr>
        <w:ind w:firstLineChars="200" w:firstLine="640"/>
        <w:rPr>
          <w:rFonts w:ascii="仿宋_GB2312" w:hAnsi="仿宋_GB2312"/>
        </w:rPr>
      </w:pPr>
      <w:r>
        <w:rPr>
          <w:rFonts w:ascii="仿宋_GB2312" w:hAnsi="仿宋_GB2312" w:hint="eastAsia"/>
        </w:rPr>
        <w:t>2</w:t>
      </w:r>
      <w:r>
        <w:rPr>
          <w:rFonts w:ascii="仿宋_GB2312" w:hAnsi="仿宋_GB2312"/>
        </w:rPr>
        <w:t>.</w:t>
      </w:r>
      <w:r>
        <w:rPr>
          <w:rFonts w:ascii="仿宋_GB2312" w:hAnsi="仿宋_GB2312" w:hint="eastAsia"/>
        </w:rPr>
        <w:t>政策目标。指标分值2分，得分</w:t>
      </w:r>
      <w:r>
        <w:rPr>
          <w:rFonts w:ascii="仿宋_GB2312" w:hAnsi="仿宋_GB2312"/>
        </w:rPr>
        <w:t>1.5</w:t>
      </w:r>
      <w:r>
        <w:rPr>
          <w:rFonts w:ascii="仿宋_GB2312" w:hAnsi="仿宋_GB2312" w:hint="eastAsia"/>
        </w:rPr>
        <w:t>分，扣减0</w:t>
      </w:r>
      <w:r>
        <w:rPr>
          <w:rFonts w:ascii="仿宋_GB2312" w:hAnsi="仿宋_GB2312"/>
        </w:rPr>
        <w:t>.5</w:t>
      </w:r>
      <w:r>
        <w:rPr>
          <w:rFonts w:ascii="仿宋_GB2312" w:hAnsi="仿宋_GB2312" w:hint="eastAsia"/>
        </w:rPr>
        <w:t>分。包括目标合理性1个三级指标。</w:t>
      </w:r>
    </w:p>
    <w:p w:rsidR="00FB1D56" w:rsidRDefault="00FB1D56" w:rsidP="00FB1D56">
      <w:pPr>
        <w:ind w:firstLineChars="200" w:firstLine="640"/>
        <w:rPr>
          <w:rFonts w:ascii="仿宋_GB2312" w:hAnsi="仿宋_GB2312"/>
        </w:rPr>
      </w:pPr>
      <w:r>
        <w:rPr>
          <w:rFonts w:ascii="仿宋_GB2312" w:hAnsi="仿宋_GB2312" w:hint="eastAsia"/>
        </w:rPr>
        <w:t>（1）“目标合理性”指标分值2分，得分1.5分，扣减0.5分，主要原因为：经济效益指标设置为“8.5 米级公交车更新购置单价≤95 万元、7米级公交车更新购置单价≤75 万元”，该指标实际为成本指标，按照评价标准扣</w:t>
      </w:r>
      <w:r>
        <w:rPr>
          <w:rFonts w:ascii="仿宋_GB2312" w:hAnsi="仿宋_GB2312"/>
        </w:rPr>
        <w:t>0.5</w:t>
      </w:r>
      <w:r>
        <w:rPr>
          <w:rFonts w:ascii="仿宋_GB2312" w:hAnsi="仿宋_GB2312" w:hint="eastAsia"/>
        </w:rPr>
        <w:t>分。</w:t>
      </w:r>
    </w:p>
    <w:p w:rsidR="00FB1D56" w:rsidRDefault="00FB1D56" w:rsidP="00FB1D56">
      <w:pPr>
        <w:ind w:firstLineChars="200" w:firstLine="640"/>
        <w:rPr>
          <w:rFonts w:ascii="仿宋_GB2312" w:hAnsi="仿宋_GB2312"/>
        </w:rPr>
      </w:pPr>
      <w:r>
        <w:rPr>
          <w:rFonts w:ascii="仿宋_GB2312" w:hAnsi="仿宋_GB2312" w:hint="eastAsia"/>
        </w:rPr>
        <w:t>3.资金安排。指标分值5分，得分5分。包括政策支出标准科学性、资金分配合理性2个三级指标。</w:t>
      </w:r>
    </w:p>
    <w:p w:rsidR="00FB1D56" w:rsidRDefault="00FB1D56" w:rsidP="00FB1D56">
      <w:pPr>
        <w:ind w:firstLineChars="200" w:firstLine="640"/>
        <w:rPr>
          <w:rFonts w:ascii="仿宋_GB2312" w:hAnsi="仿宋_GB2312"/>
          <w:highlight w:val="cyan"/>
        </w:rPr>
      </w:pPr>
      <w:r>
        <w:rPr>
          <w:rFonts w:ascii="仿宋_GB2312" w:hAnsi="仿宋_GB2312" w:hint="eastAsia"/>
        </w:rPr>
        <w:t>（1）“政策支出标准科学性”指标分值2.5分，得分2.5分。根据按照交通运输部、财政部《关于印发新能源城市公交车及动力电池更新补贴实施细则的通知》（交运函〔2024〕390号）等相关配套文件，在全市范围内组织实施2024年加力支持消费品以旧换新-新能源公交车及动力电池更新政策，政策设立依据充分，按照评分标准得满分。</w:t>
      </w:r>
    </w:p>
    <w:p w:rsidR="00FB1D56" w:rsidRDefault="00FB1D56" w:rsidP="00FB1D56">
      <w:pPr>
        <w:ind w:firstLineChars="200" w:firstLine="640"/>
      </w:pPr>
      <w:r>
        <w:rPr>
          <w:rFonts w:ascii="仿宋_GB2312" w:hAnsi="仿宋_GB2312" w:hint="eastAsia"/>
        </w:rPr>
        <w:t>（2）“资金分配合理性”指标分值2.5分，得分2.5分。政策已制定相关资金管理办法，并在管理办法中明确资金分配办法，未发现不合</w:t>
      </w:r>
      <w:proofErr w:type="gramStart"/>
      <w:r>
        <w:rPr>
          <w:rFonts w:ascii="仿宋_GB2312" w:hAnsi="仿宋_GB2312" w:hint="eastAsia"/>
        </w:rPr>
        <w:t>规</w:t>
      </w:r>
      <w:proofErr w:type="gramEnd"/>
      <w:r>
        <w:rPr>
          <w:rFonts w:ascii="仿宋_GB2312" w:hAnsi="仿宋_GB2312" w:hint="eastAsia"/>
        </w:rPr>
        <w:t>不合理情况，按照评分标准得满分。</w:t>
      </w:r>
    </w:p>
    <w:p w:rsidR="00FB1D56" w:rsidRDefault="00FB1D56" w:rsidP="00FB1D56">
      <w:pPr>
        <w:ind w:firstLineChars="200" w:firstLine="640"/>
        <w:outlineLvl w:val="1"/>
        <w:rPr>
          <w:rFonts w:ascii="楷体_GB2312" w:eastAsia="楷体_GB2312" w:hAnsi="楷体_GB2312" w:cs="楷体_GB2312"/>
          <w:szCs w:val="40"/>
        </w:rPr>
      </w:pPr>
      <w:r>
        <w:rPr>
          <w:rFonts w:ascii="楷体_GB2312" w:eastAsia="楷体_GB2312" w:hAnsi="楷体_GB2312" w:cs="楷体_GB2312" w:hint="eastAsia"/>
          <w:szCs w:val="40"/>
        </w:rPr>
        <w:t>（二）政策实施。指标分值30分，得分24分，得分率80%。</w:t>
      </w:r>
    </w:p>
    <w:p w:rsidR="00FB1D56" w:rsidRDefault="00FB1D56" w:rsidP="00FB1D56">
      <w:pPr>
        <w:ind w:firstLineChars="200" w:firstLine="640"/>
        <w:rPr>
          <w:rFonts w:ascii="仿宋_GB2312" w:hAnsi="仿宋_GB2312"/>
          <w:szCs w:val="40"/>
        </w:rPr>
      </w:pPr>
      <w:r>
        <w:rPr>
          <w:rFonts w:ascii="仿宋_GB2312" w:hAnsi="仿宋_GB2312" w:hint="eastAsia"/>
        </w:rPr>
        <w:t>新能源城市公交车及动力电池更新补贴政策由中央及地方按照85：15投入配套资金，严格按照相关资金管理办法进行管理，由市交通局对补贴申报资料进行审核，审核通</w:t>
      </w:r>
      <w:r>
        <w:rPr>
          <w:rFonts w:ascii="仿宋_GB2312" w:hAnsi="仿宋_GB2312" w:hint="eastAsia"/>
        </w:rPr>
        <w:lastRenderedPageBreak/>
        <w:t>过后进行补贴发放，但实施过程监管不足，存在</w:t>
      </w:r>
      <w:r>
        <w:rPr>
          <w:rFonts w:ascii="仿宋_GB2312" w:hAnsi="仿宋_GB2312" w:hint="eastAsia"/>
          <w:szCs w:val="40"/>
        </w:rPr>
        <w:t>废旧电池处置情况监管空白、新能源公交车及动力电池验收环节监管不严的情况。</w:t>
      </w:r>
    </w:p>
    <w:p w:rsidR="00FB1D56" w:rsidRDefault="00FB1D56" w:rsidP="00FB1D56">
      <w:pPr>
        <w:ind w:firstLineChars="200" w:firstLine="640"/>
        <w:rPr>
          <w:rFonts w:ascii="仿宋_GB2312" w:hAnsi="仿宋_GB2312"/>
        </w:rPr>
      </w:pPr>
      <w:r>
        <w:rPr>
          <w:rFonts w:ascii="仿宋_GB2312" w:hAnsi="仿宋_GB2312" w:hint="eastAsia"/>
        </w:rPr>
        <w:t>1.资金管理。指标分值12分，得分12分。包括资金到位保障、预算执行率和资金使用规范性3个三级指标。</w:t>
      </w:r>
    </w:p>
    <w:p w:rsidR="00FB1D56" w:rsidRDefault="00FB1D56" w:rsidP="00FB1D56">
      <w:pPr>
        <w:ind w:firstLineChars="200" w:firstLine="640"/>
        <w:rPr>
          <w:rFonts w:ascii="仿宋_GB2312" w:hAnsi="仿宋_GB2312"/>
          <w:highlight w:val="yellow"/>
        </w:rPr>
      </w:pPr>
      <w:r>
        <w:rPr>
          <w:rFonts w:ascii="仿宋_GB2312" w:hAnsi="仿宋_GB2312" w:hint="eastAsia"/>
        </w:rPr>
        <w:t>（1）“资金到位保障”指标分值3分，得分3分。根据《国家发展改革委 财政部印发〈关于加力支持大规模设备更新和消费品以旧换新的若干措施〉的通知》（</w:t>
      </w:r>
      <w:proofErr w:type="gramStart"/>
      <w:r>
        <w:rPr>
          <w:rFonts w:ascii="仿宋_GB2312" w:hAnsi="仿宋_GB2312" w:hint="eastAsia"/>
        </w:rPr>
        <w:t>发改环</w:t>
      </w:r>
      <w:proofErr w:type="gramEnd"/>
      <w:r>
        <w:rPr>
          <w:rFonts w:ascii="仿宋_GB2312" w:hAnsi="仿宋_GB2312" w:hint="eastAsia"/>
        </w:rPr>
        <w:t>资〔2024〕1104号）等文件要求，补贴资金由中央、青岛市两级财政按照8.5:1.5分担，青岛市级财政已按政策要求投入配套资金并落实到位，按照评分标准得满分。</w:t>
      </w:r>
    </w:p>
    <w:p w:rsidR="00FB1D56" w:rsidRDefault="00FB1D56" w:rsidP="00FB1D56">
      <w:pPr>
        <w:ind w:firstLineChars="200" w:firstLine="640"/>
        <w:rPr>
          <w:rFonts w:ascii="仿宋_GB2312" w:hAnsi="仿宋_GB2312"/>
        </w:rPr>
      </w:pPr>
      <w:r>
        <w:rPr>
          <w:rFonts w:ascii="仿宋_GB2312" w:hAnsi="仿宋_GB2312" w:hint="eastAsia"/>
        </w:rPr>
        <w:t>（2）“预算执行率”指标分值3分，得分3分。政策计划安排资金9,471.00万元，实际兑付资金9,471.00万元，预算执行率100.00%，按照评分标准得满分。</w:t>
      </w:r>
    </w:p>
    <w:p w:rsidR="00FB1D56" w:rsidRDefault="00FB1D56" w:rsidP="00FB1D56">
      <w:pPr>
        <w:ind w:firstLineChars="200" w:firstLine="640"/>
        <w:rPr>
          <w:rFonts w:ascii="仿宋_GB2312" w:hAnsi="仿宋_GB2312"/>
        </w:rPr>
      </w:pPr>
      <w:r>
        <w:rPr>
          <w:rFonts w:ascii="仿宋_GB2312" w:hAnsi="仿宋_GB2312" w:hint="eastAsia"/>
        </w:rPr>
        <w:t>（3）“资金使用规范性”指标分值6分，得分6分。经评价，政策资金使用符合相关的资金管理办法及财务管理规定，未发现不合</w:t>
      </w:r>
      <w:proofErr w:type="gramStart"/>
      <w:r>
        <w:rPr>
          <w:rFonts w:ascii="仿宋_GB2312" w:hAnsi="仿宋_GB2312" w:hint="eastAsia"/>
        </w:rPr>
        <w:t>规</w:t>
      </w:r>
      <w:proofErr w:type="gramEnd"/>
      <w:r>
        <w:rPr>
          <w:rFonts w:ascii="仿宋_GB2312" w:hAnsi="仿宋_GB2312" w:hint="eastAsia"/>
        </w:rPr>
        <w:t>使用现象，按照评分标准得满分。</w:t>
      </w:r>
    </w:p>
    <w:p w:rsidR="00FB1D56" w:rsidRDefault="00FB1D56" w:rsidP="00FB1D56">
      <w:pPr>
        <w:ind w:firstLineChars="200" w:firstLine="640"/>
        <w:rPr>
          <w:rFonts w:ascii="仿宋_GB2312" w:hAnsi="仿宋_GB2312"/>
        </w:rPr>
      </w:pPr>
      <w:r>
        <w:rPr>
          <w:rFonts w:ascii="仿宋_GB2312" w:hAnsi="仿宋_GB2312" w:hint="eastAsia"/>
        </w:rPr>
        <w:t>2.保障机制。指标分值18分，得分12分，扣减6分。包括政策制度健全性和政策执行监管2个三级指标。</w:t>
      </w:r>
    </w:p>
    <w:p w:rsidR="00FB1D56" w:rsidRDefault="00FB1D56" w:rsidP="00FB1D56">
      <w:pPr>
        <w:ind w:firstLineChars="200" w:firstLine="640"/>
        <w:rPr>
          <w:rFonts w:ascii="仿宋_GB2312" w:hAnsi="仿宋_GB2312"/>
        </w:rPr>
      </w:pPr>
      <w:r>
        <w:rPr>
          <w:rFonts w:ascii="仿宋_GB2312" w:hAnsi="仿宋_GB2312" w:hint="eastAsia"/>
        </w:rPr>
        <w:t>（1）“政策制度健全性”指标分值8分，得分7分，扣减1分。主要原因为：市交通局未按照规定制定相关业务管理制度，考虑到受补助企业能够基于现有政策框架较好地完成申报工作，当前制度的宏观导向和核心保障作用已实现，</w:t>
      </w:r>
      <w:r>
        <w:rPr>
          <w:rFonts w:ascii="仿宋_GB2312" w:hAnsi="仿宋_GB2312" w:hint="eastAsia"/>
        </w:rPr>
        <w:lastRenderedPageBreak/>
        <w:t>按照评分标准酌情扣1分，得7分。</w:t>
      </w:r>
    </w:p>
    <w:p w:rsidR="00FB1D56" w:rsidRDefault="00FB1D56" w:rsidP="00FB1D56">
      <w:pPr>
        <w:ind w:firstLineChars="200" w:firstLine="640"/>
      </w:pPr>
      <w:r>
        <w:rPr>
          <w:rFonts w:ascii="仿宋_GB2312" w:hAnsi="仿宋_GB2312" w:hint="eastAsia"/>
        </w:rPr>
        <w:t>（2）“政策执行监管”指标分值10分，得分5分，扣减5分。主要原因为：根据市交通局提供的政策实施方案以及对各补贴单位提供的佐证材料等相关资料进行的抽查，发现废旧电池处置情况监管空白、新能源公交车及动力电池验收环节监管不严。按照评分标准扣2/4权重分，得5分。</w:t>
      </w:r>
    </w:p>
    <w:p w:rsidR="00FB1D56" w:rsidRDefault="00FB1D56" w:rsidP="00FB1D56">
      <w:pPr>
        <w:ind w:firstLineChars="200" w:firstLine="640"/>
        <w:outlineLvl w:val="1"/>
        <w:rPr>
          <w:rFonts w:ascii="楷体_GB2312" w:eastAsia="楷体_GB2312" w:hAnsi="楷体_GB2312" w:cs="楷体_GB2312"/>
          <w:szCs w:val="40"/>
        </w:rPr>
      </w:pPr>
      <w:r>
        <w:rPr>
          <w:rFonts w:ascii="楷体_GB2312" w:eastAsia="楷体_GB2312" w:hAnsi="楷体_GB2312" w:cs="楷体_GB2312" w:hint="eastAsia"/>
          <w:szCs w:val="40"/>
        </w:rPr>
        <w:t>（三）政策效果。政策效果指标分值60分，得分56.50分，得分率94.17</w:t>
      </w:r>
      <w:r>
        <w:rPr>
          <w:rFonts w:ascii="楷体_GB2312" w:eastAsia="楷体_GB2312" w:hAnsi="楷体_GB2312" w:cs="楷体_GB2312"/>
          <w:szCs w:val="40"/>
        </w:rPr>
        <w:t>%</w:t>
      </w:r>
      <w:r>
        <w:rPr>
          <w:rFonts w:ascii="楷体_GB2312" w:eastAsia="楷体_GB2312" w:hAnsi="楷体_GB2312" w:cs="楷体_GB2312" w:hint="eastAsia"/>
          <w:szCs w:val="40"/>
        </w:rPr>
        <w:t>。</w:t>
      </w:r>
    </w:p>
    <w:p w:rsidR="00FB1D56" w:rsidRDefault="00FB1D56" w:rsidP="00FB1D56">
      <w:pPr>
        <w:pStyle w:val="a4"/>
        <w:spacing w:line="600" w:lineRule="exact"/>
        <w:ind w:firstLine="640"/>
        <w:outlineLvl w:val="9"/>
        <w:rPr>
          <w:rFonts w:ascii="仿宋_GB2312" w:eastAsia="仿宋_GB2312" w:hAnsi="仿宋_GB2312"/>
        </w:rPr>
      </w:pPr>
      <w:r>
        <w:rPr>
          <w:rFonts w:ascii="仿宋_GB2312" w:eastAsia="仿宋_GB2312" w:hAnsi="仿宋_GB2312" w:hint="eastAsia"/>
        </w:rPr>
        <w:t>调研结果显示，2024年加力支持消费品以旧换新-新能源公交车及动力电池更新政策执行到位，补贴资金发放及时，公交企业满意度较高。</w:t>
      </w:r>
    </w:p>
    <w:p w:rsidR="00FB1D56" w:rsidRDefault="00FB1D56" w:rsidP="00FB1D56">
      <w:pPr>
        <w:pStyle w:val="a4"/>
        <w:spacing w:line="600" w:lineRule="exact"/>
        <w:ind w:firstLine="640"/>
        <w:outlineLvl w:val="9"/>
        <w:rPr>
          <w:rFonts w:ascii="仿宋_GB2312" w:eastAsia="仿宋_GB2312" w:hAnsi="仿宋_GB2312"/>
        </w:rPr>
      </w:pPr>
      <w:bookmarkStart w:id="7" w:name="_Toc28563"/>
      <w:r>
        <w:rPr>
          <w:rFonts w:ascii="仿宋_GB2312" w:eastAsia="仿宋_GB2312" w:hAnsi="仿宋_GB2312" w:hint="eastAsia"/>
        </w:rPr>
        <w:t>1.政策产出。指标分值</w:t>
      </w:r>
      <w:r>
        <w:rPr>
          <w:rFonts w:ascii="仿宋_GB2312" w:hAnsi="仿宋_GB2312" w:hint="eastAsia"/>
        </w:rPr>
        <w:t>20</w:t>
      </w:r>
      <w:r>
        <w:rPr>
          <w:rFonts w:ascii="仿宋_GB2312" w:eastAsia="仿宋_GB2312" w:hAnsi="仿宋_GB2312" w:hint="eastAsia"/>
        </w:rPr>
        <w:t>分，得分20分。包括数量指标、质量指标、时效指标和成本指标4个三级指标。</w:t>
      </w:r>
    </w:p>
    <w:p w:rsidR="00FB1D56" w:rsidRDefault="00FB1D56" w:rsidP="00FB1D56">
      <w:pPr>
        <w:pStyle w:val="a4"/>
        <w:spacing w:line="600" w:lineRule="exact"/>
        <w:ind w:firstLine="640"/>
        <w:outlineLvl w:val="9"/>
        <w:rPr>
          <w:rFonts w:ascii="仿宋_GB2312" w:hAnsi="仿宋_GB2312"/>
        </w:rPr>
      </w:pPr>
      <w:r>
        <w:rPr>
          <w:rFonts w:ascii="仿宋_GB2312" w:hAnsi="仿宋_GB2312" w:hint="eastAsia"/>
        </w:rPr>
        <w:t>（</w:t>
      </w:r>
      <w:r>
        <w:rPr>
          <w:rFonts w:ascii="仿宋_GB2312" w:hAnsi="仿宋_GB2312" w:hint="eastAsia"/>
        </w:rPr>
        <w:t>1</w:t>
      </w:r>
      <w:r>
        <w:rPr>
          <w:rFonts w:ascii="仿宋_GB2312" w:hAnsi="仿宋_GB2312" w:hint="eastAsia"/>
        </w:rPr>
        <w:t>）数量指标</w:t>
      </w:r>
      <w:r>
        <w:rPr>
          <w:rFonts w:ascii="仿宋_GB2312" w:eastAsia="仿宋_GB2312" w:hAnsi="仿宋_GB2312" w:hint="eastAsia"/>
        </w:rPr>
        <w:t>。指标分值</w:t>
      </w:r>
      <w:r>
        <w:rPr>
          <w:rFonts w:ascii="仿宋_GB2312" w:hAnsi="仿宋_GB2312" w:hint="eastAsia"/>
        </w:rPr>
        <w:t>5</w:t>
      </w:r>
      <w:r>
        <w:rPr>
          <w:rFonts w:ascii="仿宋_GB2312" w:eastAsia="仿宋_GB2312" w:hAnsi="仿宋_GB2312" w:hint="eastAsia"/>
        </w:rPr>
        <w:t>分</w:t>
      </w:r>
      <w:r>
        <w:rPr>
          <w:rFonts w:ascii="仿宋_GB2312" w:hAnsi="仿宋_GB2312" w:hint="eastAsia"/>
        </w:rPr>
        <w:t>，得分</w:t>
      </w:r>
      <w:r>
        <w:rPr>
          <w:rFonts w:ascii="仿宋_GB2312" w:hAnsi="仿宋_GB2312" w:hint="eastAsia"/>
        </w:rPr>
        <w:t>5</w:t>
      </w:r>
      <w:r>
        <w:rPr>
          <w:rFonts w:ascii="仿宋_GB2312" w:hAnsi="仿宋_GB2312" w:hint="eastAsia"/>
        </w:rPr>
        <w:t>分。包括新能源公交车更新完成率、</w:t>
      </w:r>
      <w:r>
        <w:rPr>
          <w:rFonts w:ascii="仿宋_GB2312" w:hAnsi="仿宋_GB2312"/>
        </w:rPr>
        <w:t>动力电池更换完成率</w:t>
      </w:r>
      <w:r>
        <w:rPr>
          <w:rFonts w:ascii="仿宋_GB2312" w:hAnsi="仿宋_GB2312" w:hint="eastAsia"/>
        </w:rPr>
        <w:t>、</w:t>
      </w:r>
      <w:r>
        <w:rPr>
          <w:rFonts w:ascii="仿宋_GB2312" w:hAnsi="仿宋_GB2312"/>
        </w:rPr>
        <w:t>更新车辆投入使用率</w:t>
      </w:r>
      <w:r>
        <w:rPr>
          <w:rFonts w:ascii="仿宋_GB2312" w:hAnsi="仿宋_GB2312" w:hint="eastAsia"/>
        </w:rPr>
        <w:t>、</w:t>
      </w:r>
      <w:r>
        <w:rPr>
          <w:rFonts w:ascii="仿宋_GB2312" w:hAnsi="仿宋_GB2312"/>
        </w:rPr>
        <w:t>小型化、低地板、低入口城市公交车辆更新完成率</w:t>
      </w:r>
      <w:r>
        <w:rPr>
          <w:rFonts w:ascii="仿宋_GB2312" w:hAnsi="仿宋_GB2312" w:hint="eastAsia"/>
        </w:rPr>
        <w:t>4</w:t>
      </w:r>
      <w:r>
        <w:rPr>
          <w:rFonts w:ascii="仿宋_GB2312" w:hAnsi="仿宋_GB2312" w:hint="eastAsia"/>
        </w:rPr>
        <w:t>个四级指标。</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新能源公交车更新完成率。</w:t>
      </w:r>
      <w:r>
        <w:rPr>
          <w:rFonts w:ascii="仿宋_GB2312" w:eastAsia="仿宋_GB2312" w:hAnsi="仿宋_GB2312" w:hint="eastAsia"/>
        </w:rPr>
        <w:t>指标分值1.5分，得分1.5分。市交通局2024年度计划更新新能源城市公交车537辆，实际更新537辆，2024年新能源公交车更新完成率=实际产出数/计划产出数×100%=537/537×100%=100</w:t>
      </w:r>
      <w:r>
        <w:rPr>
          <w:rFonts w:ascii="仿宋_GB2312" w:eastAsia="仿宋_GB2312" w:hAnsi="仿宋_GB2312"/>
        </w:rPr>
        <w:t>%</w:t>
      </w:r>
      <w:r>
        <w:rPr>
          <w:rFonts w:ascii="仿宋_GB2312" w:eastAsia="仿宋_GB2312" w:hAnsi="仿宋_GB2312" w:hint="eastAsia"/>
        </w:rPr>
        <w:t>，按照评分标准得满分。</w:t>
      </w:r>
    </w:p>
    <w:p w:rsidR="00FB1D56" w:rsidRDefault="00FB1D56" w:rsidP="00FB1D56">
      <w:pPr>
        <w:pStyle w:val="1"/>
        <w:ind w:firstLine="643"/>
        <w:rPr>
          <w:rFonts w:ascii="仿宋_GB2312" w:eastAsia="仿宋_GB2312" w:hAnsi="仿宋_GB2312"/>
        </w:rPr>
      </w:pPr>
      <w:r>
        <w:rPr>
          <w:rFonts w:ascii="仿宋_GB2312" w:eastAsia="仿宋_GB2312" w:hAnsi="仿宋_GB2312"/>
          <w:b/>
          <w:bCs/>
        </w:rPr>
        <w:t>动力电池更换完成率</w:t>
      </w:r>
      <w:r>
        <w:rPr>
          <w:rFonts w:ascii="仿宋_GB2312" w:eastAsia="仿宋_GB2312" w:hAnsi="仿宋_GB2312" w:hint="eastAsia"/>
          <w:b/>
          <w:bCs/>
        </w:rPr>
        <w:t>。</w:t>
      </w:r>
      <w:r>
        <w:rPr>
          <w:rFonts w:ascii="仿宋_GB2312" w:eastAsia="仿宋_GB2312" w:hAnsi="仿宋_GB2312" w:hint="eastAsia"/>
        </w:rPr>
        <w:t>指标分值1.5分，得分1.5分。</w:t>
      </w:r>
      <w:r>
        <w:rPr>
          <w:rFonts w:ascii="仿宋_GB2312" w:eastAsia="仿宋_GB2312" w:hAnsi="仿宋_GB2312" w:hint="eastAsia"/>
        </w:rPr>
        <w:lastRenderedPageBreak/>
        <w:t>市交通局2024年度计划更新动力电池1,232辆，实际更新1,232辆，2024年动力电池更新完成率=实际产出数/计划产出数×100%=1232/1232×100%=100</w:t>
      </w:r>
      <w:r>
        <w:rPr>
          <w:rFonts w:ascii="仿宋_GB2312" w:eastAsia="仿宋_GB2312" w:hAnsi="仿宋_GB2312"/>
        </w:rPr>
        <w:t>%</w:t>
      </w:r>
      <w:r>
        <w:rPr>
          <w:rFonts w:ascii="仿宋_GB2312" w:eastAsia="仿宋_GB2312" w:hAnsi="仿宋_GB2312" w:hint="eastAsia"/>
        </w:rPr>
        <w:t>，按照评分标准得满分。</w:t>
      </w:r>
    </w:p>
    <w:p w:rsidR="00FB1D56" w:rsidRDefault="00FB1D56" w:rsidP="00FB1D56">
      <w:pPr>
        <w:pStyle w:val="1"/>
        <w:ind w:firstLine="643"/>
        <w:rPr>
          <w:rFonts w:ascii="仿宋_GB2312" w:eastAsia="仿宋_GB2312" w:hAnsi="仿宋_GB2312"/>
        </w:rPr>
      </w:pPr>
      <w:r>
        <w:rPr>
          <w:rFonts w:ascii="仿宋_GB2312" w:eastAsia="仿宋_GB2312" w:hAnsi="仿宋_GB2312"/>
          <w:b/>
          <w:bCs/>
        </w:rPr>
        <w:t>更新车辆投入使用率</w:t>
      </w:r>
      <w:r>
        <w:rPr>
          <w:rFonts w:ascii="仿宋_GB2312" w:eastAsia="仿宋_GB2312" w:hAnsi="仿宋_GB2312" w:hint="eastAsia"/>
          <w:b/>
          <w:bCs/>
        </w:rPr>
        <w:t>。</w:t>
      </w:r>
      <w:r>
        <w:rPr>
          <w:rFonts w:ascii="仿宋_GB2312" w:eastAsia="仿宋_GB2312" w:hAnsi="仿宋_GB2312" w:hint="eastAsia"/>
        </w:rPr>
        <w:t>指标分值1分，得分1分。根据对公交企业车辆更新信息及车辆运营调度表等资料的核查情况，2024年更新车辆投入使用率为100%，按照评分标准得满分。</w:t>
      </w:r>
    </w:p>
    <w:p w:rsidR="00FB1D56" w:rsidRDefault="00FB1D56" w:rsidP="00FB1D56">
      <w:pPr>
        <w:pStyle w:val="1"/>
        <w:ind w:firstLine="643"/>
        <w:rPr>
          <w:rFonts w:ascii="仿宋_GB2312" w:eastAsia="仿宋_GB2312" w:hAnsi="仿宋_GB2312"/>
        </w:rPr>
      </w:pPr>
      <w:r>
        <w:rPr>
          <w:rFonts w:ascii="仿宋_GB2312" w:eastAsia="仿宋_GB2312" w:hAnsi="仿宋_GB2312"/>
          <w:b/>
          <w:bCs/>
        </w:rPr>
        <w:t>小型化、低地板、低入口城市公交车辆更新完成率</w:t>
      </w:r>
      <w:r>
        <w:rPr>
          <w:rFonts w:ascii="仿宋_GB2312" w:eastAsia="仿宋_GB2312" w:hAnsi="仿宋_GB2312" w:hint="eastAsia"/>
          <w:b/>
          <w:bCs/>
        </w:rPr>
        <w:t>。</w:t>
      </w:r>
      <w:r>
        <w:rPr>
          <w:rFonts w:ascii="仿宋_GB2312" w:eastAsia="仿宋_GB2312" w:hAnsi="仿宋_GB2312" w:hint="eastAsia"/>
        </w:rPr>
        <w:t>指标分值1分，得分1分。根据对市交通局提供的新能源城市公交车更新补贴明细等资料的核查情况，2024年小型化、低地板、低入口城市公交车辆更新完成率=实际产出数/计划产出数×100%=537/537×100%=100%。按照评分标准得满分。</w:t>
      </w:r>
    </w:p>
    <w:p w:rsidR="00FB1D56" w:rsidRDefault="00FB1D56" w:rsidP="00FB1D56">
      <w:pPr>
        <w:ind w:firstLineChars="200" w:firstLine="640"/>
        <w:rPr>
          <w:rFonts w:ascii="仿宋_GB2312" w:hAnsi="仿宋_GB2312"/>
        </w:rPr>
      </w:pPr>
      <w:r>
        <w:rPr>
          <w:rFonts w:ascii="仿宋_GB2312" w:hAnsi="仿宋_GB2312" w:hint="eastAsia"/>
        </w:rPr>
        <w:t>（2）质量指标。指标分值8分，得分8分。包括动力电池补贴审核合</w:t>
      </w:r>
      <w:proofErr w:type="gramStart"/>
      <w:r>
        <w:rPr>
          <w:rFonts w:ascii="仿宋_GB2312" w:hAnsi="仿宋_GB2312" w:hint="eastAsia"/>
        </w:rPr>
        <w:t>规</w:t>
      </w:r>
      <w:proofErr w:type="gramEnd"/>
      <w:r>
        <w:rPr>
          <w:rFonts w:ascii="仿宋_GB2312" w:hAnsi="仿宋_GB2312" w:hint="eastAsia"/>
        </w:rPr>
        <w:t>率、新能源公交车补贴审核合</w:t>
      </w:r>
      <w:proofErr w:type="gramStart"/>
      <w:r>
        <w:rPr>
          <w:rFonts w:ascii="仿宋_GB2312" w:hAnsi="仿宋_GB2312" w:hint="eastAsia"/>
        </w:rPr>
        <w:t>规</w:t>
      </w:r>
      <w:proofErr w:type="gramEnd"/>
      <w:r>
        <w:rPr>
          <w:rFonts w:ascii="仿宋_GB2312" w:hAnsi="仿宋_GB2312" w:hint="eastAsia"/>
        </w:rPr>
        <w:t>率2个四级指标。</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动力电池补贴审核合</w:t>
      </w:r>
      <w:proofErr w:type="gramStart"/>
      <w:r>
        <w:rPr>
          <w:rFonts w:ascii="仿宋_GB2312" w:eastAsia="仿宋_GB2312" w:hAnsi="仿宋_GB2312" w:hint="eastAsia"/>
          <w:b/>
          <w:bCs/>
        </w:rPr>
        <w:t>规</w:t>
      </w:r>
      <w:proofErr w:type="gramEnd"/>
      <w:r>
        <w:rPr>
          <w:rFonts w:ascii="仿宋_GB2312" w:eastAsia="仿宋_GB2312" w:hAnsi="仿宋_GB2312" w:hint="eastAsia"/>
          <w:b/>
          <w:bCs/>
        </w:rPr>
        <w:t>率。</w:t>
      </w:r>
      <w:r>
        <w:rPr>
          <w:rFonts w:ascii="仿宋_GB2312" w:eastAsia="仿宋_GB2312" w:hAnsi="仿宋_GB2312" w:hint="eastAsia"/>
        </w:rPr>
        <w:t>指标分值4分，得分4分。根据对市交通局提供的新能源城市公交车及动力电池更新补贴申报资料的核查情况，未发现审核违规情况，按照评分标准得满分。</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新能源公交车补贴审核合</w:t>
      </w:r>
      <w:proofErr w:type="gramStart"/>
      <w:r>
        <w:rPr>
          <w:rFonts w:ascii="仿宋_GB2312" w:eastAsia="仿宋_GB2312" w:hAnsi="仿宋_GB2312" w:hint="eastAsia"/>
          <w:b/>
          <w:bCs/>
        </w:rPr>
        <w:t>规</w:t>
      </w:r>
      <w:proofErr w:type="gramEnd"/>
      <w:r>
        <w:rPr>
          <w:rFonts w:ascii="仿宋_GB2312" w:eastAsia="仿宋_GB2312" w:hAnsi="仿宋_GB2312" w:hint="eastAsia"/>
          <w:b/>
          <w:bCs/>
        </w:rPr>
        <w:t>率。</w:t>
      </w:r>
      <w:r>
        <w:rPr>
          <w:rFonts w:ascii="仿宋_GB2312" w:eastAsia="仿宋_GB2312" w:hAnsi="仿宋_GB2312" w:hint="eastAsia"/>
        </w:rPr>
        <w:t>指标分值4分，得分4分。根据对市交通局提供的新能源城市公交车及动力电池更新补贴申报资料的核查情况，未发现审核违规情况，按照评分标准得满分。</w:t>
      </w:r>
    </w:p>
    <w:p w:rsidR="00FB1D56" w:rsidRDefault="00FB1D56" w:rsidP="00FB1D56">
      <w:pPr>
        <w:ind w:firstLineChars="200" w:firstLine="640"/>
        <w:rPr>
          <w:rFonts w:ascii="仿宋_GB2312" w:hAnsi="仿宋_GB2312"/>
        </w:rPr>
      </w:pPr>
      <w:r>
        <w:rPr>
          <w:rFonts w:ascii="仿宋_GB2312" w:hAnsi="仿宋_GB2312" w:hint="eastAsia"/>
        </w:rPr>
        <w:lastRenderedPageBreak/>
        <w:t>（3）时效指标。指标分值4分，得分4分。包括新能源公交车及动力电池更新完成时效、补贴资金支付及时率2个四级指标。</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新能源公交车及动力电池更新完成时效。</w:t>
      </w:r>
      <w:r>
        <w:rPr>
          <w:rFonts w:ascii="仿宋_GB2312" w:eastAsia="仿宋_GB2312" w:hAnsi="仿宋_GB2312" w:hint="eastAsia"/>
        </w:rPr>
        <w:t>指标分值2分，得分2分。根据对市交通局提供的新能源城市公交车及动力电池更新补贴明细等资料的核查情况，该补贴计划截止日期为2025年1月20日，实际完成时间为2024年12月31日。按照评分标准得满分。</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补贴资金支付及时率。</w:t>
      </w:r>
      <w:r>
        <w:rPr>
          <w:rFonts w:ascii="仿宋_GB2312" w:eastAsia="仿宋_GB2312" w:hAnsi="仿宋_GB2312" w:hint="eastAsia"/>
        </w:rPr>
        <w:t>指标分值2分，得分2分。根据对市交通局提供的新能源城市公交车及动力电池更新补贴申报资料的核查情况，补贴资金进入资金核发环节及时，未出现逾期情况。按照评分标准得满分。</w:t>
      </w:r>
    </w:p>
    <w:p w:rsidR="00FB1D56" w:rsidRDefault="00FB1D56" w:rsidP="00FB1D56">
      <w:pPr>
        <w:ind w:firstLineChars="200" w:firstLine="640"/>
        <w:rPr>
          <w:rFonts w:ascii="仿宋_GB2312" w:hAnsi="仿宋_GB2312"/>
        </w:rPr>
      </w:pPr>
      <w:r>
        <w:rPr>
          <w:rFonts w:ascii="仿宋_GB2312" w:hAnsi="仿宋_GB2312" w:hint="eastAsia"/>
        </w:rPr>
        <w:t>（4）成本指标。指标分值3分，得分3分。包括青岛市新能源城市公交车及动力电池更新补贴政策标准执行情况1个四级指标。</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青岛市新能源城市公交车及动力电池更新补贴政策标准执行情况。</w:t>
      </w:r>
      <w:r>
        <w:rPr>
          <w:rFonts w:ascii="仿宋_GB2312" w:eastAsia="仿宋_GB2312" w:hAnsi="仿宋_GB2312" w:hint="eastAsia"/>
        </w:rPr>
        <w:t>指标分值3分，得分3分。根据对市交通局提供的新能源城市公交车及动力电池更新补贴申报资料的核查情况，未发现未按成本补贴标准进行补贴的车辆。按照评分标准得满分。</w:t>
      </w:r>
    </w:p>
    <w:p w:rsidR="00FB1D56" w:rsidRDefault="00FB1D56" w:rsidP="00FB1D56">
      <w:pPr>
        <w:pStyle w:val="a4"/>
        <w:spacing w:line="600" w:lineRule="exact"/>
        <w:ind w:firstLine="640"/>
        <w:outlineLvl w:val="9"/>
        <w:rPr>
          <w:rFonts w:ascii="仿宋_GB2312" w:eastAsia="仿宋_GB2312" w:hAnsi="仿宋_GB2312"/>
        </w:rPr>
      </w:pPr>
      <w:r>
        <w:rPr>
          <w:rFonts w:ascii="仿宋_GB2312" w:eastAsia="仿宋_GB2312" w:hAnsi="仿宋_GB2312" w:hint="eastAsia"/>
        </w:rPr>
        <w:t>2.政策效益。指标分值</w:t>
      </w:r>
      <w:r>
        <w:rPr>
          <w:rFonts w:ascii="仿宋_GB2312" w:hAnsi="仿宋_GB2312" w:hint="eastAsia"/>
        </w:rPr>
        <w:t>40</w:t>
      </w:r>
      <w:r>
        <w:rPr>
          <w:rFonts w:ascii="仿宋_GB2312" w:eastAsia="仿宋_GB2312" w:hAnsi="仿宋_GB2312" w:hint="eastAsia"/>
        </w:rPr>
        <w:t>分，得分36.5分，扣减3.5分。包括经济效益、社会效益、生态效益、可持续影响和服务对象满意度5个三级指标。</w:t>
      </w:r>
    </w:p>
    <w:p w:rsidR="00FB1D56" w:rsidRDefault="00FB1D56" w:rsidP="00FB1D56">
      <w:pPr>
        <w:rPr>
          <w:rFonts w:ascii="仿宋_GB2312" w:hAnsi="仿宋_GB2312"/>
        </w:rPr>
      </w:pPr>
      <w:r>
        <w:rPr>
          <w:rFonts w:ascii="仿宋_GB2312" w:hAnsi="仿宋_GB2312" w:hint="eastAsia"/>
        </w:rPr>
        <w:lastRenderedPageBreak/>
        <w:t xml:space="preserve">    （1）经济效益。指标分值4分，得分4分。包括新能源公交车</w:t>
      </w:r>
      <w:proofErr w:type="gramStart"/>
      <w:r>
        <w:rPr>
          <w:rFonts w:ascii="仿宋_GB2312" w:hAnsi="仿宋_GB2312" w:hint="eastAsia"/>
        </w:rPr>
        <w:t>运营维保成本</w:t>
      </w:r>
      <w:proofErr w:type="gramEnd"/>
      <w:r>
        <w:rPr>
          <w:rFonts w:ascii="仿宋_GB2312" w:hAnsi="仿宋_GB2312" w:hint="eastAsia"/>
        </w:rPr>
        <w:t>下降率1个四级指标。</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新能源公交车</w:t>
      </w:r>
      <w:proofErr w:type="gramStart"/>
      <w:r>
        <w:rPr>
          <w:rFonts w:ascii="仿宋_GB2312" w:eastAsia="仿宋_GB2312" w:hAnsi="仿宋_GB2312" w:hint="eastAsia"/>
          <w:b/>
          <w:bCs/>
        </w:rPr>
        <w:t>运营维保成本</w:t>
      </w:r>
      <w:proofErr w:type="gramEnd"/>
      <w:r>
        <w:rPr>
          <w:rFonts w:ascii="仿宋_GB2312" w:eastAsia="仿宋_GB2312" w:hAnsi="仿宋_GB2312" w:hint="eastAsia"/>
          <w:b/>
          <w:bCs/>
        </w:rPr>
        <w:t>下降率。</w:t>
      </w:r>
      <w:r>
        <w:rPr>
          <w:rFonts w:ascii="仿宋_GB2312" w:eastAsia="仿宋_GB2312" w:hAnsi="仿宋_GB2312" w:hint="eastAsia"/>
        </w:rPr>
        <w:t>指标分值4分，得分4分。根据对青岛市城运控股集团提供的</w:t>
      </w:r>
      <w:proofErr w:type="gramStart"/>
      <w:r>
        <w:rPr>
          <w:rFonts w:ascii="仿宋_GB2312" w:eastAsia="仿宋_GB2312" w:hAnsi="仿宋_GB2312" w:hint="eastAsia"/>
        </w:rPr>
        <w:t>运营维保成本</w:t>
      </w:r>
      <w:proofErr w:type="gramEnd"/>
      <w:r>
        <w:rPr>
          <w:rFonts w:ascii="仿宋_GB2312" w:eastAsia="仿宋_GB2312" w:hAnsi="仿宋_GB2312" w:hint="eastAsia"/>
        </w:rPr>
        <w:t>数据的核查情况，更新前500部</w:t>
      </w:r>
      <w:proofErr w:type="gramStart"/>
      <w:r>
        <w:rPr>
          <w:rFonts w:ascii="仿宋_GB2312" w:eastAsia="仿宋_GB2312" w:hAnsi="仿宋_GB2312" w:hint="eastAsia"/>
        </w:rPr>
        <w:t>车辆维保成本</w:t>
      </w:r>
      <w:proofErr w:type="gramEnd"/>
      <w:r>
        <w:rPr>
          <w:rFonts w:ascii="仿宋_GB2312" w:eastAsia="仿宋_GB2312" w:hAnsi="仿宋_GB2312" w:hint="eastAsia"/>
        </w:rPr>
        <w:t>=12.57万元/车*500部：包含维保费用2.25万元/车/年，能源消耗成本10.32万元/车/年；更新后500部新能源</w:t>
      </w:r>
      <w:proofErr w:type="gramStart"/>
      <w:r>
        <w:rPr>
          <w:rFonts w:ascii="仿宋_GB2312" w:eastAsia="仿宋_GB2312" w:hAnsi="仿宋_GB2312" w:hint="eastAsia"/>
        </w:rPr>
        <w:t>车辆维保成本</w:t>
      </w:r>
      <w:proofErr w:type="gramEnd"/>
      <w:r>
        <w:rPr>
          <w:rFonts w:ascii="仿宋_GB2312" w:eastAsia="仿宋_GB2312" w:hAnsi="仿宋_GB2312" w:hint="eastAsia"/>
        </w:rPr>
        <w:t>=3.985万元/车*500部：包含维保费用0.945万元/车/年，能源消耗成本3.04万元/车/年。更新后</w:t>
      </w:r>
      <w:proofErr w:type="gramStart"/>
      <w:r>
        <w:rPr>
          <w:rFonts w:ascii="仿宋_GB2312" w:eastAsia="仿宋_GB2312" w:hAnsi="仿宋_GB2312" w:hint="eastAsia"/>
        </w:rPr>
        <w:t>车辆运营维保成本</w:t>
      </w:r>
      <w:proofErr w:type="gramEnd"/>
      <w:r>
        <w:rPr>
          <w:rFonts w:ascii="仿宋_GB2312" w:eastAsia="仿宋_GB2312" w:hAnsi="仿宋_GB2312" w:hint="eastAsia"/>
        </w:rPr>
        <w:t>较更新前下降68.30%。按照评分标准得满分。</w:t>
      </w:r>
    </w:p>
    <w:p w:rsidR="00FB1D56" w:rsidRDefault="00FB1D56" w:rsidP="00FB1D56">
      <w:pPr>
        <w:ind w:firstLineChars="200" w:firstLine="640"/>
        <w:rPr>
          <w:rFonts w:ascii="仿宋_GB2312" w:hAnsi="仿宋_GB2312"/>
          <w:sz w:val="30"/>
          <w:szCs w:val="30"/>
        </w:rPr>
      </w:pPr>
      <w:r>
        <w:rPr>
          <w:rFonts w:ascii="仿宋_GB2312" w:hAnsi="仿宋_GB2312" w:hint="eastAsia"/>
        </w:rPr>
        <w:t>（2）社会效益。指标分值10分，得分9.25分，扣减0.75分。包括绿色车辆占比、市民出行品质2个四级指标。</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绿色车辆占比。</w:t>
      </w:r>
      <w:r>
        <w:rPr>
          <w:rFonts w:ascii="仿宋_GB2312" w:eastAsia="仿宋_GB2312" w:hAnsi="仿宋_GB2312" w:hint="eastAsia"/>
        </w:rPr>
        <w:t>指标分值5分，得分5分。根据对市交通局及青岛市城运控股集团提供的更新明细及车辆调度表等资料的核查情况，全市绿色公交车比例达到98%。按照评分标准得满分。</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市民出行品质。</w:t>
      </w:r>
      <w:r>
        <w:rPr>
          <w:rFonts w:ascii="仿宋_GB2312" w:eastAsia="仿宋_GB2312" w:hAnsi="仿宋_GB2312" w:hint="eastAsia"/>
        </w:rPr>
        <w:t>指标分值5分，得分4.25分</w:t>
      </w:r>
      <w:r>
        <w:rPr>
          <w:rFonts w:ascii="仿宋_GB2312" w:hAnsi="仿宋_GB2312" w:hint="eastAsia"/>
        </w:rPr>
        <w:t>，</w:t>
      </w:r>
      <w:r>
        <w:rPr>
          <w:rFonts w:ascii="仿宋_GB2312" w:eastAsia="仿宋_GB2312" w:hAnsi="仿宋_GB2312" w:hint="eastAsia"/>
        </w:rPr>
        <w:t>扣减</w:t>
      </w:r>
      <w:r>
        <w:rPr>
          <w:rFonts w:ascii="仿宋_GB2312" w:hAnsi="仿宋_GB2312" w:hint="eastAsia"/>
        </w:rPr>
        <w:t>0.75</w:t>
      </w:r>
      <w:r>
        <w:rPr>
          <w:rFonts w:ascii="仿宋_GB2312" w:eastAsia="仿宋_GB2312" w:hAnsi="仿宋_GB2312" w:hint="eastAsia"/>
        </w:rPr>
        <w:t>分。主要原因为根据对乘坐新能源公交</w:t>
      </w:r>
      <w:proofErr w:type="gramStart"/>
      <w:r>
        <w:rPr>
          <w:rFonts w:ascii="仿宋_GB2312" w:eastAsia="仿宋_GB2312" w:hAnsi="仿宋_GB2312" w:hint="eastAsia"/>
        </w:rPr>
        <w:t>车市民</w:t>
      </w:r>
      <w:proofErr w:type="gramEnd"/>
      <w:r>
        <w:rPr>
          <w:rFonts w:ascii="仿宋_GB2312" w:eastAsia="仿宋_GB2312" w:hAnsi="仿宋_GB2312" w:hint="eastAsia"/>
        </w:rPr>
        <w:t>的调查问卷，市民满意</w:t>
      </w:r>
      <w:proofErr w:type="gramStart"/>
      <w:r>
        <w:rPr>
          <w:rFonts w:ascii="仿宋_GB2312" w:eastAsia="仿宋_GB2312" w:hAnsi="仿宋_GB2312" w:hint="eastAsia"/>
        </w:rPr>
        <w:t>度按照</w:t>
      </w:r>
      <w:proofErr w:type="gramEnd"/>
      <w:r>
        <w:rPr>
          <w:rFonts w:ascii="仿宋_GB2312" w:eastAsia="仿宋_GB2312" w:hAnsi="仿宋_GB2312" w:hint="eastAsia"/>
        </w:rPr>
        <w:t>非常满意、比较满意和不满意三级进行评价,共收到325份有效问卷，综合满意度达到91.25%,按照评分标准扣15%权重分，得4.25分</w:t>
      </w:r>
    </w:p>
    <w:p w:rsidR="00FB1D56" w:rsidRDefault="00FB1D56" w:rsidP="00FB1D56">
      <w:pPr>
        <w:ind w:firstLineChars="200" w:firstLine="640"/>
        <w:rPr>
          <w:rFonts w:ascii="仿宋_GB2312" w:hAnsi="仿宋_GB2312"/>
        </w:rPr>
      </w:pPr>
      <w:r>
        <w:rPr>
          <w:rFonts w:ascii="仿宋_GB2312" w:hAnsi="仿宋_GB2312" w:hint="eastAsia"/>
        </w:rPr>
        <w:t>（3）生态效益。指标分值10分，得分9分，扣减1分。包括年度二氧化碳减排总量、报废动力电池回收率2个四级</w:t>
      </w:r>
      <w:r>
        <w:rPr>
          <w:rFonts w:ascii="仿宋_GB2312" w:hAnsi="仿宋_GB2312" w:hint="eastAsia"/>
        </w:rPr>
        <w:lastRenderedPageBreak/>
        <w:t>指标。</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年度二氧化碳减排总量。</w:t>
      </w:r>
      <w:r>
        <w:rPr>
          <w:rFonts w:ascii="仿宋_GB2312" w:eastAsia="仿宋_GB2312" w:hAnsi="仿宋_GB2312" w:hint="eastAsia"/>
        </w:rPr>
        <w:t>指标分值5分，得分4分</w:t>
      </w:r>
      <w:r>
        <w:rPr>
          <w:rFonts w:ascii="仿宋_GB2312" w:hAnsi="仿宋_GB2312" w:hint="eastAsia"/>
        </w:rPr>
        <w:t>，</w:t>
      </w:r>
      <w:r>
        <w:rPr>
          <w:rFonts w:ascii="仿宋_GB2312" w:eastAsia="仿宋_GB2312" w:hAnsi="仿宋_GB2312" w:hint="eastAsia"/>
        </w:rPr>
        <w:t>扣减</w:t>
      </w:r>
      <w:r>
        <w:rPr>
          <w:rFonts w:ascii="仿宋_GB2312" w:hAnsi="仿宋_GB2312" w:hint="eastAsia"/>
        </w:rPr>
        <w:t>1</w:t>
      </w:r>
      <w:r>
        <w:rPr>
          <w:rFonts w:ascii="仿宋_GB2312" w:eastAsia="仿宋_GB2312" w:hAnsi="仿宋_GB2312" w:hint="eastAsia"/>
        </w:rPr>
        <w:t>分。主要原因为：青岛城运控股集团通过新能源公交车更新及线路优化，每年预计减少二氧化碳排放16.6万吨。根据对青岛市城运控股集团提供的纯电动</w:t>
      </w:r>
      <w:proofErr w:type="gramStart"/>
      <w:r>
        <w:rPr>
          <w:rFonts w:ascii="仿宋_GB2312" w:eastAsia="仿宋_GB2312" w:hAnsi="仿宋_GB2312" w:hint="eastAsia"/>
        </w:rPr>
        <w:t>公交车减排量</w:t>
      </w:r>
      <w:proofErr w:type="gramEnd"/>
      <w:r>
        <w:rPr>
          <w:rFonts w:ascii="仿宋_GB2312" w:eastAsia="仿宋_GB2312" w:hAnsi="仿宋_GB2312" w:hint="eastAsia"/>
        </w:rPr>
        <w:t>数据的核查情况，2024年底更新500部纯电动公交车后，纯电动公交车辆总数为4237部，该4237部电动车年度运行里程为1.97亿公里，若柴油车行驶电动车同等里程（1.97亿公里），柴油车的二氧化碳排放量为15.6万吨(柴油车单耗为30 L/</w:t>
      </w:r>
      <w:proofErr w:type="gramStart"/>
      <w:r>
        <w:rPr>
          <w:rFonts w:ascii="仿宋_GB2312" w:eastAsia="仿宋_GB2312" w:hAnsi="仿宋_GB2312" w:hint="eastAsia"/>
        </w:rPr>
        <w:t>百公里</w:t>
      </w:r>
      <w:proofErr w:type="gramEnd"/>
      <w:r>
        <w:rPr>
          <w:rFonts w:ascii="仿宋_GB2312" w:eastAsia="仿宋_GB2312" w:hAnsi="仿宋_GB2312" w:hint="eastAsia"/>
        </w:rPr>
        <w:t>，消耗1升柴油产生约2.63 kg二氧化碳)。由于电动车零排放，因此较柴油车相比，运行同等里程情况下，电动车可减少二氧化碳排放15.6万吨。未达到减排目标，按照评分标准扣1分。</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报废动力电池回收率。</w:t>
      </w:r>
      <w:r>
        <w:rPr>
          <w:rFonts w:ascii="仿宋_GB2312" w:eastAsia="仿宋_GB2312" w:hAnsi="仿宋_GB2312" w:hint="eastAsia"/>
        </w:rPr>
        <w:t>指标分值5分，得分5分。根据对市交通局提供的动力电池补贴资料及各公交公司提供的旧电池回收记录等资料的核查情况，报废电池全部由新动力电池供应商负责回收，回收完成率达到100%。按照评分标准得满分。</w:t>
      </w:r>
    </w:p>
    <w:p w:rsidR="00FB1D56" w:rsidRDefault="00FB1D56" w:rsidP="00FB1D56">
      <w:pPr>
        <w:ind w:firstLineChars="200" w:firstLine="640"/>
        <w:rPr>
          <w:rFonts w:ascii="仿宋_GB2312" w:hAnsi="仿宋_GB2312"/>
        </w:rPr>
      </w:pPr>
      <w:r>
        <w:rPr>
          <w:rFonts w:ascii="仿宋_GB2312" w:hAnsi="仿宋_GB2312" w:hint="eastAsia"/>
        </w:rPr>
        <w:t>（4）可持续影响。指标分值6分，得分5分，扣减1分。包括政策延续性、政策完善度2个四级指标。</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政策延续性。</w:t>
      </w:r>
      <w:r>
        <w:rPr>
          <w:rFonts w:ascii="仿宋_GB2312" w:eastAsia="仿宋_GB2312" w:hAnsi="仿宋_GB2312" w:hint="eastAsia"/>
        </w:rPr>
        <w:t>指标分值3分，得分3分。根据交通局提供的政策实施方案以及自评等相关资料：针对政策已制定工作计划，形成工作总结；已制定工作流程或方案；已制定2025</w:t>
      </w:r>
      <w:r>
        <w:rPr>
          <w:rFonts w:ascii="仿宋_GB2312" w:eastAsia="仿宋_GB2312" w:hAnsi="仿宋_GB2312" w:hint="eastAsia"/>
        </w:rPr>
        <w:lastRenderedPageBreak/>
        <w:t>年度政策。按照评分标准得满分。</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政策完善度。</w:t>
      </w:r>
      <w:r>
        <w:rPr>
          <w:rFonts w:ascii="仿宋_GB2312" w:eastAsia="仿宋_GB2312" w:hAnsi="仿宋_GB2312" w:hint="eastAsia"/>
        </w:rPr>
        <w:t>指标分值3分，得分2分</w:t>
      </w:r>
      <w:r>
        <w:rPr>
          <w:rFonts w:ascii="仿宋_GB2312" w:hAnsi="仿宋_GB2312" w:hint="eastAsia"/>
        </w:rPr>
        <w:t>，</w:t>
      </w:r>
      <w:r>
        <w:rPr>
          <w:rFonts w:ascii="仿宋_GB2312" w:eastAsia="仿宋_GB2312" w:hAnsi="仿宋_GB2312" w:hint="eastAsia"/>
        </w:rPr>
        <w:t>扣减</w:t>
      </w:r>
      <w:r>
        <w:rPr>
          <w:rFonts w:ascii="仿宋_GB2312" w:hAnsi="仿宋_GB2312" w:hint="eastAsia"/>
        </w:rPr>
        <w:t>1</w:t>
      </w:r>
      <w:r>
        <w:rPr>
          <w:rFonts w:ascii="仿宋_GB2312" w:eastAsia="仿宋_GB2312" w:hAnsi="仿宋_GB2312" w:hint="eastAsia"/>
        </w:rPr>
        <w:t>分。主要原因为2024年度未制定相关新能源公交车及动力电池技术参数实施细则，按照评价标准扣1分，得2分。</w:t>
      </w:r>
    </w:p>
    <w:p w:rsidR="00FB1D56" w:rsidRDefault="00FB1D56" w:rsidP="00FB1D56">
      <w:pPr>
        <w:ind w:firstLineChars="200" w:firstLine="640"/>
        <w:rPr>
          <w:rFonts w:ascii="仿宋_GB2312" w:hAnsi="仿宋_GB2312"/>
        </w:rPr>
      </w:pPr>
      <w:r>
        <w:rPr>
          <w:rFonts w:ascii="仿宋_GB2312" w:hAnsi="仿宋_GB2312" w:hint="eastAsia"/>
        </w:rPr>
        <w:t>（5）服务对象满意度。指标分值10分，得分9.25分，扣减0.75分。包括新能源公交车驾驶员满意度、公交企业满意度2个四级指标。</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新能源公交车驾驶员满意度。</w:t>
      </w:r>
      <w:r>
        <w:rPr>
          <w:rFonts w:ascii="仿宋_GB2312" w:eastAsia="仿宋_GB2312" w:hAnsi="仿宋_GB2312" w:hint="eastAsia"/>
        </w:rPr>
        <w:t>指标分值5分，得分4.25分</w:t>
      </w:r>
      <w:r>
        <w:rPr>
          <w:rFonts w:ascii="仿宋_GB2312" w:hAnsi="仿宋_GB2312" w:hint="eastAsia"/>
        </w:rPr>
        <w:t>，</w:t>
      </w:r>
      <w:r>
        <w:rPr>
          <w:rFonts w:ascii="仿宋_GB2312" w:eastAsia="仿宋_GB2312" w:hAnsi="仿宋_GB2312" w:hint="eastAsia"/>
        </w:rPr>
        <w:t>扣减</w:t>
      </w:r>
      <w:r>
        <w:rPr>
          <w:rFonts w:ascii="仿宋_GB2312" w:hAnsi="仿宋_GB2312" w:hint="eastAsia"/>
        </w:rPr>
        <w:t>0.75</w:t>
      </w:r>
      <w:r>
        <w:rPr>
          <w:rFonts w:ascii="仿宋_GB2312" w:eastAsia="仿宋_GB2312" w:hAnsi="仿宋_GB2312" w:hint="eastAsia"/>
        </w:rPr>
        <w:t>分。主要原因为根据对新能源公交车驾驶员的调查问卷，驾驶员的满意</w:t>
      </w:r>
      <w:proofErr w:type="gramStart"/>
      <w:r>
        <w:rPr>
          <w:rFonts w:ascii="仿宋_GB2312" w:eastAsia="仿宋_GB2312" w:hAnsi="仿宋_GB2312" w:hint="eastAsia"/>
        </w:rPr>
        <w:t>度按照</w:t>
      </w:r>
      <w:proofErr w:type="gramEnd"/>
      <w:r>
        <w:rPr>
          <w:rFonts w:ascii="仿宋_GB2312" w:eastAsia="仿宋_GB2312" w:hAnsi="仿宋_GB2312" w:hint="eastAsia"/>
        </w:rPr>
        <w:t>非常满意、比较满意和不满意三级进行评价,共收到410份有效问卷，综合满意度达到91.4%,按照评分标准扣15%权重分，得4.25分。</w:t>
      </w:r>
    </w:p>
    <w:p w:rsidR="00FB1D56" w:rsidRDefault="00FB1D56" w:rsidP="00FB1D56">
      <w:pPr>
        <w:pStyle w:val="1"/>
        <w:ind w:firstLine="643"/>
        <w:rPr>
          <w:rFonts w:ascii="仿宋_GB2312" w:eastAsia="仿宋_GB2312" w:hAnsi="仿宋_GB2312"/>
        </w:rPr>
      </w:pPr>
      <w:r>
        <w:rPr>
          <w:rFonts w:ascii="仿宋_GB2312" w:eastAsia="仿宋_GB2312" w:hAnsi="仿宋_GB2312" w:hint="eastAsia"/>
          <w:b/>
          <w:bCs/>
        </w:rPr>
        <w:t>公交企业满意度。</w:t>
      </w:r>
      <w:r>
        <w:rPr>
          <w:rFonts w:ascii="仿宋_GB2312" w:eastAsia="仿宋_GB2312" w:hAnsi="仿宋_GB2312" w:hint="eastAsia"/>
        </w:rPr>
        <w:t>指标分值5分，得分5分。根据对公交企业的调查问卷，企业的满意</w:t>
      </w:r>
      <w:proofErr w:type="gramStart"/>
      <w:r>
        <w:rPr>
          <w:rFonts w:ascii="仿宋_GB2312" w:eastAsia="仿宋_GB2312" w:hAnsi="仿宋_GB2312" w:hint="eastAsia"/>
        </w:rPr>
        <w:t>度按照</w:t>
      </w:r>
      <w:proofErr w:type="gramEnd"/>
      <w:r>
        <w:rPr>
          <w:rFonts w:ascii="仿宋_GB2312" w:eastAsia="仿宋_GB2312" w:hAnsi="仿宋_GB2312" w:hint="eastAsia"/>
        </w:rPr>
        <w:t>非常满意、比较满意和不满意三级进行评价,共收到10份有效问卷，综合满意度达到99%，按照评分标准得满分。</w:t>
      </w:r>
    </w:p>
    <w:p w:rsidR="00FB1D56" w:rsidRDefault="00FB1D56" w:rsidP="00FB1D56">
      <w:pPr>
        <w:ind w:firstLineChars="200" w:firstLine="640"/>
        <w:outlineLvl w:val="0"/>
        <w:rPr>
          <w:rFonts w:ascii="黑体" w:eastAsia="黑体" w:hAnsi="黑体" w:cs="黑体"/>
          <w:szCs w:val="40"/>
        </w:rPr>
      </w:pPr>
      <w:r>
        <w:rPr>
          <w:rFonts w:ascii="黑体" w:eastAsia="黑体" w:hAnsi="黑体" w:cs="黑体" w:hint="eastAsia"/>
          <w:szCs w:val="40"/>
        </w:rPr>
        <w:t>四、政策实施成效</w:t>
      </w:r>
      <w:bookmarkEnd w:id="7"/>
    </w:p>
    <w:p w:rsidR="00FB1D56" w:rsidRDefault="00FB1D56" w:rsidP="00FB1D56">
      <w:pPr>
        <w:snapToGrid w:val="0"/>
        <w:spacing w:line="560" w:lineRule="exact"/>
        <w:ind w:firstLineChars="200" w:firstLine="640"/>
        <w:rPr>
          <w:rFonts w:ascii="仿宋_GB2312" w:hAnsi="Calibri" w:cs="Bahnschrift SemiBold SemiConden"/>
        </w:rPr>
      </w:pPr>
      <w:r>
        <w:rPr>
          <w:rFonts w:ascii="仿宋_GB2312" w:hAnsi="Calibri" w:cs="Bahnschrift SemiBold SemiConden" w:hint="eastAsia"/>
        </w:rPr>
        <w:t>根据自评，主要指标完成情况为2024年全市更新公交车537辆、动力电池1,232套，2024年底前已完成采购、登记、验收等工作；公交车及动力电池更新需兑付补贴资金9,471.00万元，2024年底前已全部拨付完成。</w:t>
      </w:r>
    </w:p>
    <w:p w:rsidR="00FB1D56" w:rsidRDefault="00FB1D56" w:rsidP="00FB1D56">
      <w:pPr>
        <w:pStyle w:val="1"/>
        <w:ind w:firstLine="640"/>
      </w:pPr>
      <w:r>
        <w:rPr>
          <w:rFonts w:ascii="仿宋_GB2312" w:eastAsia="仿宋_GB2312" w:hAnsi="仿宋_GB2312" w:hint="eastAsia"/>
        </w:rPr>
        <w:t>2024年加力支持消费品以旧换新-新能源公交车及动力电池更新政策通过报废老旧公交车、更换老旧新能源城市公</w:t>
      </w:r>
      <w:r>
        <w:rPr>
          <w:rFonts w:ascii="仿宋_GB2312" w:eastAsia="仿宋_GB2312" w:hAnsi="仿宋_GB2312" w:hint="eastAsia"/>
        </w:rPr>
        <w:lastRenderedPageBreak/>
        <w:t>交车动力电池，降低公交车68.30%</w:t>
      </w:r>
      <w:proofErr w:type="gramStart"/>
      <w:r>
        <w:rPr>
          <w:rFonts w:ascii="仿宋_GB2312" w:eastAsia="仿宋_GB2312" w:hAnsi="仿宋_GB2312" w:hint="eastAsia"/>
        </w:rPr>
        <w:t>运营维保成本</w:t>
      </w:r>
      <w:proofErr w:type="gramEnd"/>
      <w:r>
        <w:rPr>
          <w:rFonts w:ascii="仿宋_GB2312" w:eastAsia="仿宋_GB2312" w:hAnsi="仿宋_GB2312" w:hint="eastAsia"/>
        </w:rPr>
        <w:t>，</w:t>
      </w:r>
      <w:r>
        <w:rPr>
          <w:rFonts w:ascii="仿宋_GB2312" w:eastAsia="仿宋_GB2312" w:hAnsi="Calibri" w:cs="Bahnschrift SemiBold SemiConden" w:hint="eastAsia"/>
        </w:rPr>
        <w:t>减少二氧化碳排放15.6万吨。</w:t>
      </w:r>
    </w:p>
    <w:p w:rsidR="00FB1D56" w:rsidRDefault="00FB1D56" w:rsidP="00FB1D56">
      <w:pPr>
        <w:pStyle w:val="a4"/>
        <w:spacing w:line="600" w:lineRule="exact"/>
        <w:ind w:firstLineChars="0" w:firstLine="0"/>
        <w:jc w:val="center"/>
        <w:outlineLvl w:val="9"/>
        <w:rPr>
          <w:rFonts w:ascii="黑体" w:eastAsia="黑体" w:hAnsi="黑体" w:cs="黑体"/>
          <w:sz w:val="28"/>
          <w:szCs w:val="28"/>
        </w:rPr>
      </w:pPr>
      <w:r>
        <w:rPr>
          <w:rFonts w:ascii="黑体" w:eastAsia="黑体" w:hAnsi="黑体" w:cs="黑体" w:hint="eastAsia"/>
          <w:sz w:val="28"/>
          <w:szCs w:val="28"/>
        </w:rPr>
        <w:t>2024年加力支持消费品以旧换新</w:t>
      </w:r>
    </w:p>
    <w:p w:rsidR="00FB1D56" w:rsidRDefault="00FB1D56" w:rsidP="00FB1D56">
      <w:pPr>
        <w:pStyle w:val="a4"/>
        <w:spacing w:line="600" w:lineRule="exact"/>
        <w:ind w:firstLineChars="0" w:firstLine="0"/>
        <w:jc w:val="center"/>
        <w:outlineLvl w:val="9"/>
      </w:pPr>
      <w:r>
        <w:rPr>
          <w:rFonts w:ascii="黑体" w:eastAsia="黑体" w:hAnsi="黑体" w:cs="黑体" w:hint="eastAsia"/>
          <w:sz w:val="28"/>
          <w:szCs w:val="28"/>
        </w:rPr>
        <w:t>-新能源公交车及动力电池更新政策各区市更新情况表</w:t>
      </w:r>
    </w:p>
    <w:tbl>
      <w:tblPr>
        <w:tblStyle w:val="a5"/>
        <w:tblW w:w="0" w:type="auto"/>
        <w:jc w:val="center"/>
        <w:tblLayout w:type="fixed"/>
        <w:tblLook w:val="04A0" w:firstRow="1" w:lastRow="0" w:firstColumn="1" w:lastColumn="0" w:noHBand="0" w:noVBand="1"/>
      </w:tblPr>
      <w:tblGrid>
        <w:gridCol w:w="1131"/>
        <w:gridCol w:w="2350"/>
        <w:gridCol w:w="1726"/>
        <w:gridCol w:w="1125"/>
        <w:gridCol w:w="1118"/>
        <w:gridCol w:w="1270"/>
      </w:tblGrid>
      <w:tr w:rsidR="00FB1D56" w:rsidTr="00FC0A59">
        <w:trPr>
          <w:trHeight w:hRule="exact" w:val="567"/>
          <w:tblHeader/>
          <w:jc w:val="center"/>
        </w:trPr>
        <w:tc>
          <w:tcPr>
            <w:tcW w:w="1131" w:type="dxa"/>
            <w:vAlign w:val="center"/>
          </w:tcPr>
          <w:p w:rsidR="00FB1D56" w:rsidRDefault="00FB1D56" w:rsidP="00FC0A59">
            <w:pPr>
              <w:widowControl/>
              <w:spacing w:line="240" w:lineRule="exact"/>
              <w:jc w:val="center"/>
              <w:rPr>
                <w:rFonts w:ascii="仿宋_GB2312" w:hAnsi="宋体" w:cs="宋体"/>
                <w:b/>
                <w:bCs/>
                <w:color w:val="000000"/>
                <w:sz w:val="21"/>
                <w:szCs w:val="21"/>
              </w:rPr>
            </w:pPr>
            <w:r>
              <w:rPr>
                <w:rFonts w:ascii="仿宋_GB2312" w:hAnsi="宋体" w:cs="宋体" w:hint="eastAsia"/>
                <w:b/>
                <w:bCs/>
                <w:color w:val="000000"/>
                <w:sz w:val="21"/>
                <w:szCs w:val="21"/>
              </w:rPr>
              <w:t>区市</w:t>
            </w:r>
          </w:p>
        </w:tc>
        <w:tc>
          <w:tcPr>
            <w:tcW w:w="2350" w:type="dxa"/>
            <w:vAlign w:val="center"/>
          </w:tcPr>
          <w:p w:rsidR="00FB1D56" w:rsidRDefault="00FB1D56" w:rsidP="00FC0A59">
            <w:pPr>
              <w:widowControl/>
              <w:spacing w:line="240" w:lineRule="exact"/>
              <w:jc w:val="center"/>
              <w:rPr>
                <w:rFonts w:ascii="仿宋_GB2312" w:hAnsi="宋体" w:cs="宋体"/>
                <w:b/>
                <w:bCs/>
                <w:color w:val="000000"/>
                <w:sz w:val="21"/>
                <w:szCs w:val="21"/>
              </w:rPr>
            </w:pPr>
            <w:r>
              <w:rPr>
                <w:rFonts w:ascii="仿宋_GB2312" w:hAnsi="宋体" w:cs="宋体" w:hint="eastAsia"/>
                <w:b/>
                <w:bCs/>
                <w:color w:val="000000"/>
                <w:sz w:val="21"/>
                <w:szCs w:val="21"/>
              </w:rPr>
              <w:t>公交企业名称</w:t>
            </w:r>
          </w:p>
        </w:tc>
        <w:tc>
          <w:tcPr>
            <w:tcW w:w="1726" w:type="dxa"/>
            <w:vAlign w:val="center"/>
          </w:tcPr>
          <w:p w:rsidR="00FB1D56" w:rsidRDefault="00FB1D56" w:rsidP="00FC0A59">
            <w:pPr>
              <w:widowControl/>
              <w:spacing w:line="240" w:lineRule="exact"/>
              <w:jc w:val="center"/>
              <w:rPr>
                <w:rFonts w:ascii="仿宋_GB2312" w:hAnsi="宋体" w:cs="宋体"/>
                <w:b/>
                <w:bCs/>
                <w:color w:val="000000"/>
                <w:sz w:val="21"/>
                <w:szCs w:val="21"/>
              </w:rPr>
            </w:pPr>
            <w:r>
              <w:rPr>
                <w:rFonts w:ascii="仿宋_GB2312" w:hAnsi="宋体" w:cs="宋体" w:hint="eastAsia"/>
                <w:b/>
                <w:bCs/>
                <w:color w:val="000000"/>
                <w:sz w:val="21"/>
                <w:szCs w:val="21"/>
              </w:rPr>
              <w:t>动力电池数量（套）</w:t>
            </w:r>
          </w:p>
        </w:tc>
        <w:tc>
          <w:tcPr>
            <w:tcW w:w="1125" w:type="dxa"/>
            <w:vAlign w:val="center"/>
          </w:tcPr>
          <w:p w:rsidR="00FB1D56" w:rsidRDefault="00FB1D56" w:rsidP="00FC0A59">
            <w:pPr>
              <w:widowControl/>
              <w:spacing w:line="240" w:lineRule="exact"/>
              <w:jc w:val="center"/>
              <w:rPr>
                <w:rFonts w:ascii="仿宋_GB2312" w:hAnsi="宋体" w:cs="宋体"/>
                <w:b/>
                <w:bCs/>
                <w:color w:val="000000"/>
                <w:sz w:val="21"/>
                <w:szCs w:val="21"/>
              </w:rPr>
            </w:pPr>
            <w:r>
              <w:rPr>
                <w:rFonts w:ascii="仿宋_GB2312" w:hAnsi="宋体" w:cs="宋体" w:hint="eastAsia"/>
                <w:b/>
                <w:bCs/>
                <w:color w:val="000000"/>
                <w:sz w:val="21"/>
                <w:szCs w:val="21"/>
              </w:rPr>
              <w:t>补贴金额（万元）</w:t>
            </w:r>
          </w:p>
        </w:tc>
        <w:tc>
          <w:tcPr>
            <w:tcW w:w="1118" w:type="dxa"/>
            <w:vAlign w:val="center"/>
          </w:tcPr>
          <w:p w:rsidR="00FB1D56" w:rsidRDefault="00FB1D56" w:rsidP="00FC0A59">
            <w:pPr>
              <w:widowControl/>
              <w:spacing w:line="240" w:lineRule="exact"/>
              <w:jc w:val="center"/>
              <w:rPr>
                <w:rFonts w:ascii="仿宋_GB2312" w:hAnsi="宋体" w:cs="宋体"/>
                <w:b/>
                <w:bCs/>
                <w:color w:val="000000"/>
                <w:sz w:val="21"/>
                <w:szCs w:val="21"/>
              </w:rPr>
            </w:pPr>
            <w:r>
              <w:rPr>
                <w:rFonts w:ascii="仿宋_GB2312" w:hAnsi="宋体" w:cs="宋体" w:hint="eastAsia"/>
                <w:b/>
                <w:bCs/>
                <w:color w:val="000000"/>
                <w:sz w:val="21"/>
                <w:szCs w:val="21"/>
              </w:rPr>
              <w:t>公交车数量（辆）</w:t>
            </w:r>
          </w:p>
        </w:tc>
        <w:tc>
          <w:tcPr>
            <w:tcW w:w="1270" w:type="dxa"/>
            <w:vAlign w:val="center"/>
          </w:tcPr>
          <w:p w:rsidR="00FB1D56" w:rsidRDefault="00FB1D56" w:rsidP="00FC0A59">
            <w:pPr>
              <w:widowControl/>
              <w:spacing w:line="240" w:lineRule="exact"/>
              <w:jc w:val="center"/>
              <w:rPr>
                <w:rFonts w:ascii="仿宋_GB2312" w:hAnsi="宋体" w:cs="宋体"/>
                <w:b/>
                <w:bCs/>
                <w:color w:val="000000"/>
                <w:sz w:val="21"/>
                <w:szCs w:val="21"/>
              </w:rPr>
            </w:pPr>
            <w:r>
              <w:rPr>
                <w:rFonts w:ascii="仿宋_GB2312" w:hAnsi="宋体" w:cs="宋体" w:hint="eastAsia"/>
                <w:b/>
                <w:bCs/>
                <w:color w:val="000000"/>
                <w:sz w:val="21"/>
                <w:szCs w:val="21"/>
              </w:rPr>
              <w:t>补贴金额（万元）</w:t>
            </w:r>
          </w:p>
        </w:tc>
      </w:tr>
      <w:tr w:rsidR="00FB1D56" w:rsidTr="00FC0A59">
        <w:trPr>
          <w:trHeight w:hRule="exact" w:val="567"/>
          <w:tblHeader/>
          <w:jc w:val="center"/>
        </w:trPr>
        <w:tc>
          <w:tcPr>
            <w:tcW w:w="1131" w:type="dxa"/>
            <w:vAlign w:val="center"/>
          </w:tcPr>
          <w:p w:rsidR="00FB1D56" w:rsidRDefault="00FB1D56" w:rsidP="00FC0A59">
            <w:pPr>
              <w:widowControl/>
              <w:spacing w:line="240" w:lineRule="exact"/>
              <w:jc w:val="center"/>
              <w:rPr>
                <w:rFonts w:ascii="仿宋_GB2312" w:hAnsi="宋体" w:cs="宋体"/>
                <w:color w:val="000000"/>
                <w:sz w:val="22"/>
                <w:szCs w:val="22"/>
              </w:rPr>
            </w:pPr>
          </w:p>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即墨区</w:t>
            </w:r>
          </w:p>
          <w:p w:rsidR="00FB1D56" w:rsidRDefault="00FB1D56" w:rsidP="00FC0A59">
            <w:pPr>
              <w:widowControl/>
              <w:spacing w:line="240" w:lineRule="exact"/>
              <w:jc w:val="center"/>
              <w:rPr>
                <w:rFonts w:ascii="仿宋_GB2312" w:hAnsi="宋体" w:cs="宋体"/>
                <w:color w:val="000000"/>
                <w:sz w:val="22"/>
                <w:szCs w:val="22"/>
              </w:rPr>
            </w:pPr>
          </w:p>
        </w:tc>
        <w:tc>
          <w:tcPr>
            <w:tcW w:w="2350" w:type="dxa"/>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青岛交运即墨温馨巴士有限公司</w:t>
            </w:r>
          </w:p>
        </w:tc>
        <w:tc>
          <w:tcPr>
            <w:tcW w:w="1726"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20</w:t>
            </w:r>
          </w:p>
        </w:tc>
        <w:tc>
          <w:tcPr>
            <w:tcW w:w="1125"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84.00</w:t>
            </w:r>
          </w:p>
        </w:tc>
        <w:tc>
          <w:tcPr>
            <w:tcW w:w="1118"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37</w:t>
            </w:r>
          </w:p>
        </w:tc>
        <w:tc>
          <w:tcPr>
            <w:tcW w:w="1270"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296.00</w:t>
            </w:r>
          </w:p>
        </w:tc>
      </w:tr>
      <w:tr w:rsidR="00FB1D56" w:rsidTr="00FC0A59">
        <w:trPr>
          <w:trHeight w:hRule="exact" w:val="567"/>
          <w:tblHeader/>
          <w:jc w:val="center"/>
        </w:trPr>
        <w:tc>
          <w:tcPr>
            <w:tcW w:w="1131" w:type="dxa"/>
            <w:vMerge w:val="restart"/>
            <w:vAlign w:val="center"/>
          </w:tcPr>
          <w:p w:rsidR="00FB1D56" w:rsidRDefault="00FB1D56" w:rsidP="00FC0A59">
            <w:pPr>
              <w:widowControl/>
              <w:spacing w:line="240" w:lineRule="exact"/>
              <w:jc w:val="center"/>
              <w:rPr>
                <w:rFonts w:ascii="仿宋_GB2312" w:hAnsi="宋体" w:cs="宋体"/>
                <w:color w:val="000000"/>
                <w:sz w:val="22"/>
                <w:szCs w:val="22"/>
              </w:rPr>
            </w:pPr>
          </w:p>
          <w:p w:rsidR="00FB1D56" w:rsidRDefault="00FB1D56" w:rsidP="00FC0A59">
            <w:pPr>
              <w:widowControl/>
              <w:spacing w:line="240" w:lineRule="exact"/>
              <w:jc w:val="center"/>
              <w:rPr>
                <w:rFonts w:ascii="仿宋_GB2312" w:hAnsi="宋体" w:cs="宋体"/>
                <w:color w:val="000000"/>
                <w:sz w:val="22"/>
                <w:szCs w:val="22"/>
              </w:rPr>
            </w:pPr>
          </w:p>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胶州区</w:t>
            </w:r>
          </w:p>
          <w:p w:rsidR="00FB1D56" w:rsidRDefault="00FB1D56" w:rsidP="00FC0A59">
            <w:pPr>
              <w:widowControl/>
              <w:spacing w:line="240" w:lineRule="exact"/>
              <w:jc w:val="center"/>
              <w:rPr>
                <w:rFonts w:ascii="仿宋_GB2312" w:hAnsi="宋体" w:cs="宋体"/>
                <w:color w:val="000000"/>
                <w:sz w:val="22"/>
                <w:szCs w:val="22"/>
              </w:rPr>
            </w:pPr>
          </w:p>
          <w:p w:rsidR="00FB1D56" w:rsidRDefault="00FB1D56" w:rsidP="00FC0A59">
            <w:pPr>
              <w:widowControl/>
              <w:spacing w:line="240" w:lineRule="exact"/>
              <w:jc w:val="center"/>
              <w:rPr>
                <w:rFonts w:ascii="仿宋_GB2312" w:hAnsi="宋体" w:cs="宋体"/>
                <w:color w:val="000000"/>
                <w:sz w:val="22"/>
                <w:szCs w:val="22"/>
              </w:rPr>
            </w:pPr>
          </w:p>
        </w:tc>
        <w:tc>
          <w:tcPr>
            <w:tcW w:w="2350" w:type="dxa"/>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青岛交运胶州温馨巴士有限公司</w:t>
            </w:r>
          </w:p>
        </w:tc>
        <w:tc>
          <w:tcPr>
            <w:tcW w:w="1726"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15</w:t>
            </w:r>
          </w:p>
        </w:tc>
        <w:tc>
          <w:tcPr>
            <w:tcW w:w="1125"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63.00</w:t>
            </w:r>
          </w:p>
        </w:tc>
        <w:tc>
          <w:tcPr>
            <w:tcW w:w="1118"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c>
          <w:tcPr>
            <w:tcW w:w="1270"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r>
      <w:tr w:rsidR="00FB1D56" w:rsidTr="00FC0A59">
        <w:trPr>
          <w:trHeight w:hRule="exact" w:val="567"/>
          <w:tblHeader/>
          <w:jc w:val="center"/>
        </w:trPr>
        <w:tc>
          <w:tcPr>
            <w:tcW w:w="1131" w:type="dxa"/>
            <w:vMerge/>
            <w:vAlign w:val="center"/>
          </w:tcPr>
          <w:p w:rsidR="00FB1D56" w:rsidRDefault="00FB1D56" w:rsidP="00FC0A59">
            <w:pPr>
              <w:widowControl/>
              <w:spacing w:line="240" w:lineRule="exact"/>
              <w:jc w:val="center"/>
              <w:rPr>
                <w:rFonts w:ascii="仿宋_GB2312" w:hAnsi="宋体" w:cs="宋体"/>
                <w:color w:val="000000"/>
                <w:sz w:val="22"/>
                <w:szCs w:val="22"/>
              </w:rPr>
            </w:pPr>
          </w:p>
        </w:tc>
        <w:tc>
          <w:tcPr>
            <w:tcW w:w="2350" w:type="dxa"/>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青岛城运控股集团胶州巴士有限公司</w:t>
            </w:r>
          </w:p>
        </w:tc>
        <w:tc>
          <w:tcPr>
            <w:tcW w:w="1726"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38</w:t>
            </w:r>
          </w:p>
        </w:tc>
        <w:tc>
          <w:tcPr>
            <w:tcW w:w="1125"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160.00</w:t>
            </w:r>
          </w:p>
        </w:tc>
        <w:tc>
          <w:tcPr>
            <w:tcW w:w="1118"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c>
          <w:tcPr>
            <w:tcW w:w="1270"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r>
      <w:tr w:rsidR="00FB1D56" w:rsidTr="00FC0A59">
        <w:trPr>
          <w:trHeight w:hRule="exact" w:val="567"/>
          <w:tblHeader/>
          <w:jc w:val="center"/>
        </w:trPr>
        <w:tc>
          <w:tcPr>
            <w:tcW w:w="1131" w:type="dxa"/>
            <w:vMerge w:val="restart"/>
            <w:vAlign w:val="center"/>
          </w:tcPr>
          <w:p w:rsidR="00FB1D56" w:rsidRDefault="00FB1D56" w:rsidP="00FC0A59">
            <w:pPr>
              <w:widowControl/>
              <w:spacing w:line="240" w:lineRule="exact"/>
              <w:jc w:val="center"/>
              <w:rPr>
                <w:rFonts w:ascii="仿宋_GB2312" w:hAnsi="宋体" w:cs="宋体"/>
                <w:color w:val="000000"/>
                <w:sz w:val="22"/>
                <w:szCs w:val="22"/>
              </w:rPr>
            </w:pPr>
          </w:p>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平度市</w:t>
            </w:r>
          </w:p>
          <w:p w:rsidR="00FB1D56" w:rsidRDefault="00FB1D56" w:rsidP="00FC0A59">
            <w:pPr>
              <w:widowControl/>
              <w:spacing w:line="240" w:lineRule="exact"/>
              <w:jc w:val="center"/>
              <w:rPr>
                <w:rFonts w:ascii="仿宋_GB2312" w:hAnsi="宋体" w:cs="宋体"/>
                <w:color w:val="000000"/>
                <w:sz w:val="22"/>
                <w:szCs w:val="22"/>
              </w:rPr>
            </w:pPr>
          </w:p>
        </w:tc>
        <w:tc>
          <w:tcPr>
            <w:tcW w:w="2350" w:type="dxa"/>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青岛交运平度温馨巴士有限公司</w:t>
            </w:r>
          </w:p>
        </w:tc>
        <w:tc>
          <w:tcPr>
            <w:tcW w:w="1726"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107</w:t>
            </w:r>
          </w:p>
        </w:tc>
        <w:tc>
          <w:tcPr>
            <w:tcW w:w="1125"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450.00</w:t>
            </w:r>
          </w:p>
        </w:tc>
        <w:tc>
          <w:tcPr>
            <w:tcW w:w="1118"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c>
          <w:tcPr>
            <w:tcW w:w="1270"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r>
      <w:tr w:rsidR="00FB1D56" w:rsidTr="00FC0A59">
        <w:trPr>
          <w:trHeight w:hRule="exact" w:val="567"/>
          <w:tblHeader/>
          <w:jc w:val="center"/>
        </w:trPr>
        <w:tc>
          <w:tcPr>
            <w:tcW w:w="1131" w:type="dxa"/>
            <w:vMerge/>
            <w:vAlign w:val="center"/>
          </w:tcPr>
          <w:p w:rsidR="00FB1D56" w:rsidRDefault="00FB1D56" w:rsidP="00FC0A59">
            <w:pPr>
              <w:widowControl/>
              <w:spacing w:line="240" w:lineRule="exact"/>
              <w:jc w:val="center"/>
              <w:rPr>
                <w:rFonts w:ascii="仿宋_GB2312" w:hAnsi="宋体" w:cs="宋体"/>
                <w:color w:val="000000"/>
                <w:sz w:val="22"/>
                <w:szCs w:val="22"/>
              </w:rPr>
            </w:pPr>
          </w:p>
        </w:tc>
        <w:tc>
          <w:tcPr>
            <w:tcW w:w="2350" w:type="dxa"/>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青岛南村平安客运有限公司</w:t>
            </w:r>
          </w:p>
        </w:tc>
        <w:tc>
          <w:tcPr>
            <w:tcW w:w="1726"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15</w:t>
            </w:r>
          </w:p>
        </w:tc>
        <w:tc>
          <w:tcPr>
            <w:tcW w:w="1125"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63.00</w:t>
            </w:r>
          </w:p>
        </w:tc>
        <w:tc>
          <w:tcPr>
            <w:tcW w:w="1118"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c>
          <w:tcPr>
            <w:tcW w:w="1270"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r>
      <w:tr w:rsidR="00FB1D56" w:rsidTr="00FC0A59">
        <w:trPr>
          <w:trHeight w:hRule="exact" w:val="567"/>
          <w:tblHeader/>
          <w:jc w:val="center"/>
        </w:trPr>
        <w:tc>
          <w:tcPr>
            <w:tcW w:w="1131" w:type="dxa"/>
            <w:vMerge/>
            <w:vAlign w:val="center"/>
          </w:tcPr>
          <w:p w:rsidR="00FB1D56" w:rsidRDefault="00FB1D56" w:rsidP="00FC0A59">
            <w:pPr>
              <w:widowControl/>
              <w:spacing w:line="240" w:lineRule="exact"/>
              <w:jc w:val="center"/>
              <w:rPr>
                <w:rFonts w:ascii="仿宋_GB2312" w:hAnsi="宋体" w:cs="宋体"/>
                <w:color w:val="000000"/>
                <w:sz w:val="22"/>
                <w:szCs w:val="22"/>
              </w:rPr>
            </w:pPr>
          </w:p>
        </w:tc>
        <w:tc>
          <w:tcPr>
            <w:tcW w:w="2350" w:type="dxa"/>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青岛畅通公交有限公司</w:t>
            </w:r>
          </w:p>
        </w:tc>
        <w:tc>
          <w:tcPr>
            <w:tcW w:w="1726"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35</w:t>
            </w:r>
          </w:p>
        </w:tc>
        <w:tc>
          <w:tcPr>
            <w:tcW w:w="1125"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147.00</w:t>
            </w:r>
          </w:p>
        </w:tc>
        <w:tc>
          <w:tcPr>
            <w:tcW w:w="1118"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c>
          <w:tcPr>
            <w:tcW w:w="1270"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r>
      <w:tr w:rsidR="00FB1D56" w:rsidTr="00FC0A59">
        <w:trPr>
          <w:trHeight w:hRule="exact" w:val="567"/>
          <w:tblHeader/>
          <w:jc w:val="center"/>
        </w:trPr>
        <w:tc>
          <w:tcPr>
            <w:tcW w:w="1131" w:type="dxa"/>
            <w:vMerge w:val="restart"/>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西海岸新区</w:t>
            </w:r>
          </w:p>
        </w:tc>
        <w:tc>
          <w:tcPr>
            <w:tcW w:w="2350" w:type="dxa"/>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青岛真情巴士集团有限公司</w:t>
            </w:r>
          </w:p>
        </w:tc>
        <w:tc>
          <w:tcPr>
            <w:tcW w:w="1726"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376</w:t>
            </w:r>
          </w:p>
        </w:tc>
        <w:tc>
          <w:tcPr>
            <w:tcW w:w="1125"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1,579.00</w:t>
            </w:r>
          </w:p>
        </w:tc>
        <w:tc>
          <w:tcPr>
            <w:tcW w:w="1118"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c>
          <w:tcPr>
            <w:tcW w:w="1270"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r>
      <w:tr w:rsidR="00FB1D56" w:rsidTr="00FC0A59">
        <w:trPr>
          <w:trHeight w:hRule="exact" w:val="555"/>
          <w:tblHeader/>
          <w:jc w:val="center"/>
        </w:trPr>
        <w:tc>
          <w:tcPr>
            <w:tcW w:w="1131" w:type="dxa"/>
            <w:vMerge/>
            <w:vAlign w:val="center"/>
          </w:tcPr>
          <w:p w:rsidR="00FB1D56" w:rsidRDefault="00FB1D56" w:rsidP="00FC0A59">
            <w:pPr>
              <w:widowControl/>
              <w:spacing w:line="240" w:lineRule="exact"/>
              <w:jc w:val="center"/>
              <w:rPr>
                <w:rFonts w:ascii="仿宋_GB2312" w:hAnsi="宋体" w:cs="宋体"/>
                <w:color w:val="000000"/>
                <w:sz w:val="22"/>
                <w:szCs w:val="22"/>
              </w:rPr>
            </w:pPr>
          </w:p>
        </w:tc>
        <w:tc>
          <w:tcPr>
            <w:tcW w:w="2350" w:type="dxa"/>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青岛城运西海岸温馨巴士有限公司</w:t>
            </w:r>
          </w:p>
        </w:tc>
        <w:tc>
          <w:tcPr>
            <w:tcW w:w="1726"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145</w:t>
            </w:r>
          </w:p>
        </w:tc>
        <w:tc>
          <w:tcPr>
            <w:tcW w:w="1125"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609.00</w:t>
            </w:r>
          </w:p>
        </w:tc>
        <w:tc>
          <w:tcPr>
            <w:tcW w:w="1118"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c>
          <w:tcPr>
            <w:tcW w:w="1270"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w:t>
            </w:r>
          </w:p>
        </w:tc>
      </w:tr>
      <w:tr w:rsidR="00FB1D56" w:rsidTr="00FC0A59">
        <w:trPr>
          <w:trHeight w:hRule="exact" w:val="567"/>
          <w:tblHeader/>
          <w:jc w:val="center"/>
        </w:trPr>
        <w:tc>
          <w:tcPr>
            <w:tcW w:w="1131" w:type="dxa"/>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主城区</w:t>
            </w:r>
          </w:p>
        </w:tc>
        <w:tc>
          <w:tcPr>
            <w:tcW w:w="2350" w:type="dxa"/>
            <w:vAlign w:val="center"/>
          </w:tcPr>
          <w:p w:rsidR="00FB1D56" w:rsidRDefault="00FB1D56" w:rsidP="00FC0A59">
            <w:pPr>
              <w:widowControl/>
              <w:spacing w:line="240" w:lineRule="exact"/>
              <w:jc w:val="center"/>
              <w:rPr>
                <w:rFonts w:ascii="仿宋_GB2312" w:hAnsi="宋体" w:cs="宋体"/>
                <w:color w:val="000000"/>
                <w:sz w:val="22"/>
                <w:szCs w:val="22"/>
              </w:rPr>
            </w:pPr>
            <w:r>
              <w:rPr>
                <w:rFonts w:ascii="仿宋_GB2312" w:hAnsi="宋体" w:cs="宋体" w:hint="eastAsia"/>
                <w:color w:val="000000"/>
                <w:sz w:val="22"/>
                <w:szCs w:val="22"/>
              </w:rPr>
              <w:t>青岛城运控股集团</w:t>
            </w:r>
          </w:p>
        </w:tc>
        <w:tc>
          <w:tcPr>
            <w:tcW w:w="1726"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481</w:t>
            </w:r>
          </w:p>
        </w:tc>
        <w:tc>
          <w:tcPr>
            <w:tcW w:w="1125"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2,020.00</w:t>
            </w:r>
          </w:p>
        </w:tc>
        <w:tc>
          <w:tcPr>
            <w:tcW w:w="1118"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500</w:t>
            </w:r>
          </w:p>
        </w:tc>
        <w:tc>
          <w:tcPr>
            <w:tcW w:w="1270"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4,000.00</w:t>
            </w:r>
          </w:p>
        </w:tc>
      </w:tr>
      <w:tr w:rsidR="00FB1D56" w:rsidTr="00FC0A59">
        <w:trPr>
          <w:trHeight w:hRule="exact" w:val="567"/>
          <w:tblHeader/>
          <w:jc w:val="center"/>
        </w:trPr>
        <w:tc>
          <w:tcPr>
            <w:tcW w:w="1131" w:type="dxa"/>
            <w:vAlign w:val="center"/>
          </w:tcPr>
          <w:p w:rsidR="00FB1D56" w:rsidRDefault="00FB1D56" w:rsidP="00FC0A59">
            <w:pPr>
              <w:widowControl/>
              <w:spacing w:line="240" w:lineRule="exact"/>
              <w:jc w:val="center"/>
              <w:rPr>
                <w:rFonts w:ascii="仿宋_GB2312" w:hAnsi="宋体" w:cs="宋体"/>
                <w:b/>
                <w:bCs/>
                <w:color w:val="000000"/>
                <w:sz w:val="22"/>
                <w:szCs w:val="22"/>
              </w:rPr>
            </w:pPr>
            <w:r>
              <w:rPr>
                <w:rFonts w:ascii="仿宋_GB2312" w:hAnsi="宋体" w:cs="宋体" w:hint="eastAsia"/>
                <w:b/>
                <w:bCs/>
                <w:color w:val="000000"/>
                <w:sz w:val="22"/>
                <w:szCs w:val="22"/>
              </w:rPr>
              <w:t>合计</w:t>
            </w:r>
          </w:p>
        </w:tc>
        <w:tc>
          <w:tcPr>
            <w:tcW w:w="2350" w:type="dxa"/>
            <w:vAlign w:val="center"/>
          </w:tcPr>
          <w:p w:rsidR="00FB1D56" w:rsidRDefault="00FB1D56" w:rsidP="00FC0A59">
            <w:pPr>
              <w:widowControl/>
              <w:spacing w:line="240" w:lineRule="exact"/>
              <w:jc w:val="center"/>
              <w:rPr>
                <w:rFonts w:ascii="仿宋_GB2312" w:hAnsi="宋体" w:cs="宋体"/>
                <w:b/>
                <w:bCs/>
                <w:color w:val="000000"/>
                <w:sz w:val="22"/>
                <w:szCs w:val="22"/>
              </w:rPr>
            </w:pPr>
            <w:r>
              <w:rPr>
                <w:rFonts w:ascii="仿宋_GB2312" w:hAnsi="宋体" w:cs="宋体" w:hint="eastAsia"/>
                <w:b/>
                <w:bCs/>
                <w:color w:val="000000"/>
                <w:sz w:val="22"/>
                <w:szCs w:val="22"/>
              </w:rPr>
              <w:t>-</w:t>
            </w:r>
          </w:p>
        </w:tc>
        <w:tc>
          <w:tcPr>
            <w:tcW w:w="1726"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fldChar w:fldCharType="begin"/>
            </w:r>
            <w:r>
              <w:rPr>
                <w:rFonts w:ascii="仿宋_GB2312" w:hAnsi="宋体" w:cs="宋体" w:hint="eastAsia"/>
                <w:color w:val="000000"/>
                <w:sz w:val="22"/>
                <w:szCs w:val="22"/>
              </w:rPr>
              <w:instrText xml:space="preserve"> = sum(C2:C10) \* MERGEFORMAT </w:instrText>
            </w:r>
            <w:r>
              <w:rPr>
                <w:rFonts w:ascii="仿宋_GB2312" w:hAnsi="宋体" w:cs="宋体" w:hint="eastAsia"/>
                <w:color w:val="000000"/>
                <w:sz w:val="22"/>
                <w:szCs w:val="22"/>
              </w:rPr>
              <w:fldChar w:fldCharType="separate"/>
            </w:r>
            <w:r>
              <w:rPr>
                <w:rFonts w:ascii="仿宋_GB2312" w:hAnsi="宋体" w:cs="宋体" w:hint="eastAsia"/>
                <w:color w:val="000000"/>
                <w:sz w:val="22"/>
                <w:szCs w:val="22"/>
              </w:rPr>
              <w:t>1,232</w:t>
            </w:r>
            <w:r>
              <w:rPr>
                <w:rFonts w:ascii="仿宋_GB2312" w:hAnsi="宋体" w:cs="宋体" w:hint="eastAsia"/>
                <w:color w:val="000000"/>
                <w:sz w:val="22"/>
                <w:szCs w:val="22"/>
              </w:rPr>
              <w:fldChar w:fldCharType="end"/>
            </w:r>
          </w:p>
        </w:tc>
        <w:tc>
          <w:tcPr>
            <w:tcW w:w="1125"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t>5,175.00</w:t>
            </w:r>
            <w:r>
              <w:rPr>
                <w:rFonts w:ascii="仿宋_GB2312" w:hAnsi="宋体" w:cs="宋体" w:hint="eastAsia"/>
                <w:color w:val="000000"/>
                <w:sz w:val="22"/>
                <w:szCs w:val="22"/>
              </w:rPr>
              <w:fldChar w:fldCharType="begin"/>
            </w:r>
            <w:r>
              <w:rPr>
                <w:rFonts w:ascii="仿宋_GB2312" w:hAnsi="宋体" w:cs="宋体" w:hint="eastAsia"/>
                <w:color w:val="000000"/>
                <w:sz w:val="22"/>
                <w:szCs w:val="22"/>
              </w:rPr>
              <w:instrText xml:space="preserve"> = sum(D2:D10) \* MERGEFORMAT </w:instrText>
            </w:r>
            <w:r>
              <w:rPr>
                <w:rFonts w:ascii="仿宋_GB2312" w:hAnsi="宋体" w:cs="宋体" w:hint="eastAsia"/>
                <w:color w:val="000000"/>
                <w:sz w:val="22"/>
                <w:szCs w:val="22"/>
              </w:rPr>
              <w:fldChar w:fldCharType="end"/>
            </w:r>
          </w:p>
        </w:tc>
        <w:tc>
          <w:tcPr>
            <w:tcW w:w="1118"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fldChar w:fldCharType="begin"/>
            </w:r>
            <w:r>
              <w:rPr>
                <w:rFonts w:ascii="仿宋_GB2312" w:hAnsi="宋体" w:cs="宋体" w:hint="eastAsia"/>
                <w:color w:val="000000"/>
                <w:sz w:val="22"/>
                <w:szCs w:val="22"/>
              </w:rPr>
              <w:instrText xml:space="preserve"> = sum(E2:E10) \* MERGEFORMAT </w:instrText>
            </w:r>
            <w:r>
              <w:rPr>
                <w:rFonts w:ascii="仿宋_GB2312" w:hAnsi="宋体" w:cs="宋体" w:hint="eastAsia"/>
                <w:color w:val="000000"/>
                <w:sz w:val="22"/>
                <w:szCs w:val="22"/>
              </w:rPr>
              <w:fldChar w:fldCharType="separate"/>
            </w:r>
            <w:r>
              <w:rPr>
                <w:rFonts w:ascii="仿宋_GB2312" w:hAnsi="宋体" w:cs="宋体" w:hint="eastAsia"/>
                <w:color w:val="000000"/>
                <w:sz w:val="22"/>
                <w:szCs w:val="22"/>
              </w:rPr>
              <w:t>537</w:t>
            </w:r>
            <w:r>
              <w:rPr>
                <w:rFonts w:ascii="仿宋_GB2312" w:hAnsi="宋体" w:cs="宋体" w:hint="eastAsia"/>
                <w:color w:val="000000"/>
                <w:sz w:val="22"/>
                <w:szCs w:val="22"/>
              </w:rPr>
              <w:fldChar w:fldCharType="end"/>
            </w:r>
          </w:p>
        </w:tc>
        <w:tc>
          <w:tcPr>
            <w:tcW w:w="1270" w:type="dxa"/>
            <w:vAlign w:val="center"/>
          </w:tcPr>
          <w:p w:rsidR="00FB1D56" w:rsidRDefault="00FB1D56" w:rsidP="00FC0A59">
            <w:pPr>
              <w:widowControl/>
              <w:spacing w:line="240" w:lineRule="exact"/>
              <w:jc w:val="right"/>
              <w:rPr>
                <w:rFonts w:ascii="仿宋_GB2312" w:hAnsi="宋体" w:cs="宋体"/>
                <w:color w:val="000000"/>
                <w:sz w:val="22"/>
                <w:szCs w:val="22"/>
              </w:rPr>
            </w:pPr>
            <w:r>
              <w:rPr>
                <w:rFonts w:ascii="仿宋_GB2312" w:hAnsi="宋体" w:cs="宋体" w:hint="eastAsia"/>
                <w:color w:val="000000"/>
                <w:sz w:val="22"/>
                <w:szCs w:val="22"/>
              </w:rPr>
              <w:fldChar w:fldCharType="begin"/>
            </w:r>
            <w:r>
              <w:rPr>
                <w:rFonts w:ascii="仿宋_GB2312" w:hAnsi="宋体" w:cs="宋体" w:hint="eastAsia"/>
                <w:color w:val="000000"/>
                <w:sz w:val="22"/>
                <w:szCs w:val="22"/>
              </w:rPr>
              <w:instrText xml:space="preserve"> = sum(F2:F10) \* MERGEFORMAT </w:instrText>
            </w:r>
            <w:r>
              <w:rPr>
                <w:rFonts w:ascii="仿宋_GB2312" w:hAnsi="宋体" w:cs="宋体" w:hint="eastAsia"/>
                <w:color w:val="000000"/>
                <w:sz w:val="22"/>
                <w:szCs w:val="22"/>
              </w:rPr>
              <w:fldChar w:fldCharType="separate"/>
            </w:r>
            <w:r>
              <w:rPr>
                <w:rFonts w:ascii="仿宋_GB2312" w:hAnsi="宋体" w:cs="宋体" w:hint="eastAsia"/>
                <w:color w:val="000000"/>
                <w:sz w:val="22"/>
                <w:szCs w:val="22"/>
              </w:rPr>
              <w:t>4,296</w:t>
            </w:r>
            <w:r>
              <w:rPr>
                <w:rFonts w:ascii="仿宋_GB2312" w:hAnsi="宋体" w:cs="宋体" w:hint="eastAsia"/>
                <w:color w:val="000000"/>
                <w:sz w:val="22"/>
                <w:szCs w:val="22"/>
              </w:rPr>
              <w:fldChar w:fldCharType="end"/>
            </w:r>
            <w:r>
              <w:rPr>
                <w:rFonts w:ascii="仿宋_GB2312" w:hAnsi="宋体" w:cs="宋体" w:hint="eastAsia"/>
                <w:color w:val="000000"/>
                <w:sz w:val="22"/>
                <w:szCs w:val="22"/>
              </w:rPr>
              <w:t>.00</w:t>
            </w:r>
          </w:p>
        </w:tc>
      </w:tr>
    </w:tbl>
    <w:p w:rsidR="00FB1D56" w:rsidRDefault="00FB1D56" w:rsidP="00FB1D56">
      <w:pPr>
        <w:ind w:firstLineChars="200" w:firstLine="640"/>
        <w:outlineLvl w:val="0"/>
        <w:rPr>
          <w:rFonts w:ascii="黑体" w:eastAsia="黑体" w:hAnsi="黑体" w:cs="黑体"/>
          <w:szCs w:val="40"/>
        </w:rPr>
      </w:pPr>
      <w:bookmarkStart w:id="8" w:name="_Toc6826"/>
      <w:r>
        <w:rPr>
          <w:rFonts w:ascii="黑体" w:eastAsia="黑体" w:hAnsi="黑体" w:cs="黑体" w:hint="eastAsia"/>
          <w:szCs w:val="40"/>
        </w:rPr>
        <w:t>五、发现的问题及原因分析</w:t>
      </w:r>
      <w:bookmarkEnd w:id="8"/>
    </w:p>
    <w:p w:rsidR="00FB1D56" w:rsidRDefault="00FB1D56" w:rsidP="00FB1D56">
      <w:pPr>
        <w:ind w:firstLineChars="200" w:firstLine="640"/>
        <w:outlineLvl w:val="1"/>
        <w:rPr>
          <w:rFonts w:ascii="楷体_GB2312" w:eastAsia="楷体_GB2312" w:hAnsi="楷体_GB2312" w:cs="楷体_GB2312"/>
          <w:szCs w:val="40"/>
        </w:rPr>
      </w:pPr>
      <w:bookmarkStart w:id="9" w:name="_Toc30208"/>
      <w:r>
        <w:rPr>
          <w:rFonts w:ascii="楷体_GB2312" w:eastAsia="楷体_GB2312" w:hAnsi="楷体_GB2312" w:cs="楷体_GB2312" w:hint="eastAsia"/>
          <w:szCs w:val="40"/>
        </w:rPr>
        <w:t>（一）</w:t>
      </w:r>
      <w:bookmarkEnd w:id="9"/>
      <w:r>
        <w:rPr>
          <w:rFonts w:ascii="楷体_GB2312" w:eastAsia="楷体_GB2312" w:hAnsi="楷体_GB2312" w:cs="楷体_GB2312" w:hint="eastAsia"/>
          <w:szCs w:val="40"/>
        </w:rPr>
        <w:t>废旧电池处置情况监管空白</w:t>
      </w:r>
    </w:p>
    <w:p w:rsidR="00FB1D56" w:rsidRDefault="00FB1D56" w:rsidP="00FB1D56">
      <w:pPr>
        <w:pStyle w:val="a3"/>
        <w:shd w:val="clear" w:color="auto" w:fill="FCFCFC"/>
        <w:spacing w:before="60" w:beforeAutospacing="0" w:after="90" w:afterAutospacing="0"/>
        <w:ind w:firstLineChars="200" w:firstLine="640"/>
        <w:textAlignment w:val="baseline"/>
        <w:rPr>
          <w:rFonts w:ascii="Times New Roman" w:hAnsi="Times New Roman"/>
          <w:kern w:val="2"/>
          <w:sz w:val="32"/>
        </w:rPr>
      </w:pPr>
      <w:r>
        <w:rPr>
          <w:rFonts w:ascii="Times New Roman" w:hAnsi="Times New Roman" w:hint="eastAsia"/>
          <w:kern w:val="2"/>
          <w:sz w:val="32"/>
        </w:rPr>
        <w:t>依据《中华人民共和国工业和信息化部</w:t>
      </w:r>
      <w:r>
        <w:rPr>
          <w:rFonts w:ascii="Times New Roman" w:hAnsi="Times New Roman" w:hint="eastAsia"/>
          <w:kern w:val="2"/>
          <w:sz w:val="32"/>
        </w:rPr>
        <w:t xml:space="preserve"> </w:t>
      </w:r>
      <w:r>
        <w:rPr>
          <w:rFonts w:ascii="Times New Roman" w:hAnsi="Times New Roman" w:hint="eastAsia"/>
          <w:kern w:val="2"/>
          <w:sz w:val="32"/>
        </w:rPr>
        <w:t>交通运输部</w:t>
      </w:r>
      <w:r>
        <w:rPr>
          <w:rFonts w:ascii="Times New Roman" w:hAnsi="Times New Roman" w:hint="eastAsia"/>
          <w:kern w:val="2"/>
          <w:sz w:val="32"/>
        </w:rPr>
        <w:t xml:space="preserve"> </w:t>
      </w:r>
      <w:r>
        <w:rPr>
          <w:rFonts w:ascii="Times New Roman" w:hAnsi="Times New Roman" w:hint="eastAsia"/>
          <w:kern w:val="2"/>
          <w:sz w:val="32"/>
        </w:rPr>
        <w:t>公安部</w:t>
      </w:r>
      <w:r>
        <w:rPr>
          <w:rFonts w:ascii="Times New Roman" w:hAnsi="Times New Roman" w:hint="eastAsia"/>
          <w:kern w:val="2"/>
          <w:sz w:val="32"/>
        </w:rPr>
        <w:t xml:space="preserve"> </w:t>
      </w:r>
      <w:r>
        <w:rPr>
          <w:rFonts w:ascii="Times New Roman" w:hAnsi="Times New Roman" w:hint="eastAsia"/>
          <w:kern w:val="2"/>
          <w:sz w:val="32"/>
        </w:rPr>
        <w:t>商务部</w:t>
      </w:r>
      <w:r>
        <w:rPr>
          <w:rFonts w:ascii="Times New Roman" w:hAnsi="Times New Roman" w:hint="eastAsia"/>
          <w:kern w:val="2"/>
          <w:sz w:val="32"/>
        </w:rPr>
        <w:t xml:space="preserve"> </w:t>
      </w:r>
      <w:r>
        <w:rPr>
          <w:rFonts w:ascii="Times New Roman" w:hAnsi="Times New Roman" w:hint="eastAsia"/>
          <w:kern w:val="2"/>
          <w:sz w:val="32"/>
        </w:rPr>
        <w:t>应急管理部</w:t>
      </w:r>
      <w:r>
        <w:rPr>
          <w:rFonts w:ascii="Times New Roman" w:hAnsi="Times New Roman" w:hint="eastAsia"/>
          <w:kern w:val="2"/>
          <w:sz w:val="32"/>
        </w:rPr>
        <w:t xml:space="preserve"> </w:t>
      </w:r>
      <w:r>
        <w:rPr>
          <w:rFonts w:ascii="Times New Roman" w:hAnsi="Times New Roman" w:hint="eastAsia"/>
          <w:kern w:val="2"/>
          <w:sz w:val="32"/>
        </w:rPr>
        <w:t>市场监管总局</w:t>
      </w:r>
      <w:r>
        <w:rPr>
          <w:rFonts w:ascii="Times New Roman" w:hAnsi="Times New Roman" w:hint="eastAsia"/>
          <w:kern w:val="2"/>
          <w:sz w:val="32"/>
        </w:rPr>
        <w:t xml:space="preserve"> </w:t>
      </w:r>
      <w:r>
        <w:rPr>
          <w:rFonts w:ascii="Times New Roman" w:hAnsi="Times New Roman" w:hint="eastAsia"/>
          <w:kern w:val="2"/>
          <w:sz w:val="32"/>
        </w:rPr>
        <w:t>金融监管总局</w:t>
      </w:r>
      <w:r>
        <w:rPr>
          <w:rFonts w:ascii="Times New Roman" w:hAnsi="Times New Roman" w:hint="eastAsia"/>
          <w:kern w:val="2"/>
          <w:sz w:val="32"/>
        </w:rPr>
        <w:t xml:space="preserve"> </w:t>
      </w:r>
      <w:r>
        <w:rPr>
          <w:rFonts w:ascii="Times New Roman" w:hAnsi="Times New Roman" w:hint="eastAsia"/>
          <w:kern w:val="2"/>
          <w:sz w:val="32"/>
        </w:rPr>
        <w:t>国家消防救援局公告》（</w:t>
      </w:r>
      <w:r>
        <w:rPr>
          <w:rFonts w:ascii="Times New Roman" w:hAnsi="Times New Roman" w:hint="eastAsia"/>
          <w:kern w:val="2"/>
          <w:sz w:val="32"/>
        </w:rPr>
        <w:t>2024</w:t>
      </w:r>
      <w:r>
        <w:rPr>
          <w:rFonts w:ascii="Times New Roman" w:hAnsi="Times New Roman" w:hint="eastAsia"/>
          <w:kern w:val="2"/>
          <w:sz w:val="32"/>
        </w:rPr>
        <w:t>年第</w:t>
      </w:r>
      <w:r>
        <w:rPr>
          <w:rFonts w:ascii="Times New Roman" w:hAnsi="Times New Roman" w:hint="eastAsia"/>
          <w:kern w:val="2"/>
          <w:sz w:val="32"/>
        </w:rPr>
        <w:t>22</w:t>
      </w:r>
      <w:r>
        <w:rPr>
          <w:rFonts w:ascii="Times New Roman" w:hAnsi="Times New Roman" w:hint="eastAsia"/>
          <w:kern w:val="2"/>
          <w:sz w:val="32"/>
        </w:rPr>
        <w:t>号）第二条“更换产生的废旧动力电池应移交给回收服务网点等渠道，相关主体应按有关规定上传溯源信息”。</w:t>
      </w:r>
    </w:p>
    <w:p w:rsidR="00FB1D56" w:rsidRDefault="00FB1D56" w:rsidP="00FB1D56">
      <w:pPr>
        <w:pStyle w:val="a3"/>
        <w:shd w:val="clear" w:color="auto" w:fill="FCFCFC"/>
        <w:spacing w:before="60" w:beforeAutospacing="0" w:after="90" w:afterAutospacing="0"/>
        <w:ind w:firstLineChars="200" w:firstLine="640"/>
        <w:textAlignment w:val="baseline"/>
        <w:rPr>
          <w:rFonts w:ascii="Times New Roman" w:hAnsi="Times New Roman"/>
          <w:kern w:val="2"/>
          <w:sz w:val="32"/>
        </w:rPr>
      </w:pPr>
      <w:r>
        <w:rPr>
          <w:rFonts w:ascii="Times New Roman" w:hAnsi="Times New Roman" w:hint="eastAsia"/>
          <w:kern w:val="2"/>
          <w:sz w:val="32"/>
        </w:rPr>
        <w:t>新能源公交车属于公共交通基础设施，其动力电池更新</w:t>
      </w:r>
      <w:r>
        <w:rPr>
          <w:rFonts w:ascii="Times New Roman" w:hAnsi="Times New Roman" w:hint="eastAsia"/>
          <w:kern w:val="2"/>
          <w:sz w:val="32"/>
        </w:rPr>
        <w:lastRenderedPageBreak/>
        <w:t>涉及运营安全，市交通局作为公交车运营的主管部门，未要求废旧电池回收企业将电池拆卸、移交、接收等动态数据实时接入国家级的“新能源汽车国家监测与动力蓄电池回收利用溯源综合管理平台”；未建立与回收企业的数据共享机制，无法追踪是否进入合法拆解渠道，电池拆卸后实际流向脱离管理监督，形成“申报即终结”的监管断链，存在监管空白。</w:t>
      </w:r>
    </w:p>
    <w:p w:rsidR="00FB1D56" w:rsidRDefault="00FB1D56" w:rsidP="00FB1D56">
      <w:pPr>
        <w:ind w:firstLineChars="200" w:firstLine="640"/>
        <w:outlineLvl w:val="1"/>
        <w:rPr>
          <w:rFonts w:ascii="楷体_GB2312" w:eastAsia="楷体_GB2312" w:hAnsi="楷体_GB2312" w:cs="楷体_GB2312"/>
          <w:szCs w:val="40"/>
        </w:rPr>
      </w:pPr>
      <w:r>
        <w:rPr>
          <w:rFonts w:ascii="楷体_GB2312" w:eastAsia="楷体_GB2312" w:hAnsi="楷体_GB2312" w:cs="楷体_GB2312" w:hint="eastAsia"/>
          <w:szCs w:val="40"/>
        </w:rPr>
        <w:t>（二）缺乏有效供需对接机制，无法充分满足公交企业实际需求</w:t>
      </w:r>
    </w:p>
    <w:p w:rsidR="00FB1D56" w:rsidRDefault="00FB1D56" w:rsidP="00FB1D56">
      <w:pPr>
        <w:pStyle w:val="a3"/>
        <w:shd w:val="clear" w:color="auto" w:fill="FCFCFC"/>
        <w:spacing w:before="60" w:beforeAutospacing="0" w:after="90" w:afterAutospacing="0"/>
        <w:ind w:firstLineChars="200" w:firstLine="640"/>
        <w:textAlignment w:val="baseline"/>
        <w:rPr>
          <w:rFonts w:ascii="Times New Roman" w:hAnsi="Times New Roman"/>
          <w:kern w:val="2"/>
          <w:sz w:val="32"/>
        </w:rPr>
      </w:pPr>
      <w:r>
        <w:rPr>
          <w:rFonts w:ascii="Times New Roman" w:hAnsi="Times New Roman" w:hint="eastAsia"/>
          <w:kern w:val="2"/>
          <w:sz w:val="32"/>
        </w:rPr>
        <w:t>根据《关于印发青岛市新能源城市公交车及动力电池更新补贴实施细则的通知》（青交城交〔</w:t>
      </w:r>
      <w:r>
        <w:rPr>
          <w:rFonts w:ascii="Times New Roman" w:hAnsi="Times New Roman" w:hint="eastAsia"/>
          <w:kern w:val="2"/>
          <w:sz w:val="32"/>
        </w:rPr>
        <w:t>2024</w:t>
      </w:r>
      <w:r>
        <w:rPr>
          <w:rFonts w:ascii="Times New Roman" w:hAnsi="Times New Roman" w:hint="eastAsia"/>
          <w:kern w:val="2"/>
          <w:sz w:val="32"/>
        </w:rPr>
        <w:t>〕</w:t>
      </w:r>
      <w:r>
        <w:rPr>
          <w:rFonts w:ascii="Times New Roman" w:hAnsi="Times New Roman" w:hint="eastAsia"/>
          <w:kern w:val="2"/>
          <w:sz w:val="32"/>
        </w:rPr>
        <w:t>10</w:t>
      </w:r>
      <w:r>
        <w:rPr>
          <w:rFonts w:ascii="Times New Roman" w:hAnsi="Times New Roman" w:hint="eastAsia"/>
          <w:kern w:val="2"/>
          <w:sz w:val="32"/>
        </w:rPr>
        <w:t>号）第十条“各级交通运输主管部门要积极会同相关部门组织客车生产企业、动力电池生产企业、动力电池更换服务企业与申请人加强供需对接，发挥规模优势”。但现场调研时，部分企业及驾驶员反映政策实施过程中缺少与生产企业的有效沟通，市场上符合政策准入门槛的车型很多，不同厂家产品在操控细节上存在显著差异，车辆核心技术参数（如动力性能、驱动形式、开关门速度）缺乏细化约束。导致实际运行中存在部分车辆因动力输出不足难以满足爬坡路段需求、单侧驱动</w:t>
      </w:r>
      <w:proofErr w:type="gramStart"/>
      <w:r>
        <w:rPr>
          <w:rFonts w:ascii="Times New Roman" w:hAnsi="Times New Roman" w:hint="eastAsia"/>
          <w:kern w:val="2"/>
          <w:sz w:val="32"/>
        </w:rPr>
        <w:t>轮设计</w:t>
      </w:r>
      <w:proofErr w:type="gramEnd"/>
      <w:r>
        <w:rPr>
          <w:rFonts w:ascii="Times New Roman" w:hAnsi="Times New Roman" w:hint="eastAsia"/>
          <w:kern w:val="2"/>
          <w:sz w:val="32"/>
        </w:rPr>
        <w:t>在雨雪天气易引发侧滑事故、开关门系统响应迟缓直接影响乘客上下车效率等情况。</w:t>
      </w:r>
      <w:bookmarkStart w:id="10" w:name="_Toc11632"/>
    </w:p>
    <w:p w:rsidR="00FB1D56" w:rsidRDefault="00FB1D56" w:rsidP="00FB1D56">
      <w:pPr>
        <w:ind w:firstLineChars="200" w:firstLine="640"/>
        <w:outlineLvl w:val="1"/>
        <w:rPr>
          <w:rFonts w:ascii="楷体_GB2312" w:eastAsia="楷体_GB2312" w:hAnsi="楷体_GB2312" w:cs="楷体_GB2312"/>
          <w:szCs w:val="40"/>
        </w:rPr>
      </w:pPr>
      <w:r>
        <w:rPr>
          <w:rFonts w:ascii="楷体_GB2312" w:eastAsia="楷体_GB2312" w:hAnsi="楷体_GB2312" w:cs="楷体_GB2312" w:hint="eastAsia"/>
          <w:szCs w:val="40"/>
        </w:rPr>
        <w:t>（三）新能源公交车及动力电池验收监管不严</w:t>
      </w:r>
    </w:p>
    <w:p w:rsidR="00FB1D56" w:rsidRDefault="00FB1D56" w:rsidP="00FB1D56">
      <w:pPr>
        <w:pStyle w:val="a3"/>
        <w:widowControl/>
        <w:shd w:val="clear" w:color="auto" w:fill="FCFCFC"/>
        <w:spacing w:before="60" w:beforeAutospacing="0" w:after="90" w:afterAutospacing="0"/>
        <w:ind w:firstLineChars="200" w:firstLine="640"/>
        <w:textAlignment w:val="baseline"/>
        <w:rPr>
          <w:rFonts w:ascii="Times New Roman" w:hAnsi="Times New Roman"/>
          <w:kern w:val="2"/>
          <w:sz w:val="32"/>
        </w:rPr>
      </w:pPr>
      <w:r>
        <w:rPr>
          <w:rFonts w:ascii="Times New Roman" w:hAnsi="Times New Roman" w:hint="eastAsia"/>
          <w:kern w:val="2"/>
          <w:sz w:val="32"/>
        </w:rPr>
        <w:lastRenderedPageBreak/>
        <w:t>根据市交通局提供的补贴申报资料，发现市交通局</w:t>
      </w:r>
      <w:r>
        <w:rPr>
          <w:rFonts w:ascii="Times New Roman" w:hAnsi="Times New Roman"/>
          <w:kern w:val="2"/>
          <w:sz w:val="32"/>
        </w:rPr>
        <w:t>未在企业实际采购、安装电池</w:t>
      </w:r>
      <w:r>
        <w:rPr>
          <w:rFonts w:ascii="Times New Roman" w:hAnsi="Times New Roman" w:hint="eastAsia"/>
          <w:kern w:val="2"/>
          <w:sz w:val="32"/>
        </w:rPr>
        <w:t>、车辆验收等环节</w:t>
      </w:r>
      <w:r>
        <w:rPr>
          <w:rFonts w:ascii="Times New Roman" w:hAnsi="Times New Roman"/>
          <w:kern w:val="2"/>
          <w:sz w:val="32"/>
        </w:rPr>
        <w:t>开展随机抽检或突击检查</w:t>
      </w:r>
      <w:r>
        <w:rPr>
          <w:rFonts w:ascii="Times New Roman" w:hAnsi="Times New Roman" w:hint="eastAsia"/>
          <w:kern w:val="2"/>
          <w:sz w:val="32"/>
        </w:rPr>
        <w:t>，</w:t>
      </w:r>
      <w:r>
        <w:rPr>
          <w:rFonts w:ascii="Times New Roman" w:hAnsi="Times New Roman"/>
          <w:kern w:val="2"/>
          <w:sz w:val="32"/>
        </w:rPr>
        <w:t>未明确对验收过程的实质性监督责任与复核程序，未建立部门抽检的</w:t>
      </w:r>
      <w:r>
        <w:rPr>
          <w:rFonts w:ascii="Times New Roman" w:hAnsi="Times New Roman" w:hint="eastAsia"/>
          <w:kern w:val="2"/>
          <w:sz w:val="32"/>
        </w:rPr>
        <w:t>监管</w:t>
      </w:r>
      <w:r>
        <w:rPr>
          <w:rFonts w:ascii="Times New Roman" w:hAnsi="Times New Roman"/>
          <w:kern w:val="2"/>
          <w:sz w:val="32"/>
        </w:rPr>
        <w:t>机制</w:t>
      </w:r>
      <w:r>
        <w:rPr>
          <w:rFonts w:ascii="Times New Roman" w:hAnsi="Times New Roman" w:hint="eastAsia"/>
          <w:kern w:val="2"/>
          <w:sz w:val="32"/>
        </w:rPr>
        <w:t>，</w:t>
      </w:r>
      <w:r>
        <w:rPr>
          <w:rFonts w:ascii="Times New Roman" w:hAnsi="Times New Roman"/>
          <w:kern w:val="2"/>
          <w:sz w:val="32"/>
        </w:rPr>
        <w:t>主管部门缺乏动态监督手段，</w:t>
      </w:r>
      <w:r>
        <w:rPr>
          <w:rFonts w:ascii="Times New Roman" w:hAnsi="Times New Roman" w:hint="eastAsia"/>
          <w:kern w:val="2"/>
          <w:sz w:val="32"/>
        </w:rPr>
        <w:t>无法对车辆及动力电池的实际验收情况形成有效约束。</w:t>
      </w:r>
    </w:p>
    <w:p w:rsidR="00FB1D56" w:rsidRDefault="00FB1D56" w:rsidP="00FB1D56">
      <w:pPr>
        <w:spacing w:line="600" w:lineRule="atLeast"/>
        <w:ind w:firstLineChars="200" w:firstLine="640"/>
        <w:outlineLvl w:val="1"/>
        <w:rPr>
          <w:rFonts w:ascii="黑体" w:eastAsia="黑体" w:hAnsi="黑体" w:cs="黑体"/>
          <w:szCs w:val="40"/>
        </w:rPr>
      </w:pPr>
      <w:r>
        <w:rPr>
          <w:rFonts w:ascii="黑体" w:eastAsia="黑体" w:hAnsi="黑体" w:cs="黑体" w:hint="eastAsia"/>
          <w:szCs w:val="40"/>
        </w:rPr>
        <w:t>六、相关建议</w:t>
      </w:r>
      <w:bookmarkEnd w:id="10"/>
    </w:p>
    <w:p w:rsidR="00FB1D56" w:rsidRDefault="00FB1D56" w:rsidP="00FB1D56">
      <w:pPr>
        <w:ind w:firstLineChars="200" w:firstLine="640"/>
        <w:outlineLvl w:val="1"/>
        <w:rPr>
          <w:rFonts w:ascii="楷体_GB2312" w:eastAsia="楷体_GB2312" w:hAnsi="楷体_GB2312" w:cs="楷体_GB2312"/>
          <w:szCs w:val="40"/>
        </w:rPr>
      </w:pPr>
      <w:bookmarkStart w:id="11" w:name="_Toc30986"/>
      <w:r>
        <w:rPr>
          <w:rFonts w:ascii="楷体_GB2312" w:eastAsia="楷体_GB2312" w:hAnsi="楷体_GB2312" w:cs="楷体_GB2312" w:hint="eastAsia"/>
          <w:szCs w:val="40"/>
        </w:rPr>
        <w:t>（一）</w:t>
      </w:r>
      <w:bookmarkEnd w:id="11"/>
      <w:r>
        <w:rPr>
          <w:rFonts w:ascii="楷体_GB2312" w:eastAsia="楷体_GB2312" w:hAnsi="楷体_GB2312" w:cs="楷体_GB2312"/>
          <w:szCs w:val="40"/>
        </w:rPr>
        <w:t>构建电池</w:t>
      </w:r>
      <w:r>
        <w:rPr>
          <w:rFonts w:ascii="楷体_GB2312" w:eastAsia="楷体_GB2312" w:hAnsi="楷体_GB2312" w:cs="楷体_GB2312" w:hint="eastAsia"/>
          <w:szCs w:val="40"/>
        </w:rPr>
        <w:t>处置</w:t>
      </w:r>
      <w:r>
        <w:rPr>
          <w:rFonts w:ascii="楷体_GB2312" w:eastAsia="楷体_GB2312" w:hAnsi="楷体_GB2312" w:cs="楷体_GB2312"/>
          <w:szCs w:val="40"/>
        </w:rPr>
        <w:t>全流程动态监管机制</w:t>
      </w:r>
    </w:p>
    <w:p w:rsidR="00FB1D56" w:rsidRDefault="00FB1D56" w:rsidP="00FB1D56">
      <w:pPr>
        <w:pStyle w:val="a3"/>
        <w:widowControl/>
        <w:shd w:val="clear" w:color="auto" w:fill="FCFCFC"/>
        <w:spacing w:before="60" w:beforeAutospacing="0" w:after="90" w:afterAutospacing="0"/>
        <w:ind w:firstLineChars="200" w:firstLine="640"/>
        <w:textAlignment w:val="baseline"/>
        <w:rPr>
          <w:rFonts w:ascii="Times New Roman" w:hAnsi="Times New Roman"/>
          <w:kern w:val="2"/>
          <w:sz w:val="32"/>
        </w:rPr>
      </w:pPr>
      <w:r>
        <w:rPr>
          <w:rFonts w:ascii="Times New Roman" w:hAnsi="Times New Roman"/>
          <w:kern w:val="2"/>
          <w:sz w:val="32"/>
        </w:rPr>
        <w:t>建立电池回收全流程动态追踪机制，明确拆卸、移交、运输、贮存等关键环节的现场检查要求</w:t>
      </w:r>
      <w:r>
        <w:rPr>
          <w:rFonts w:ascii="Times New Roman" w:hAnsi="Times New Roman" w:hint="eastAsia"/>
          <w:kern w:val="2"/>
          <w:sz w:val="32"/>
        </w:rPr>
        <w:t>；</w:t>
      </w:r>
      <w:r>
        <w:rPr>
          <w:rFonts w:ascii="Times New Roman" w:hAnsi="Times New Roman"/>
          <w:kern w:val="2"/>
          <w:sz w:val="32"/>
        </w:rPr>
        <w:t>抽查回收企业贮存场地，重点检查防渗漏托盘、防火设施、应急处理设备是否齐全，杜绝露天堆放或渗滤液泄漏等违规行为</w:t>
      </w:r>
      <w:r>
        <w:rPr>
          <w:rFonts w:ascii="Times New Roman" w:hAnsi="Times New Roman" w:hint="eastAsia"/>
          <w:kern w:val="2"/>
          <w:sz w:val="32"/>
        </w:rPr>
        <w:t>；</w:t>
      </w:r>
      <w:r>
        <w:rPr>
          <w:rFonts w:ascii="Times New Roman" w:hAnsi="Times New Roman"/>
          <w:kern w:val="2"/>
          <w:sz w:val="32"/>
        </w:rPr>
        <w:t>打通数据壁垒，构建数据互通机制。</w:t>
      </w:r>
      <w:r>
        <w:rPr>
          <w:rFonts w:ascii="Times New Roman" w:hAnsi="Times New Roman" w:hint="eastAsia"/>
          <w:kern w:val="2"/>
          <w:sz w:val="32"/>
        </w:rPr>
        <w:t>市交通局督促相关企业</w:t>
      </w:r>
      <w:r>
        <w:rPr>
          <w:rFonts w:ascii="Times New Roman" w:hAnsi="Times New Roman"/>
          <w:kern w:val="2"/>
          <w:sz w:val="32"/>
        </w:rPr>
        <w:t>将掌握的电池更换数据（包括更换时间、车辆信息、电池编码）实时推送至国家级</w:t>
      </w:r>
      <w:r>
        <w:rPr>
          <w:rFonts w:ascii="Times New Roman" w:hAnsi="Times New Roman"/>
          <w:kern w:val="2"/>
          <w:sz w:val="32"/>
        </w:rPr>
        <w:t>“</w:t>
      </w:r>
      <w:r>
        <w:rPr>
          <w:rFonts w:ascii="Times New Roman" w:hAnsi="Times New Roman"/>
          <w:kern w:val="2"/>
          <w:sz w:val="32"/>
        </w:rPr>
        <w:t>新能源汽车国家监测与动力蓄电池回收利用溯源综合管理平台</w:t>
      </w:r>
      <w:r>
        <w:rPr>
          <w:rFonts w:ascii="Times New Roman" w:hAnsi="Times New Roman"/>
          <w:kern w:val="2"/>
          <w:sz w:val="32"/>
        </w:rPr>
        <w:t>”</w:t>
      </w:r>
      <w:r>
        <w:rPr>
          <w:rFonts w:ascii="Times New Roman" w:hAnsi="Times New Roman"/>
          <w:kern w:val="2"/>
          <w:sz w:val="32"/>
        </w:rPr>
        <w:t>，并在电池拆卸时同步上传移交、接收、运输等动态数据，确保全流程信息在国家平台完整留痕</w:t>
      </w:r>
      <w:r>
        <w:rPr>
          <w:rFonts w:ascii="Times New Roman" w:hAnsi="Times New Roman" w:hint="eastAsia"/>
          <w:kern w:val="2"/>
          <w:sz w:val="32"/>
        </w:rPr>
        <w:t>。</w:t>
      </w:r>
    </w:p>
    <w:p w:rsidR="00FB1D56" w:rsidRDefault="00FB1D56" w:rsidP="00FB1D56">
      <w:pPr>
        <w:ind w:firstLineChars="200" w:firstLine="640"/>
        <w:outlineLvl w:val="1"/>
        <w:rPr>
          <w:rFonts w:ascii="楷体_GB2312" w:eastAsia="楷体_GB2312" w:hAnsi="楷体_GB2312" w:cs="楷体_GB2312"/>
          <w:szCs w:val="40"/>
        </w:rPr>
      </w:pPr>
      <w:r>
        <w:rPr>
          <w:rFonts w:ascii="楷体_GB2312" w:eastAsia="楷体_GB2312" w:hAnsi="楷体_GB2312" w:cs="楷体_GB2312" w:hint="eastAsia"/>
          <w:szCs w:val="40"/>
        </w:rPr>
        <w:t>（二）加强供需对接，制定相关新能源公交车及动力电池技术参数实施细则</w:t>
      </w:r>
    </w:p>
    <w:p w:rsidR="00FB1D56" w:rsidRDefault="00FB1D56" w:rsidP="00FB1D56">
      <w:pPr>
        <w:pStyle w:val="a3"/>
        <w:widowControl/>
        <w:shd w:val="clear" w:color="auto" w:fill="FCFCFC"/>
        <w:spacing w:before="60" w:beforeAutospacing="0" w:after="90" w:afterAutospacing="0"/>
        <w:ind w:firstLineChars="200" w:firstLine="640"/>
        <w:textAlignment w:val="baseline"/>
        <w:rPr>
          <w:rFonts w:ascii="Times New Roman" w:hAnsi="Times New Roman"/>
          <w:kern w:val="2"/>
          <w:sz w:val="32"/>
        </w:rPr>
      </w:pPr>
      <w:r>
        <w:rPr>
          <w:rFonts w:ascii="Times New Roman" w:hAnsi="Times New Roman" w:hint="eastAsia"/>
          <w:kern w:val="2"/>
          <w:sz w:val="32"/>
        </w:rPr>
        <w:t>交通运输主管部门积极会同相关部门组织客车生产企业、动力电池生产企业、动力电池更换服务企业与申请人加强供需对接，发挥规模优势，促进各方交流技术意见，协调制定细化的技术、参数标准，明确动力性能、驱动形式、开</w:t>
      </w:r>
      <w:r>
        <w:rPr>
          <w:rFonts w:ascii="Times New Roman" w:hAnsi="Times New Roman" w:hint="eastAsia"/>
          <w:kern w:val="2"/>
          <w:sz w:val="32"/>
        </w:rPr>
        <w:lastRenderedPageBreak/>
        <w:t>关门效率等硬性指标，避免出现不同厂家产品在实际运营中的性能差异，从根本上解决政策标准与场景需求脱节的结构性矛盾。</w:t>
      </w:r>
    </w:p>
    <w:p w:rsidR="00FB1D56" w:rsidRDefault="00FB1D56" w:rsidP="00FB1D56">
      <w:pPr>
        <w:ind w:firstLineChars="200" w:firstLine="640"/>
        <w:outlineLvl w:val="1"/>
        <w:rPr>
          <w:rFonts w:ascii="楷体_GB2312" w:eastAsia="楷体_GB2312" w:hAnsi="楷体_GB2312" w:cs="楷体_GB2312"/>
          <w:szCs w:val="40"/>
        </w:rPr>
      </w:pPr>
      <w:bookmarkStart w:id="12" w:name="_Toc572"/>
      <w:r>
        <w:rPr>
          <w:rFonts w:ascii="楷体_GB2312" w:eastAsia="楷体_GB2312" w:hAnsi="楷体_GB2312" w:cs="楷体_GB2312" w:hint="eastAsia"/>
          <w:szCs w:val="40"/>
        </w:rPr>
        <w:t>（三）</w:t>
      </w:r>
      <w:bookmarkEnd w:id="12"/>
      <w:r>
        <w:rPr>
          <w:rFonts w:ascii="楷体_GB2312" w:eastAsia="楷体_GB2312" w:hAnsi="楷体_GB2312" w:cs="楷体_GB2312"/>
          <w:szCs w:val="40"/>
        </w:rPr>
        <w:t>压实责任</w:t>
      </w:r>
      <w:r>
        <w:rPr>
          <w:rFonts w:ascii="楷体_GB2312" w:eastAsia="楷体_GB2312" w:hAnsi="楷体_GB2312" w:cs="楷体_GB2312" w:hint="eastAsia"/>
          <w:szCs w:val="40"/>
        </w:rPr>
        <w:t>，</w:t>
      </w:r>
      <w:proofErr w:type="gramStart"/>
      <w:r>
        <w:rPr>
          <w:rFonts w:ascii="楷体_GB2312" w:eastAsia="楷体_GB2312" w:hAnsi="楷体_GB2312" w:cs="楷体_GB2312"/>
          <w:szCs w:val="40"/>
        </w:rPr>
        <w:t>构建全</w:t>
      </w:r>
      <w:proofErr w:type="gramEnd"/>
      <w:r>
        <w:rPr>
          <w:rFonts w:ascii="楷体_GB2312" w:eastAsia="楷体_GB2312" w:hAnsi="楷体_GB2312" w:cs="楷体_GB2312"/>
          <w:szCs w:val="40"/>
        </w:rPr>
        <w:t>链条监督</w:t>
      </w:r>
      <w:r>
        <w:rPr>
          <w:rFonts w:ascii="楷体_GB2312" w:eastAsia="楷体_GB2312" w:hAnsi="楷体_GB2312" w:cs="楷体_GB2312" w:hint="eastAsia"/>
          <w:szCs w:val="40"/>
        </w:rPr>
        <w:t>和</w:t>
      </w:r>
      <w:r>
        <w:rPr>
          <w:rFonts w:ascii="楷体_GB2312" w:eastAsia="楷体_GB2312" w:hAnsi="楷体_GB2312" w:cs="楷体_GB2312"/>
          <w:szCs w:val="40"/>
        </w:rPr>
        <w:t>实质性复核</w:t>
      </w:r>
      <w:r>
        <w:rPr>
          <w:rFonts w:ascii="楷体_GB2312" w:eastAsia="楷体_GB2312" w:hAnsi="楷体_GB2312" w:cs="楷体_GB2312" w:hint="eastAsia"/>
          <w:szCs w:val="40"/>
        </w:rPr>
        <w:t>验收流程</w:t>
      </w:r>
    </w:p>
    <w:p w:rsidR="00FB1D56" w:rsidRDefault="00FB1D56" w:rsidP="00FB1D56">
      <w:pPr>
        <w:pStyle w:val="a3"/>
        <w:widowControl/>
        <w:shd w:val="clear" w:color="auto" w:fill="FCFCFC"/>
        <w:spacing w:before="60" w:beforeAutospacing="0" w:after="90" w:afterAutospacing="0"/>
        <w:ind w:firstLineChars="200" w:firstLine="640"/>
        <w:textAlignment w:val="baseline"/>
        <w:rPr>
          <w:rFonts w:ascii="仿宋_GB2312" w:hAnsi="仿宋_GB2312" w:cs="仿宋_GB2312"/>
          <w:sz w:val="32"/>
          <w:szCs w:val="40"/>
        </w:rPr>
      </w:pPr>
      <w:r>
        <w:rPr>
          <w:rFonts w:ascii="Times New Roman" w:hAnsi="Times New Roman" w:hint="eastAsia"/>
          <w:kern w:val="2"/>
          <w:sz w:val="32"/>
        </w:rPr>
        <w:t>建议建立全链条监督机制，要求企业在车辆及电池采购、安装、验收环节同步自检并留存检测记录；车辆及动力电池验收过程中，主管部门按时按比例进行随机抽检；强化实质性复核，委托具备资质的第三方机构交叉验证企业自检报告与验收证明，比对检测方法、设备型号、实际使用情况，确保验收环节的合</w:t>
      </w:r>
      <w:proofErr w:type="gramStart"/>
      <w:r>
        <w:rPr>
          <w:rFonts w:ascii="Times New Roman" w:hAnsi="Times New Roman" w:hint="eastAsia"/>
          <w:kern w:val="2"/>
          <w:sz w:val="32"/>
        </w:rPr>
        <w:t>规</w:t>
      </w:r>
      <w:proofErr w:type="gramEnd"/>
      <w:r>
        <w:rPr>
          <w:rFonts w:ascii="Times New Roman" w:hAnsi="Times New Roman" w:hint="eastAsia"/>
          <w:kern w:val="2"/>
          <w:sz w:val="32"/>
        </w:rPr>
        <w:t>性，避免形式审查而引发后续风险。</w:t>
      </w:r>
    </w:p>
    <w:p w:rsidR="000F7011" w:rsidRPr="00FB1D56" w:rsidRDefault="000F7011"/>
    <w:sectPr w:rsidR="000F7011" w:rsidRPr="00FB1D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62D329"/>
    <w:multiLevelType w:val="singleLevel"/>
    <w:tmpl w:val="EF62D329"/>
    <w:lvl w:ilvl="0">
      <w:start w:val="3"/>
      <w:numFmt w:val="chineseCounting"/>
      <w:suff w:val="nothing"/>
      <w:lvlText w:val="（%1）"/>
      <w:lvlJc w:val="left"/>
      <w:rPr>
        <w:rFonts w:hint="eastAsia"/>
      </w:rPr>
    </w:lvl>
  </w:abstractNum>
  <w:abstractNum w:abstractNumId="1">
    <w:nsid w:val="25BDB05B"/>
    <w:multiLevelType w:val="singleLevel"/>
    <w:tmpl w:val="25BDB05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56"/>
    <w:rsid w:val="000F7011"/>
    <w:rsid w:val="009E7431"/>
    <w:rsid w:val="00FB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FB1D56"/>
    <w:pPr>
      <w:widowControl w:val="0"/>
      <w:spacing w:line="600" w:lineRule="exact"/>
      <w:jc w:val="both"/>
    </w:pPr>
    <w:rPr>
      <w:rFonts w:eastAsia="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FB1D56"/>
    <w:pPr>
      <w:ind w:firstLineChars="200" w:firstLine="420"/>
    </w:pPr>
    <w:rPr>
      <w:rFonts w:ascii="Times New Roman" w:eastAsia="宋体" w:hAnsi="Times New Roman"/>
    </w:rPr>
  </w:style>
  <w:style w:type="paragraph" w:styleId="a3">
    <w:name w:val="Normal (Web)"/>
    <w:basedOn w:val="a"/>
    <w:qFormat/>
    <w:rsid w:val="00FB1D56"/>
    <w:pPr>
      <w:spacing w:beforeAutospacing="1" w:afterAutospacing="1"/>
      <w:jc w:val="left"/>
    </w:pPr>
    <w:rPr>
      <w:rFonts w:cs="Times New Roman"/>
      <w:kern w:val="0"/>
      <w:sz w:val="24"/>
    </w:rPr>
  </w:style>
  <w:style w:type="paragraph" w:styleId="a4">
    <w:name w:val="Title"/>
    <w:basedOn w:val="a"/>
    <w:next w:val="a"/>
    <w:link w:val="Char"/>
    <w:qFormat/>
    <w:rsid w:val="00FB1D56"/>
    <w:pPr>
      <w:adjustRightInd w:val="0"/>
      <w:snapToGrid w:val="0"/>
      <w:spacing w:line="360" w:lineRule="auto"/>
      <w:ind w:firstLineChars="200" w:firstLine="800"/>
      <w:jc w:val="left"/>
      <w:outlineLvl w:val="0"/>
    </w:pPr>
    <w:rPr>
      <w:rFonts w:ascii="Arial" w:eastAsia="仿宋" w:hAnsi="Arial"/>
    </w:rPr>
  </w:style>
  <w:style w:type="character" w:customStyle="1" w:styleId="Char">
    <w:name w:val="标题 Char"/>
    <w:basedOn w:val="a0"/>
    <w:link w:val="a4"/>
    <w:rsid w:val="00FB1D56"/>
    <w:rPr>
      <w:rFonts w:ascii="Arial" w:eastAsia="仿宋" w:hAnsi="Arial" w:cs="仿宋_GB2312"/>
      <w:sz w:val="32"/>
      <w:szCs w:val="32"/>
    </w:rPr>
  </w:style>
  <w:style w:type="table" w:styleId="a5">
    <w:name w:val="Table Grid"/>
    <w:basedOn w:val="a1"/>
    <w:qFormat/>
    <w:rsid w:val="00FB1D5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FB1D56"/>
    <w:pPr>
      <w:widowControl w:val="0"/>
      <w:spacing w:line="600" w:lineRule="exact"/>
      <w:jc w:val="both"/>
    </w:pPr>
    <w:rPr>
      <w:rFonts w:eastAsia="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FB1D56"/>
    <w:pPr>
      <w:ind w:firstLineChars="200" w:firstLine="420"/>
    </w:pPr>
    <w:rPr>
      <w:rFonts w:ascii="Times New Roman" w:eastAsia="宋体" w:hAnsi="Times New Roman"/>
    </w:rPr>
  </w:style>
  <w:style w:type="paragraph" w:styleId="a3">
    <w:name w:val="Normal (Web)"/>
    <w:basedOn w:val="a"/>
    <w:qFormat/>
    <w:rsid w:val="00FB1D56"/>
    <w:pPr>
      <w:spacing w:beforeAutospacing="1" w:afterAutospacing="1"/>
      <w:jc w:val="left"/>
    </w:pPr>
    <w:rPr>
      <w:rFonts w:cs="Times New Roman"/>
      <w:kern w:val="0"/>
      <w:sz w:val="24"/>
    </w:rPr>
  </w:style>
  <w:style w:type="paragraph" w:styleId="a4">
    <w:name w:val="Title"/>
    <w:basedOn w:val="a"/>
    <w:next w:val="a"/>
    <w:link w:val="Char"/>
    <w:qFormat/>
    <w:rsid w:val="00FB1D56"/>
    <w:pPr>
      <w:adjustRightInd w:val="0"/>
      <w:snapToGrid w:val="0"/>
      <w:spacing w:line="360" w:lineRule="auto"/>
      <w:ind w:firstLineChars="200" w:firstLine="800"/>
      <w:jc w:val="left"/>
      <w:outlineLvl w:val="0"/>
    </w:pPr>
    <w:rPr>
      <w:rFonts w:ascii="Arial" w:eastAsia="仿宋" w:hAnsi="Arial"/>
    </w:rPr>
  </w:style>
  <w:style w:type="character" w:customStyle="1" w:styleId="Char">
    <w:name w:val="标题 Char"/>
    <w:basedOn w:val="a0"/>
    <w:link w:val="a4"/>
    <w:rsid w:val="00FB1D56"/>
    <w:rPr>
      <w:rFonts w:ascii="Arial" w:eastAsia="仿宋" w:hAnsi="Arial" w:cs="仿宋_GB2312"/>
      <w:sz w:val="32"/>
      <w:szCs w:val="32"/>
    </w:rPr>
  </w:style>
  <w:style w:type="table" w:styleId="a5">
    <w:name w:val="Table Grid"/>
    <w:basedOn w:val="a1"/>
    <w:qFormat/>
    <w:rsid w:val="00FB1D5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1820</Words>
  <Characters>10376</Characters>
  <Application>Microsoft Office Word</Application>
  <DocSecurity>0</DocSecurity>
  <Lines>86</Lines>
  <Paragraphs>24</Paragraphs>
  <ScaleCrop>false</ScaleCrop>
  <Company/>
  <LinksUpToDate>false</LinksUpToDate>
  <CharactersWithSpaces>12172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2025-10-14T02:49:00Z</dcterms:created>
  <dcterms:modified xsi:type="dcterms:W3CDTF">2025-10-14T02:51:00Z</dcterms:modified>
</cp:coreProperties>
</file>