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both"/>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2024年度局区（市）会商延续性项目</w:t>
      </w:r>
    </w:p>
    <w:p>
      <w:pPr>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绩效评价报告</w:t>
      </w:r>
    </w:p>
    <w:p>
      <w:pPr>
        <w:adjustRightInd w:val="0"/>
        <w:snapToGrid w:val="0"/>
        <w:spacing w:line="600" w:lineRule="exact"/>
        <w:rPr>
          <w:rFonts w:ascii="楷体_GB2312" w:hAnsi="楷体_GB2312" w:eastAsia="楷体_GB2312" w:cs="楷体_GB2312"/>
          <w:color w:val="auto"/>
          <w:sz w:val="32"/>
          <w:szCs w:val="40"/>
        </w:rPr>
      </w:pPr>
    </w:p>
    <w:p>
      <w:pPr>
        <w:adjustRightInd w:val="0"/>
        <w:snapToGrid w:val="0"/>
        <w:spacing w:line="580" w:lineRule="exact"/>
        <w:ind w:firstLine="640" w:firstLineChars="200"/>
        <w:outlineLvl w:val="0"/>
        <w:rPr>
          <w:rFonts w:ascii="黑体" w:hAnsi="黑体" w:eastAsia="黑体" w:cs="黑体"/>
          <w:color w:val="auto"/>
          <w:sz w:val="32"/>
          <w:szCs w:val="40"/>
        </w:rPr>
      </w:pPr>
      <w:bookmarkStart w:id="0" w:name="_Toc11897"/>
      <w:r>
        <w:rPr>
          <w:rFonts w:hint="eastAsia" w:ascii="黑体" w:hAnsi="黑体" w:eastAsia="黑体" w:cs="黑体"/>
          <w:color w:val="auto"/>
          <w:sz w:val="32"/>
          <w:szCs w:val="40"/>
        </w:rPr>
        <w:t>一、项目基本情况</w:t>
      </w:r>
      <w:bookmarkEnd w:id="0"/>
    </w:p>
    <w:p>
      <w:pPr>
        <w:adjustRightInd w:val="0"/>
        <w:snapToGrid w:val="0"/>
        <w:spacing w:line="580" w:lineRule="exact"/>
        <w:ind w:firstLine="640" w:firstLineChars="200"/>
        <w:rPr>
          <w:rFonts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（一）项目概况</w:t>
      </w:r>
    </w:p>
    <w:p>
      <w:pPr>
        <w:adjustRightInd w:val="0"/>
        <w:snapToGrid w:val="0"/>
        <w:spacing w:line="580"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1.项目背景。</w:t>
      </w:r>
      <w:r>
        <w:rPr>
          <w:rFonts w:hint="eastAsia" w:ascii="仿宋_GB2312" w:hAnsi="仿宋_GB2312" w:eastAsia="仿宋_GB2312" w:cs="仿宋_GB2312"/>
          <w:color w:val="auto"/>
          <w:sz w:val="32"/>
          <w:szCs w:val="40"/>
        </w:rPr>
        <w:t>为强化市、区（市）两级工作联动，精准挖掘重大创新需求与投放科技扶持政策，优化全市科技创新布局、提高科技资源配置效率，推进区域创新发展，2019年，青岛市科学技术局（以下简称“市科技局”）建立市科技计划区（市）会商机制，制定《青岛市科学技术局局区（市）会商组织实施细则（试行）》（青科规〔2019〕3号），由区（市）结合自身资源优势与重点产业提出科技创新需求，经会商论证后以重大科技项目为载体，实现两级政策叠加与资源集成，推动项目落地见效。支持范围涵盖区域创新体系建设、新型研发机构建设等多项重点领域、市科技计划专项以及市委、市政府确定的重大事项。</w:t>
      </w:r>
    </w:p>
    <w:p>
      <w:pPr>
        <w:adjustRightInd w:val="0"/>
        <w:snapToGrid w:val="0"/>
        <w:spacing w:line="580"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2020年11月，市科技局与城阳区政府签署协议，依托西安电子科技大学青岛计算技术研究院（以下简称“西电青岛研究院”）建设西安电子科技大学青岛产教研融合创新基地项目（以下简称“西电创新基地”），瞄准“新基建”需求，承担创新成果转化与产学研融合任务。项目聚焦新一代信息技术领域，构建含公共服务、企业孵化平台及技术联盟的协同创新体系，建设产业与科研创新平台，以西电科技成果为依托建立转化基地，通过产教研融合培育引进人才，打造可推广的区域创新体系，助推青岛信息科技、人才与经济融合发展。</w:t>
      </w:r>
    </w:p>
    <w:p>
      <w:pPr>
        <w:adjustRightInd w:val="0"/>
        <w:snapToGrid w:val="0"/>
        <w:spacing w:line="580"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2020年12月，市科技局与市南区政府签署会商专项议定书，与山东建邦科技发展集团有限公司合作，依托多所科研机构共建青岛认知人工智能研究院（以下简称“认知人工智能研究院”）。聚焦人工智能与脑科学、心理学交叉领域，打造研发孵化转化平台，成立产业化公司推动技术多领域应用，助力青岛产业发展。</w:t>
      </w:r>
    </w:p>
    <w:p>
      <w:pPr>
        <w:adjustRightInd w:val="0"/>
        <w:snapToGrid w:val="0"/>
        <w:spacing w:line="580"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2.项目主要内容。一是</w:t>
      </w:r>
      <w:r>
        <w:rPr>
          <w:rFonts w:hint="eastAsia" w:ascii="仿宋_GB2312" w:hAnsi="仿宋_GB2312" w:eastAsia="仿宋_GB2312" w:cs="仿宋_GB2312"/>
          <w:color w:val="auto"/>
          <w:sz w:val="32"/>
          <w:szCs w:val="40"/>
        </w:rPr>
        <w:t>在城阳区高起点规划建设集科学研究、人才培养、产业培育和企业孵化于一体的“政产教研”联合创新基地，建立“校市区”联动机制，共同推进联合创新基地建设。建设省、市级创新创业共同体，推动创新链、产业链、资金链和政策链高效合一，打造可复制可推广的“政产学研金服用”样板工程；统筹政策、人才、学科、地域等优质资源，围绕人才培养、科学研究、国际合作、技术转化和就业创业等活动，共同建设示范性高等科教机构；带动西电电子信息领域相关学科建设与提升，扩大西电在青研究生、第二学历本科生及软件工程高年级本科生的培养规模。</w:t>
      </w:r>
      <w:r>
        <w:rPr>
          <w:rFonts w:hint="eastAsia" w:ascii="仿宋_GB2312" w:hAnsi="仿宋_GB2312" w:eastAsia="仿宋_GB2312" w:cs="仿宋_GB2312"/>
          <w:b/>
          <w:bCs/>
          <w:color w:val="auto"/>
          <w:sz w:val="32"/>
          <w:szCs w:val="40"/>
        </w:rPr>
        <w:t>二是</w:t>
      </w:r>
      <w:r>
        <w:rPr>
          <w:rFonts w:hint="eastAsia" w:ascii="仿宋_GB2312" w:hAnsi="仿宋_GB2312" w:eastAsia="仿宋_GB2312" w:cs="仿宋_GB2312"/>
          <w:color w:val="auto"/>
          <w:sz w:val="32"/>
          <w:szCs w:val="40"/>
        </w:rPr>
        <w:t>围绕人工智能、脑神经科学和心理学领域开展交叉研究和技术应用，建设应用技术研发、孵化加速和转化投资平台，成立研究院公司和系列产业化公司，推动相关技术在医疗、教育、人力资源服务和社会治理等领域的应用和转化，带动相关产业的快速发展。</w:t>
      </w:r>
    </w:p>
    <w:p>
      <w:pPr>
        <w:adjustRightInd w:val="0"/>
        <w:snapToGrid w:val="0"/>
        <w:spacing w:line="580"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3.项目实施情况。</w:t>
      </w:r>
      <w:r>
        <w:rPr>
          <w:rFonts w:hint="eastAsia" w:ascii="仿宋_GB2312" w:hAnsi="仿宋_GB2312" w:eastAsia="仿宋_GB2312" w:cs="仿宋_GB2312"/>
          <w:color w:val="auto"/>
          <w:sz w:val="32"/>
          <w:szCs w:val="40"/>
        </w:rPr>
        <w:t>局区（市）会商项目</w:t>
      </w:r>
      <w:r>
        <w:rPr>
          <w:rFonts w:ascii="仿宋_GB2312" w:hAnsi="仿宋_GB2312" w:eastAsia="仿宋_GB2312" w:cs="仿宋_GB2312"/>
          <w:color w:val="auto"/>
          <w:sz w:val="32"/>
          <w:szCs w:val="40"/>
        </w:rPr>
        <w:t>由</w:t>
      </w:r>
      <w:r>
        <w:rPr>
          <w:rFonts w:hint="eastAsia" w:ascii="仿宋_GB2312" w:hAnsi="仿宋_GB2312" w:eastAsia="仿宋_GB2312" w:cs="仿宋_GB2312"/>
          <w:color w:val="auto"/>
          <w:sz w:val="32"/>
          <w:szCs w:val="40"/>
        </w:rPr>
        <w:t>区（市）</w:t>
      </w:r>
      <w:r>
        <w:rPr>
          <w:rFonts w:ascii="仿宋_GB2312" w:hAnsi="仿宋_GB2312" w:eastAsia="仿宋_GB2312" w:cs="仿宋_GB2312"/>
          <w:color w:val="auto"/>
          <w:sz w:val="32"/>
          <w:szCs w:val="40"/>
        </w:rPr>
        <w:t>提出重大创新需求，经与市科技局会商论证后，采取专项组织方式，以重大科技项目为实施载体，通过两级政策叠加和资源集成，合力推进科技创新工作落地落实。</w:t>
      </w:r>
    </w:p>
    <w:p>
      <w:pPr>
        <w:adjustRightInd w:val="0"/>
        <w:snapToGrid w:val="0"/>
        <w:spacing w:line="580"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本项目的</w:t>
      </w:r>
      <w:r>
        <w:rPr>
          <w:rFonts w:ascii="仿宋_GB2312" w:hAnsi="仿宋_GB2312" w:eastAsia="仿宋_GB2312" w:cs="仿宋_GB2312"/>
          <w:color w:val="auto"/>
          <w:sz w:val="32"/>
          <w:szCs w:val="40"/>
        </w:rPr>
        <w:t>责任主体包括市科技局、</w:t>
      </w:r>
      <w:r>
        <w:rPr>
          <w:rFonts w:hint="eastAsia" w:ascii="仿宋_GB2312" w:hAnsi="仿宋_GB2312" w:eastAsia="仿宋_GB2312" w:cs="仿宋_GB2312"/>
          <w:color w:val="auto"/>
          <w:sz w:val="32"/>
          <w:szCs w:val="40"/>
        </w:rPr>
        <w:t>市南区人民政府、城阳区</w:t>
      </w:r>
      <w:r>
        <w:rPr>
          <w:rFonts w:ascii="仿宋_GB2312" w:hAnsi="仿宋_GB2312" w:eastAsia="仿宋_GB2312" w:cs="仿宋_GB2312"/>
          <w:color w:val="auto"/>
          <w:sz w:val="32"/>
          <w:szCs w:val="40"/>
        </w:rPr>
        <w:t>人民政府、</w:t>
      </w:r>
      <w:r>
        <w:rPr>
          <w:rFonts w:hint="eastAsia" w:ascii="仿宋_GB2312" w:hAnsi="仿宋_GB2312" w:eastAsia="仿宋_GB2312" w:cs="仿宋_GB2312"/>
          <w:color w:val="auto"/>
          <w:sz w:val="32"/>
          <w:szCs w:val="40"/>
        </w:rPr>
        <w:t>西电青岛研究院和</w:t>
      </w:r>
      <w:r>
        <w:rPr>
          <w:rFonts w:hint="eastAsia" w:ascii="仿宋_GB2312" w:hAnsi="仿宋_GB2312" w:eastAsia="仿宋_GB2312" w:cs="仿宋_GB2312"/>
          <w:color w:val="auto"/>
          <w:sz w:val="32"/>
          <w:szCs w:val="40"/>
          <w:highlight w:val="none"/>
        </w:rPr>
        <w:t>青岛类认知人工智能有限公司</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认知人工智能研究院</w:t>
      </w:r>
      <w:r>
        <w:rPr>
          <w:rFonts w:hint="eastAsia" w:ascii="仿宋_GB2312" w:hAnsi="仿宋_GB2312" w:eastAsia="仿宋_GB2312" w:cs="仿宋_GB2312"/>
          <w:color w:val="auto"/>
          <w:sz w:val="32"/>
          <w:szCs w:val="40"/>
          <w:highlight w:val="none"/>
          <w:lang w:val="en-US" w:eastAsia="zh-CN"/>
        </w:rPr>
        <w:t>项目实施主体，以下简称“类认知公司”）</w:t>
      </w:r>
      <w:r>
        <w:rPr>
          <w:rFonts w:ascii="仿宋_GB2312" w:hAnsi="仿宋_GB2312" w:eastAsia="仿宋_GB2312" w:cs="仿宋_GB2312"/>
          <w:color w:val="auto"/>
          <w:sz w:val="32"/>
          <w:szCs w:val="40"/>
        </w:rPr>
        <w:t>。</w:t>
      </w:r>
      <w:r>
        <w:rPr>
          <w:rFonts w:hint="eastAsia" w:ascii="仿宋_GB2312" w:hAnsi="仿宋_GB2312" w:eastAsia="仿宋_GB2312" w:cs="仿宋_GB2312"/>
          <w:color w:val="auto"/>
          <w:sz w:val="32"/>
          <w:szCs w:val="40"/>
        </w:rPr>
        <w:t>主管部门市科技局负责签订市科技计划项目合同（任务书、协议等），对项目实施过程管理，组织中期检查和评估，对资金使用情况进行监管；项目主管单位城阳区</w:t>
      </w:r>
      <w:r>
        <w:rPr>
          <w:rFonts w:ascii="仿宋_GB2312" w:hAnsi="仿宋_GB2312" w:eastAsia="仿宋_GB2312" w:cs="仿宋_GB2312"/>
          <w:color w:val="auto"/>
          <w:sz w:val="32"/>
          <w:szCs w:val="40"/>
        </w:rPr>
        <w:t>、</w:t>
      </w:r>
      <w:r>
        <w:rPr>
          <w:rFonts w:hint="eastAsia" w:ascii="仿宋_GB2312" w:hAnsi="仿宋_GB2312" w:eastAsia="仿宋_GB2312" w:cs="仿宋_GB2312"/>
          <w:color w:val="auto"/>
          <w:sz w:val="32"/>
          <w:szCs w:val="40"/>
        </w:rPr>
        <w:t>市南区人民政府负责督促项目承担单位按期完成项目任务，开展项目执行情况的中期检查，报告项目年度执行情况；项目承担单位西电青岛研究院、</w:t>
      </w:r>
      <w:r>
        <w:rPr>
          <w:rFonts w:hint="eastAsia" w:ascii="仿宋_GB2312" w:hAnsi="仿宋_GB2312" w:eastAsia="仿宋_GB2312" w:cs="仿宋_GB2312"/>
          <w:color w:val="auto"/>
          <w:sz w:val="32"/>
          <w:szCs w:val="40"/>
          <w:highlight w:val="none"/>
          <w:lang w:val="en-US" w:eastAsia="zh-CN"/>
        </w:rPr>
        <w:t>类认知公司</w:t>
      </w:r>
      <w:r>
        <w:rPr>
          <w:rFonts w:hint="eastAsia" w:ascii="仿宋_GB2312" w:hAnsi="仿宋_GB2312" w:eastAsia="仿宋_GB2312" w:cs="仿宋_GB2312"/>
          <w:color w:val="auto"/>
          <w:sz w:val="32"/>
          <w:szCs w:val="40"/>
        </w:rPr>
        <w:t>负责按规定期限完成项目任务，按照规定管理和使用财政资金，按要求报送年度报告、中期评估报告或者整改报告。</w:t>
      </w:r>
    </w:p>
    <w:p>
      <w:pPr>
        <w:pStyle w:val="20"/>
        <w:adjustRightInd w:val="0"/>
        <w:snapToGrid w:val="0"/>
        <w:spacing w:line="580" w:lineRule="exact"/>
        <w:ind w:firstLine="643" w:firstLineChars="200"/>
        <w:rPr>
          <w:rFonts w:ascii="仿宋_GB2312" w:eastAsia="仿宋_GB2312"/>
          <w:color w:val="auto"/>
          <w:sz w:val="32"/>
          <w:szCs w:val="32"/>
        </w:rPr>
      </w:pPr>
      <w:r>
        <w:rPr>
          <w:rFonts w:hint="eastAsia" w:ascii="仿宋_GB2312" w:hAnsi="仿宋_GB2312" w:eastAsia="仿宋_GB2312" w:cs="仿宋_GB2312"/>
          <w:b/>
          <w:bCs/>
          <w:color w:val="auto"/>
          <w:sz w:val="32"/>
          <w:szCs w:val="40"/>
        </w:rPr>
        <w:t>4.资金投入及使用情况。</w:t>
      </w:r>
      <w:r>
        <w:rPr>
          <w:rFonts w:hint="eastAsia" w:ascii="仿宋_GB2312" w:eastAsia="仿宋_GB2312"/>
          <w:color w:val="auto"/>
          <w:sz w:val="32"/>
          <w:szCs w:val="32"/>
        </w:rPr>
        <w:t>根据《2021年度科技创新会商专项议定书》，青岛市对西电创新基地和</w:t>
      </w:r>
      <w:r>
        <w:rPr>
          <w:rFonts w:ascii="仿宋_GB2312" w:eastAsia="仿宋_GB2312"/>
          <w:color w:val="auto"/>
          <w:sz w:val="32"/>
          <w:szCs w:val="32"/>
        </w:rPr>
        <w:t>认知人工智能</w:t>
      </w:r>
      <w:r>
        <w:rPr>
          <w:rFonts w:hint="eastAsia" w:ascii="仿宋_GB2312" w:eastAsia="仿宋_GB2312"/>
          <w:color w:val="auto"/>
          <w:sz w:val="32"/>
          <w:szCs w:val="32"/>
        </w:rPr>
        <w:t>研究院两个项目共提供资金支持4000万元（每个项目2000万元），截至2024年，共计安排预算3250万元（西电创新基地1500万元、认知人工</w:t>
      </w:r>
      <w:r>
        <w:rPr>
          <w:rFonts w:ascii="仿宋_GB2312" w:eastAsia="仿宋_GB2312"/>
          <w:color w:val="auto"/>
          <w:sz w:val="32"/>
          <w:szCs w:val="32"/>
        </w:rPr>
        <w:t>智能</w:t>
      </w:r>
      <w:r>
        <w:rPr>
          <w:rFonts w:hint="eastAsia" w:ascii="仿宋_GB2312" w:eastAsia="仿宋_GB2312"/>
          <w:color w:val="auto"/>
          <w:sz w:val="32"/>
          <w:szCs w:val="32"/>
        </w:rPr>
        <w:t>研究院1750万元），其中，2024年度预算金额750万元（西电创新基地500万元、认知人工</w:t>
      </w:r>
      <w:r>
        <w:rPr>
          <w:rFonts w:ascii="仿宋_GB2312" w:eastAsia="仿宋_GB2312"/>
          <w:color w:val="auto"/>
          <w:sz w:val="32"/>
          <w:szCs w:val="32"/>
        </w:rPr>
        <w:t>智能</w:t>
      </w:r>
      <w:r>
        <w:rPr>
          <w:rFonts w:hint="eastAsia" w:ascii="仿宋_GB2312" w:eastAsia="仿宋_GB2312"/>
          <w:color w:val="auto"/>
          <w:sz w:val="32"/>
          <w:szCs w:val="32"/>
        </w:rPr>
        <w:t>研究院250万元），区（市）实际拨付到位金额600万元（西电创新基地500万元、认知人工</w:t>
      </w:r>
      <w:r>
        <w:rPr>
          <w:rFonts w:ascii="仿宋_GB2312" w:eastAsia="仿宋_GB2312"/>
          <w:color w:val="auto"/>
          <w:sz w:val="32"/>
          <w:szCs w:val="32"/>
        </w:rPr>
        <w:t>智能</w:t>
      </w:r>
      <w:r>
        <w:rPr>
          <w:rFonts w:hint="eastAsia" w:ascii="仿宋_GB2312" w:eastAsia="仿宋_GB2312"/>
          <w:color w:val="auto"/>
          <w:sz w:val="32"/>
          <w:szCs w:val="32"/>
        </w:rPr>
        <w:t>研究院100万元），资金到位率80%。实际执行215.32万元（西电创新基地115.32万元、认知人工</w:t>
      </w:r>
      <w:r>
        <w:rPr>
          <w:rFonts w:ascii="仿宋_GB2312" w:eastAsia="仿宋_GB2312"/>
          <w:color w:val="auto"/>
          <w:sz w:val="32"/>
          <w:szCs w:val="32"/>
        </w:rPr>
        <w:t>智能</w:t>
      </w:r>
      <w:r>
        <w:rPr>
          <w:rFonts w:hint="eastAsia" w:ascii="仿宋_GB2312" w:eastAsia="仿宋_GB2312"/>
          <w:color w:val="auto"/>
          <w:sz w:val="32"/>
          <w:szCs w:val="32"/>
        </w:rPr>
        <w:t>研究院100万元），预算执行率35.89%。</w:t>
      </w:r>
      <w:r>
        <w:rPr>
          <w:rFonts w:ascii="仿宋_GB2312" w:eastAsia="仿宋_GB2312"/>
          <w:color w:val="auto"/>
          <w:sz w:val="32"/>
          <w:szCs w:val="32"/>
        </w:rPr>
        <w:t>市</w:t>
      </w:r>
      <w:r>
        <w:rPr>
          <w:rFonts w:hint="eastAsia" w:ascii="仿宋_GB2312" w:eastAsia="仿宋_GB2312"/>
          <w:color w:val="auto"/>
          <w:sz w:val="32"/>
          <w:szCs w:val="32"/>
        </w:rPr>
        <w:t>、</w:t>
      </w:r>
      <w:r>
        <w:rPr>
          <w:rFonts w:ascii="仿宋_GB2312" w:eastAsia="仿宋_GB2312"/>
          <w:color w:val="auto"/>
          <w:sz w:val="32"/>
          <w:szCs w:val="32"/>
        </w:rPr>
        <w:t>区</w:t>
      </w:r>
      <w:r>
        <w:rPr>
          <w:rFonts w:hint="eastAsia" w:ascii="仿宋_GB2312" w:eastAsia="仿宋_GB2312"/>
          <w:color w:val="auto"/>
          <w:sz w:val="32"/>
          <w:szCs w:val="32"/>
        </w:rPr>
        <w:t>两级对项目的支持及落实情况具体如下表所示。</w:t>
      </w:r>
    </w:p>
    <w:p>
      <w:pPr>
        <w:pStyle w:val="20"/>
        <w:adjustRightInd w:val="0"/>
        <w:snapToGrid w:val="0"/>
        <w:spacing w:after="120" w:afterLines="50" w:line="580" w:lineRule="exact"/>
        <w:jc w:val="center"/>
        <w:rPr>
          <w:rFonts w:ascii="黑体" w:hAnsi="黑体" w:eastAsia="黑体" w:cs="黑体"/>
          <w:color w:val="auto"/>
          <w:sz w:val="28"/>
          <w:szCs w:val="28"/>
        </w:rPr>
      </w:pPr>
      <w:r>
        <w:rPr>
          <w:rFonts w:hint="eastAsia" w:ascii="黑体" w:hAnsi="黑体" w:eastAsia="黑体" w:cs="黑体"/>
          <w:color w:val="auto"/>
          <w:sz w:val="28"/>
          <w:szCs w:val="28"/>
        </w:rPr>
        <w:t>表1-1 局区（市）会商项目资金支持与落实情况表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691"/>
        <w:gridCol w:w="2384"/>
        <w:gridCol w:w="1475"/>
        <w:gridCol w:w="713"/>
        <w:gridCol w:w="1427"/>
        <w:gridCol w:w="666"/>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35" w:type="dxa"/>
            <w:vMerge w:val="restart"/>
            <w:vAlign w:val="center"/>
          </w:tcPr>
          <w:p>
            <w:pPr>
              <w:pStyle w:val="20"/>
              <w:adjustRightInd w:val="0"/>
              <w:snapToGrid w:val="0"/>
              <w:jc w:val="center"/>
              <w:rPr>
                <w:rFonts w:ascii="宋体" w:hAnsi="宋体" w:cs="宋体"/>
                <w:b/>
                <w:bCs/>
                <w:color w:val="auto"/>
                <w:sz w:val="18"/>
                <w:szCs w:val="18"/>
              </w:rPr>
            </w:pPr>
            <w:r>
              <w:rPr>
                <w:rFonts w:hint="eastAsia" w:ascii="宋体" w:hAnsi="宋体" w:cs="宋体"/>
                <w:b/>
                <w:bCs/>
                <w:color w:val="auto"/>
                <w:sz w:val="18"/>
                <w:szCs w:val="18"/>
              </w:rPr>
              <w:t>项目名称</w:t>
            </w:r>
          </w:p>
        </w:tc>
        <w:tc>
          <w:tcPr>
            <w:tcW w:w="691" w:type="dxa"/>
            <w:vMerge w:val="restart"/>
            <w:shd w:val="clear" w:color="auto" w:fill="auto"/>
            <w:vAlign w:val="center"/>
          </w:tcPr>
          <w:p>
            <w:pPr>
              <w:pStyle w:val="20"/>
              <w:adjustRightInd w:val="0"/>
              <w:snapToGrid w:val="0"/>
              <w:jc w:val="center"/>
              <w:rPr>
                <w:rFonts w:ascii="宋体" w:hAnsi="宋体" w:cs="宋体"/>
                <w:b/>
                <w:bCs/>
                <w:color w:val="auto"/>
                <w:sz w:val="18"/>
                <w:szCs w:val="18"/>
              </w:rPr>
            </w:pPr>
            <w:r>
              <w:rPr>
                <w:rFonts w:hint="eastAsia" w:ascii="宋体" w:hAnsi="宋体" w:cs="宋体"/>
                <w:b/>
                <w:bCs/>
                <w:color w:val="auto"/>
                <w:sz w:val="18"/>
                <w:szCs w:val="18"/>
              </w:rPr>
              <w:t>支持主体</w:t>
            </w:r>
          </w:p>
        </w:tc>
        <w:tc>
          <w:tcPr>
            <w:tcW w:w="2384" w:type="dxa"/>
            <w:vMerge w:val="restart"/>
            <w:vAlign w:val="center"/>
          </w:tcPr>
          <w:p>
            <w:pPr>
              <w:pStyle w:val="20"/>
              <w:adjustRightInd w:val="0"/>
              <w:snapToGrid w:val="0"/>
              <w:jc w:val="center"/>
              <w:rPr>
                <w:rFonts w:ascii="宋体" w:hAnsi="宋体" w:cs="宋体"/>
                <w:b/>
                <w:bCs/>
                <w:color w:val="auto"/>
                <w:sz w:val="18"/>
                <w:szCs w:val="18"/>
              </w:rPr>
            </w:pPr>
            <w:r>
              <w:rPr>
                <w:rFonts w:hint="eastAsia" w:ascii="宋体" w:hAnsi="宋体" w:cs="宋体"/>
                <w:b/>
                <w:bCs/>
                <w:color w:val="auto"/>
                <w:sz w:val="18"/>
                <w:szCs w:val="18"/>
              </w:rPr>
              <w:t>支持方式及规模</w:t>
            </w:r>
          </w:p>
        </w:tc>
        <w:tc>
          <w:tcPr>
            <w:tcW w:w="2188" w:type="dxa"/>
            <w:gridSpan w:val="2"/>
            <w:vAlign w:val="center"/>
          </w:tcPr>
          <w:p>
            <w:pPr>
              <w:pStyle w:val="20"/>
              <w:adjustRightInd w:val="0"/>
              <w:snapToGrid w:val="0"/>
              <w:jc w:val="center"/>
              <w:rPr>
                <w:rFonts w:ascii="宋体" w:hAnsi="宋体" w:cs="宋体"/>
                <w:b/>
                <w:bCs/>
                <w:color w:val="auto"/>
                <w:sz w:val="18"/>
                <w:szCs w:val="18"/>
              </w:rPr>
            </w:pPr>
            <w:r>
              <w:rPr>
                <w:rFonts w:hint="eastAsia" w:ascii="宋体" w:hAnsi="宋体" w:cs="宋体"/>
                <w:b/>
                <w:bCs/>
                <w:color w:val="auto"/>
                <w:sz w:val="18"/>
                <w:szCs w:val="18"/>
              </w:rPr>
              <w:t>支持到位情况</w:t>
            </w:r>
          </w:p>
        </w:tc>
        <w:tc>
          <w:tcPr>
            <w:tcW w:w="2093" w:type="dxa"/>
            <w:gridSpan w:val="2"/>
            <w:vAlign w:val="center"/>
          </w:tcPr>
          <w:p>
            <w:pPr>
              <w:pStyle w:val="20"/>
              <w:adjustRightInd w:val="0"/>
              <w:snapToGrid w:val="0"/>
              <w:jc w:val="center"/>
              <w:rPr>
                <w:rFonts w:ascii="宋体" w:hAnsi="宋体" w:cs="宋体"/>
                <w:b/>
                <w:bCs/>
                <w:color w:val="auto"/>
                <w:sz w:val="18"/>
                <w:szCs w:val="18"/>
              </w:rPr>
            </w:pPr>
            <w:r>
              <w:rPr>
                <w:rFonts w:hint="eastAsia" w:ascii="宋体" w:hAnsi="宋体" w:cs="宋体"/>
                <w:b/>
                <w:bCs/>
                <w:color w:val="auto"/>
                <w:sz w:val="18"/>
                <w:szCs w:val="18"/>
              </w:rPr>
              <w:t>执行/使用情况</w:t>
            </w:r>
          </w:p>
        </w:tc>
        <w:tc>
          <w:tcPr>
            <w:tcW w:w="617" w:type="dxa"/>
            <w:vMerge w:val="restart"/>
            <w:vAlign w:val="center"/>
          </w:tcPr>
          <w:p>
            <w:pPr>
              <w:pStyle w:val="20"/>
              <w:adjustRightInd w:val="0"/>
              <w:snapToGrid w:val="0"/>
              <w:jc w:val="center"/>
              <w:rPr>
                <w:rFonts w:ascii="宋体" w:hAnsi="宋体" w:cs="宋体"/>
                <w:b/>
                <w:bCs/>
                <w:color w:val="auto"/>
                <w:sz w:val="18"/>
                <w:szCs w:val="18"/>
              </w:rPr>
            </w:pPr>
            <w:r>
              <w:rPr>
                <w:rFonts w:hint="eastAsia" w:ascii="宋体" w:hAnsi="宋体" w:cs="宋体"/>
                <w:b/>
                <w:bCs/>
                <w:color w:val="auto"/>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35" w:type="dxa"/>
            <w:vMerge w:val="continue"/>
            <w:vAlign w:val="center"/>
          </w:tcPr>
          <w:p>
            <w:pPr>
              <w:pStyle w:val="20"/>
              <w:adjustRightInd w:val="0"/>
              <w:snapToGrid w:val="0"/>
              <w:jc w:val="center"/>
              <w:rPr>
                <w:rFonts w:ascii="宋体" w:hAnsi="宋体" w:cs="宋体"/>
                <w:b/>
                <w:bCs/>
                <w:color w:val="auto"/>
                <w:sz w:val="18"/>
                <w:szCs w:val="18"/>
              </w:rPr>
            </w:pPr>
          </w:p>
        </w:tc>
        <w:tc>
          <w:tcPr>
            <w:tcW w:w="691" w:type="dxa"/>
            <w:vMerge w:val="continue"/>
            <w:shd w:val="clear" w:color="auto" w:fill="auto"/>
            <w:vAlign w:val="center"/>
          </w:tcPr>
          <w:p>
            <w:pPr>
              <w:pStyle w:val="20"/>
              <w:adjustRightInd w:val="0"/>
              <w:snapToGrid w:val="0"/>
              <w:jc w:val="center"/>
              <w:rPr>
                <w:rFonts w:ascii="宋体" w:hAnsi="宋体" w:cs="宋体"/>
                <w:b/>
                <w:bCs/>
                <w:color w:val="auto"/>
                <w:sz w:val="18"/>
                <w:szCs w:val="18"/>
              </w:rPr>
            </w:pPr>
          </w:p>
        </w:tc>
        <w:tc>
          <w:tcPr>
            <w:tcW w:w="2384" w:type="dxa"/>
            <w:vMerge w:val="continue"/>
            <w:vAlign w:val="center"/>
          </w:tcPr>
          <w:p>
            <w:pPr>
              <w:pStyle w:val="20"/>
              <w:adjustRightInd w:val="0"/>
              <w:snapToGrid w:val="0"/>
              <w:jc w:val="center"/>
              <w:rPr>
                <w:rFonts w:ascii="宋体" w:hAnsi="宋体" w:cs="宋体"/>
                <w:b/>
                <w:bCs/>
                <w:color w:val="auto"/>
                <w:sz w:val="18"/>
                <w:szCs w:val="18"/>
              </w:rPr>
            </w:pPr>
          </w:p>
        </w:tc>
        <w:tc>
          <w:tcPr>
            <w:tcW w:w="1475" w:type="dxa"/>
            <w:vAlign w:val="center"/>
          </w:tcPr>
          <w:p>
            <w:pPr>
              <w:pStyle w:val="20"/>
              <w:adjustRightInd w:val="0"/>
              <w:snapToGrid w:val="0"/>
              <w:jc w:val="center"/>
              <w:rPr>
                <w:rFonts w:ascii="宋体" w:hAnsi="宋体" w:cs="宋体"/>
                <w:b/>
                <w:bCs/>
                <w:color w:val="auto"/>
                <w:sz w:val="18"/>
                <w:szCs w:val="18"/>
              </w:rPr>
            </w:pPr>
            <w:r>
              <w:rPr>
                <w:rFonts w:hint="eastAsia" w:ascii="宋体" w:hAnsi="宋体" w:cs="宋体"/>
                <w:b/>
                <w:bCs/>
                <w:color w:val="auto"/>
                <w:sz w:val="18"/>
                <w:szCs w:val="18"/>
              </w:rPr>
              <w:t>累计</w:t>
            </w:r>
          </w:p>
        </w:tc>
        <w:tc>
          <w:tcPr>
            <w:tcW w:w="713" w:type="dxa"/>
            <w:vAlign w:val="center"/>
          </w:tcPr>
          <w:p>
            <w:pPr>
              <w:pStyle w:val="20"/>
              <w:adjustRightInd w:val="0"/>
              <w:snapToGrid w:val="0"/>
              <w:jc w:val="center"/>
              <w:rPr>
                <w:rFonts w:ascii="宋体" w:hAnsi="宋体" w:cs="宋体"/>
                <w:b/>
                <w:bCs/>
                <w:color w:val="auto"/>
                <w:sz w:val="18"/>
                <w:szCs w:val="18"/>
              </w:rPr>
            </w:pPr>
            <w:r>
              <w:rPr>
                <w:rFonts w:hint="eastAsia" w:ascii="宋体" w:hAnsi="宋体" w:cs="宋体"/>
                <w:b/>
                <w:bCs/>
                <w:color w:val="auto"/>
                <w:sz w:val="18"/>
                <w:szCs w:val="18"/>
              </w:rPr>
              <w:t>2024年度</w:t>
            </w:r>
          </w:p>
        </w:tc>
        <w:tc>
          <w:tcPr>
            <w:tcW w:w="1427" w:type="dxa"/>
            <w:shd w:val="clear" w:color="auto" w:fill="auto"/>
            <w:vAlign w:val="center"/>
          </w:tcPr>
          <w:p>
            <w:pPr>
              <w:pStyle w:val="20"/>
              <w:adjustRightInd w:val="0"/>
              <w:snapToGrid w:val="0"/>
              <w:jc w:val="center"/>
              <w:rPr>
                <w:rFonts w:ascii="宋体" w:hAnsi="宋体" w:cs="宋体"/>
                <w:b/>
                <w:bCs/>
                <w:color w:val="auto"/>
                <w:sz w:val="18"/>
                <w:szCs w:val="18"/>
              </w:rPr>
            </w:pPr>
            <w:r>
              <w:rPr>
                <w:rFonts w:hint="eastAsia" w:ascii="宋体" w:hAnsi="宋体" w:cs="宋体"/>
                <w:b/>
                <w:bCs/>
                <w:color w:val="auto"/>
                <w:sz w:val="18"/>
                <w:szCs w:val="18"/>
              </w:rPr>
              <w:t>累计</w:t>
            </w:r>
          </w:p>
        </w:tc>
        <w:tc>
          <w:tcPr>
            <w:tcW w:w="666" w:type="dxa"/>
            <w:shd w:val="clear" w:color="auto" w:fill="auto"/>
            <w:vAlign w:val="center"/>
          </w:tcPr>
          <w:p>
            <w:pPr>
              <w:pStyle w:val="20"/>
              <w:adjustRightInd w:val="0"/>
              <w:snapToGrid w:val="0"/>
              <w:jc w:val="center"/>
              <w:rPr>
                <w:rFonts w:ascii="宋体" w:hAnsi="宋体" w:cs="宋体"/>
                <w:b/>
                <w:bCs/>
                <w:color w:val="auto"/>
                <w:sz w:val="18"/>
                <w:szCs w:val="18"/>
              </w:rPr>
            </w:pPr>
            <w:r>
              <w:rPr>
                <w:rFonts w:hint="eastAsia" w:ascii="宋体" w:hAnsi="宋体" w:cs="宋体"/>
                <w:b/>
                <w:bCs/>
                <w:color w:val="auto"/>
                <w:sz w:val="18"/>
                <w:szCs w:val="18"/>
              </w:rPr>
              <w:t>2024年度</w:t>
            </w:r>
          </w:p>
        </w:tc>
        <w:tc>
          <w:tcPr>
            <w:tcW w:w="617" w:type="dxa"/>
            <w:vMerge w:val="continue"/>
            <w:vAlign w:val="center"/>
          </w:tcPr>
          <w:p>
            <w:pPr>
              <w:pStyle w:val="20"/>
              <w:adjustRightInd w:val="0"/>
              <w:snapToGrid w:val="0"/>
              <w:jc w:val="center"/>
              <w:rPr>
                <w:rFonts w:ascii="宋体" w:hAnsi="宋体" w:cs="宋体"/>
                <w:b/>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35" w:type="dxa"/>
            <w:vMerge w:val="restart"/>
            <w:vAlign w:val="center"/>
          </w:tcPr>
          <w:p>
            <w:pPr>
              <w:pStyle w:val="20"/>
              <w:adjustRightInd w:val="0"/>
              <w:snapToGrid w:val="0"/>
              <w:jc w:val="center"/>
              <w:rPr>
                <w:rFonts w:ascii="宋体" w:hAnsi="宋体" w:cs="宋体"/>
                <w:color w:val="auto"/>
                <w:sz w:val="15"/>
                <w:szCs w:val="15"/>
              </w:rPr>
            </w:pPr>
            <w:r>
              <w:rPr>
                <w:rFonts w:hint="eastAsia" w:ascii="宋体" w:hAnsi="宋体" w:cs="宋体"/>
                <w:color w:val="auto"/>
                <w:sz w:val="15"/>
                <w:szCs w:val="15"/>
              </w:rPr>
              <w:t>西电创新基地</w:t>
            </w:r>
          </w:p>
        </w:tc>
        <w:tc>
          <w:tcPr>
            <w:tcW w:w="691" w:type="dxa"/>
            <w:shd w:val="clear" w:color="auto" w:fill="auto"/>
            <w:vAlign w:val="center"/>
          </w:tcPr>
          <w:p>
            <w:pPr>
              <w:pStyle w:val="20"/>
              <w:adjustRightInd w:val="0"/>
              <w:snapToGrid w:val="0"/>
              <w:jc w:val="center"/>
              <w:rPr>
                <w:rFonts w:ascii="宋体" w:hAnsi="宋体" w:cs="宋体"/>
                <w:color w:val="auto"/>
                <w:sz w:val="15"/>
                <w:szCs w:val="15"/>
              </w:rPr>
            </w:pPr>
            <w:r>
              <w:rPr>
                <w:rFonts w:hint="eastAsia" w:ascii="宋体" w:hAnsi="宋体" w:cs="宋体"/>
                <w:color w:val="auto"/>
                <w:sz w:val="15"/>
                <w:szCs w:val="15"/>
              </w:rPr>
              <w:t>市级</w:t>
            </w:r>
          </w:p>
        </w:tc>
        <w:tc>
          <w:tcPr>
            <w:tcW w:w="2384" w:type="dxa"/>
            <w:vAlign w:val="center"/>
          </w:tcPr>
          <w:p>
            <w:pPr>
              <w:pStyle w:val="20"/>
              <w:adjustRightInd w:val="0"/>
              <w:snapToGrid w:val="0"/>
              <w:rPr>
                <w:rFonts w:ascii="宋体" w:hAnsi="宋体" w:cs="宋体"/>
                <w:color w:val="auto"/>
                <w:sz w:val="15"/>
                <w:szCs w:val="15"/>
              </w:rPr>
            </w:pPr>
            <w:r>
              <w:rPr>
                <w:rFonts w:ascii="宋体" w:hAnsi="宋体" w:cs="宋体"/>
                <w:color w:val="auto"/>
                <w:sz w:val="15"/>
                <w:szCs w:val="15"/>
              </w:rPr>
              <w:t>从市财政科技专项资金</w:t>
            </w:r>
            <w:r>
              <w:rPr>
                <w:rFonts w:hint="eastAsia" w:ascii="宋体" w:hAnsi="宋体" w:cs="宋体"/>
                <w:color w:val="auto"/>
                <w:sz w:val="15"/>
                <w:szCs w:val="15"/>
              </w:rPr>
              <w:t>中安排2000万元支持项目建设，根据项目进度及绩效分年度拨付</w:t>
            </w:r>
          </w:p>
        </w:tc>
        <w:tc>
          <w:tcPr>
            <w:tcW w:w="1475" w:type="dxa"/>
            <w:vAlign w:val="center"/>
          </w:tcPr>
          <w:p>
            <w:pPr>
              <w:pStyle w:val="20"/>
              <w:adjustRightInd w:val="0"/>
              <w:snapToGrid w:val="0"/>
              <w:jc w:val="center"/>
              <w:rPr>
                <w:rFonts w:ascii="宋体" w:hAnsi="宋体" w:cs="宋体"/>
                <w:color w:val="auto"/>
                <w:sz w:val="15"/>
                <w:szCs w:val="15"/>
              </w:rPr>
            </w:pPr>
            <w:r>
              <w:rPr>
                <w:rFonts w:hint="eastAsia" w:ascii="宋体" w:hAnsi="宋体" w:cs="宋体"/>
                <w:color w:val="auto"/>
                <w:sz w:val="15"/>
                <w:szCs w:val="15"/>
              </w:rPr>
              <w:t>1500万元</w:t>
            </w:r>
          </w:p>
        </w:tc>
        <w:tc>
          <w:tcPr>
            <w:tcW w:w="713" w:type="dxa"/>
            <w:vAlign w:val="center"/>
          </w:tcPr>
          <w:p>
            <w:pPr>
              <w:pStyle w:val="20"/>
              <w:adjustRightInd w:val="0"/>
              <w:snapToGrid w:val="0"/>
              <w:jc w:val="center"/>
              <w:rPr>
                <w:rFonts w:ascii="宋体" w:hAnsi="宋体" w:cs="宋体"/>
                <w:color w:val="auto"/>
                <w:sz w:val="15"/>
                <w:szCs w:val="15"/>
              </w:rPr>
            </w:pPr>
            <w:r>
              <w:rPr>
                <w:rFonts w:hint="eastAsia" w:ascii="宋体" w:hAnsi="宋体" w:cs="宋体"/>
                <w:color w:val="auto"/>
                <w:sz w:val="15"/>
                <w:szCs w:val="15"/>
              </w:rPr>
              <w:t>500</w:t>
            </w:r>
          </w:p>
          <w:p>
            <w:pPr>
              <w:pStyle w:val="20"/>
              <w:adjustRightInd w:val="0"/>
              <w:snapToGrid w:val="0"/>
              <w:jc w:val="center"/>
              <w:rPr>
                <w:rFonts w:ascii="宋体" w:hAnsi="宋体" w:cs="宋体"/>
                <w:color w:val="auto"/>
                <w:sz w:val="15"/>
                <w:szCs w:val="15"/>
              </w:rPr>
            </w:pPr>
            <w:r>
              <w:rPr>
                <w:rFonts w:hint="eastAsia" w:ascii="宋体" w:hAnsi="宋体" w:cs="宋体"/>
                <w:color w:val="auto"/>
                <w:sz w:val="15"/>
                <w:szCs w:val="15"/>
              </w:rPr>
              <w:t>万元</w:t>
            </w:r>
          </w:p>
        </w:tc>
        <w:tc>
          <w:tcPr>
            <w:tcW w:w="1427" w:type="dxa"/>
            <w:vAlign w:val="center"/>
          </w:tcPr>
          <w:p>
            <w:pPr>
              <w:pStyle w:val="20"/>
              <w:adjustRightInd w:val="0"/>
              <w:snapToGrid w:val="0"/>
              <w:jc w:val="center"/>
              <w:rPr>
                <w:rFonts w:ascii="宋体" w:hAnsi="宋体" w:cs="宋体"/>
                <w:color w:val="auto"/>
                <w:sz w:val="15"/>
                <w:szCs w:val="15"/>
              </w:rPr>
            </w:pPr>
            <w:r>
              <w:rPr>
                <w:rFonts w:hint="eastAsia" w:ascii="宋体" w:hAnsi="宋体" w:cs="宋体"/>
                <w:color w:val="auto"/>
                <w:sz w:val="15"/>
                <w:szCs w:val="15"/>
              </w:rPr>
              <w:t>1115.32万元</w:t>
            </w:r>
          </w:p>
        </w:tc>
        <w:tc>
          <w:tcPr>
            <w:tcW w:w="666" w:type="dxa"/>
            <w:vAlign w:val="center"/>
          </w:tcPr>
          <w:p>
            <w:pPr>
              <w:pStyle w:val="20"/>
              <w:adjustRightInd w:val="0"/>
              <w:snapToGrid w:val="0"/>
              <w:jc w:val="center"/>
              <w:rPr>
                <w:rFonts w:ascii="宋体" w:hAnsi="宋体" w:cs="宋体"/>
                <w:color w:val="auto"/>
                <w:sz w:val="15"/>
                <w:szCs w:val="15"/>
              </w:rPr>
            </w:pPr>
            <w:r>
              <w:rPr>
                <w:rFonts w:hint="eastAsia" w:ascii="宋体" w:hAnsi="宋体" w:cs="宋体"/>
                <w:color w:val="auto"/>
                <w:sz w:val="15"/>
                <w:szCs w:val="15"/>
              </w:rPr>
              <w:t>115.32万元</w:t>
            </w:r>
          </w:p>
        </w:tc>
        <w:tc>
          <w:tcPr>
            <w:tcW w:w="617" w:type="dxa"/>
            <w:vAlign w:val="center"/>
          </w:tcPr>
          <w:p>
            <w:pPr>
              <w:pStyle w:val="20"/>
              <w:adjustRightInd w:val="0"/>
              <w:snapToGrid w:val="0"/>
              <w:jc w:val="center"/>
              <w:rPr>
                <w:rFonts w:ascii="宋体" w:hAnsi="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35" w:type="dxa"/>
            <w:vMerge w:val="continue"/>
            <w:vAlign w:val="center"/>
          </w:tcPr>
          <w:p>
            <w:pPr>
              <w:pStyle w:val="20"/>
              <w:adjustRightInd w:val="0"/>
              <w:snapToGrid w:val="0"/>
              <w:jc w:val="center"/>
              <w:rPr>
                <w:rFonts w:ascii="宋体" w:hAnsi="宋体" w:cs="宋体"/>
                <w:color w:val="auto"/>
                <w:sz w:val="15"/>
                <w:szCs w:val="15"/>
              </w:rPr>
            </w:pPr>
          </w:p>
        </w:tc>
        <w:tc>
          <w:tcPr>
            <w:tcW w:w="691" w:type="dxa"/>
            <w:shd w:val="clear" w:color="auto" w:fill="auto"/>
            <w:vAlign w:val="center"/>
          </w:tcPr>
          <w:p>
            <w:pPr>
              <w:pStyle w:val="20"/>
              <w:adjustRightInd w:val="0"/>
              <w:snapToGrid w:val="0"/>
              <w:jc w:val="center"/>
              <w:rPr>
                <w:rFonts w:ascii="宋体" w:hAnsi="宋体" w:cs="宋体"/>
                <w:color w:val="auto"/>
                <w:sz w:val="15"/>
                <w:szCs w:val="15"/>
              </w:rPr>
            </w:pPr>
            <w:r>
              <w:rPr>
                <w:rFonts w:hint="eastAsia" w:ascii="宋体" w:hAnsi="宋体" w:cs="宋体"/>
                <w:color w:val="auto"/>
                <w:sz w:val="15"/>
                <w:szCs w:val="15"/>
              </w:rPr>
              <w:t>城阳区</w:t>
            </w:r>
          </w:p>
        </w:tc>
        <w:tc>
          <w:tcPr>
            <w:tcW w:w="2384" w:type="dxa"/>
            <w:vAlign w:val="center"/>
          </w:tcPr>
          <w:p>
            <w:pPr>
              <w:pStyle w:val="20"/>
              <w:adjustRightInd w:val="0"/>
              <w:snapToGrid w:val="0"/>
              <w:rPr>
                <w:rFonts w:ascii="宋体" w:hAnsi="宋体" w:cs="宋体"/>
                <w:color w:val="auto"/>
                <w:sz w:val="15"/>
                <w:szCs w:val="15"/>
              </w:rPr>
            </w:pPr>
            <w:r>
              <w:rPr>
                <w:rFonts w:hint="eastAsia" w:ascii="宋体" w:hAnsi="宋体" w:cs="宋体"/>
                <w:color w:val="auto"/>
                <w:sz w:val="15"/>
                <w:szCs w:val="15"/>
              </w:rPr>
              <w:t>1.提供3000万元运营经费，分三年拨付；</w:t>
            </w:r>
          </w:p>
          <w:p>
            <w:pPr>
              <w:pStyle w:val="20"/>
              <w:adjustRightInd w:val="0"/>
              <w:snapToGrid w:val="0"/>
              <w:rPr>
                <w:rFonts w:ascii="宋体" w:hAnsi="宋体" w:cs="宋体"/>
                <w:color w:val="auto"/>
                <w:sz w:val="15"/>
                <w:szCs w:val="15"/>
              </w:rPr>
            </w:pPr>
            <w:r>
              <w:rPr>
                <w:rFonts w:hint="eastAsia" w:ascii="宋体" w:hAnsi="宋体" w:cs="宋体"/>
                <w:color w:val="auto"/>
                <w:sz w:val="15"/>
                <w:szCs w:val="15"/>
              </w:rPr>
              <w:t>2.免费提供办公、科研等场地17000平方米（前期使用12500平方米）及相关配套设施，免费提供不少于114套公寓；</w:t>
            </w:r>
          </w:p>
          <w:p>
            <w:pPr>
              <w:pStyle w:val="20"/>
              <w:adjustRightInd w:val="0"/>
              <w:snapToGrid w:val="0"/>
              <w:rPr>
                <w:rFonts w:ascii="宋体" w:hAnsi="宋体" w:cs="宋体"/>
                <w:color w:val="auto"/>
                <w:sz w:val="15"/>
                <w:szCs w:val="15"/>
              </w:rPr>
            </w:pPr>
            <w:r>
              <w:rPr>
                <w:rFonts w:hint="eastAsia" w:ascii="宋体" w:hAnsi="宋体" w:cs="宋体"/>
                <w:color w:val="auto"/>
                <w:sz w:val="15"/>
                <w:szCs w:val="15"/>
              </w:rPr>
              <w:t>3.一次性投入500万元用于科研、教学和实验平台建设；从2020年起每年投入300万元作为基本运营经费，每年为每个研究生提供</w:t>
            </w:r>
            <w:r>
              <w:rPr>
                <w:rFonts w:hint="eastAsia" w:ascii="宋体" w:hAnsi="宋体" w:cs="宋体"/>
                <w:color w:val="auto"/>
                <w:sz w:val="15"/>
                <w:szCs w:val="15"/>
                <w:lang w:val="en-US" w:eastAsia="zh-CN"/>
              </w:rPr>
              <w:t>生均</w:t>
            </w:r>
            <w:r>
              <w:rPr>
                <w:rFonts w:hint="eastAsia" w:ascii="宋体" w:hAnsi="宋体" w:cs="宋体"/>
                <w:color w:val="auto"/>
                <w:sz w:val="15"/>
                <w:szCs w:val="15"/>
              </w:rPr>
              <w:t>培养经费</w:t>
            </w:r>
          </w:p>
        </w:tc>
        <w:tc>
          <w:tcPr>
            <w:tcW w:w="1475" w:type="dxa"/>
            <w:vAlign w:val="center"/>
          </w:tcPr>
          <w:p>
            <w:pPr>
              <w:pStyle w:val="20"/>
              <w:adjustRightInd w:val="0"/>
              <w:snapToGrid w:val="0"/>
              <w:rPr>
                <w:rFonts w:ascii="宋体" w:hAnsi="宋体" w:cs="宋体"/>
                <w:color w:val="auto"/>
                <w:sz w:val="15"/>
                <w:szCs w:val="15"/>
              </w:rPr>
            </w:pPr>
            <w:r>
              <w:rPr>
                <w:rFonts w:hint="eastAsia" w:ascii="宋体" w:hAnsi="宋体" w:cs="宋体"/>
                <w:color w:val="auto"/>
                <w:sz w:val="15"/>
                <w:szCs w:val="15"/>
              </w:rPr>
              <w:t>1.提供运营经费2700万元；</w:t>
            </w:r>
          </w:p>
          <w:p>
            <w:pPr>
              <w:pStyle w:val="20"/>
              <w:adjustRightInd w:val="0"/>
              <w:snapToGrid w:val="0"/>
              <w:rPr>
                <w:rFonts w:ascii="宋体" w:hAnsi="宋体" w:cs="宋体"/>
                <w:color w:val="auto"/>
                <w:sz w:val="15"/>
                <w:szCs w:val="15"/>
              </w:rPr>
            </w:pPr>
            <w:r>
              <w:rPr>
                <w:rFonts w:hint="eastAsia" w:ascii="宋体" w:hAnsi="宋体" w:cs="宋体"/>
                <w:color w:val="auto"/>
                <w:sz w:val="15"/>
                <w:szCs w:val="15"/>
              </w:rPr>
              <w:t>2.提供办公场地12500㎡，公寓96套；</w:t>
            </w:r>
          </w:p>
          <w:p>
            <w:pPr>
              <w:pStyle w:val="20"/>
              <w:adjustRightInd w:val="0"/>
              <w:snapToGrid w:val="0"/>
              <w:rPr>
                <w:rFonts w:ascii="宋体" w:hAnsi="宋体" w:cs="宋体"/>
                <w:color w:val="auto"/>
                <w:sz w:val="15"/>
                <w:szCs w:val="15"/>
              </w:rPr>
            </w:pPr>
            <w:r>
              <w:rPr>
                <w:rFonts w:hint="eastAsia" w:ascii="宋体" w:hAnsi="宋体" w:cs="宋体"/>
                <w:color w:val="auto"/>
                <w:sz w:val="15"/>
                <w:szCs w:val="15"/>
              </w:rPr>
              <w:t>3.投入500万元用于科研、教学和实验平台建设；提供运营经费、研究生培养经费2978万元</w:t>
            </w:r>
          </w:p>
        </w:tc>
        <w:tc>
          <w:tcPr>
            <w:tcW w:w="713" w:type="dxa"/>
            <w:vAlign w:val="center"/>
          </w:tcPr>
          <w:p>
            <w:pPr>
              <w:pStyle w:val="20"/>
              <w:adjustRightInd w:val="0"/>
              <w:snapToGrid w:val="0"/>
              <w:rPr>
                <w:rFonts w:ascii="宋体" w:hAnsi="宋体" w:cs="宋体"/>
                <w:color w:val="auto"/>
                <w:sz w:val="15"/>
                <w:szCs w:val="15"/>
              </w:rPr>
            </w:pPr>
            <w:r>
              <w:rPr>
                <w:rFonts w:hint="eastAsia" w:ascii="宋体" w:hAnsi="宋体" w:cs="宋体"/>
                <w:color w:val="auto"/>
                <w:sz w:val="15"/>
                <w:szCs w:val="15"/>
              </w:rPr>
              <w:t>运营经费、研究生培养经费500万元</w:t>
            </w:r>
          </w:p>
        </w:tc>
        <w:tc>
          <w:tcPr>
            <w:tcW w:w="1427" w:type="dxa"/>
            <w:vAlign w:val="center"/>
          </w:tcPr>
          <w:p>
            <w:pPr>
              <w:pStyle w:val="20"/>
              <w:adjustRightInd w:val="0"/>
              <w:snapToGrid w:val="0"/>
              <w:rPr>
                <w:rFonts w:ascii="宋体" w:hAnsi="宋体" w:cs="宋体"/>
                <w:color w:val="auto"/>
                <w:sz w:val="15"/>
                <w:szCs w:val="15"/>
              </w:rPr>
            </w:pPr>
            <w:r>
              <w:rPr>
                <w:rFonts w:hint="eastAsia" w:ascii="宋体" w:hAnsi="宋体" w:cs="宋体"/>
                <w:color w:val="auto"/>
                <w:sz w:val="15"/>
                <w:szCs w:val="15"/>
              </w:rPr>
              <w:t>1.支出运营经费2700万元；</w:t>
            </w:r>
          </w:p>
          <w:p>
            <w:pPr>
              <w:pStyle w:val="20"/>
              <w:adjustRightInd w:val="0"/>
              <w:snapToGrid w:val="0"/>
              <w:rPr>
                <w:rFonts w:ascii="宋体" w:hAnsi="宋体" w:cs="宋体"/>
                <w:color w:val="auto"/>
                <w:sz w:val="15"/>
                <w:szCs w:val="15"/>
              </w:rPr>
            </w:pPr>
            <w:r>
              <w:rPr>
                <w:rFonts w:hint="eastAsia" w:ascii="宋体" w:hAnsi="宋体" w:cs="宋体"/>
                <w:color w:val="auto"/>
                <w:sz w:val="15"/>
                <w:szCs w:val="15"/>
              </w:rPr>
              <w:t>2.使用办公场地12500㎡、公寓66套；</w:t>
            </w:r>
          </w:p>
          <w:p>
            <w:pPr>
              <w:pStyle w:val="20"/>
              <w:adjustRightInd w:val="0"/>
              <w:snapToGrid w:val="0"/>
              <w:rPr>
                <w:rFonts w:ascii="宋体" w:hAnsi="宋体" w:cs="宋体"/>
                <w:color w:val="auto"/>
                <w:sz w:val="15"/>
                <w:szCs w:val="15"/>
              </w:rPr>
            </w:pPr>
            <w:r>
              <w:rPr>
                <w:rFonts w:hint="eastAsia" w:ascii="宋体" w:hAnsi="宋体" w:cs="宋体"/>
                <w:color w:val="auto"/>
                <w:sz w:val="15"/>
                <w:szCs w:val="15"/>
              </w:rPr>
              <w:t>3.支出500万元用于科研、教学和实验平台建设；研究生培养经费支出2978万元</w:t>
            </w:r>
          </w:p>
        </w:tc>
        <w:tc>
          <w:tcPr>
            <w:tcW w:w="666" w:type="dxa"/>
            <w:vAlign w:val="center"/>
          </w:tcPr>
          <w:p>
            <w:pPr>
              <w:pStyle w:val="20"/>
              <w:adjustRightInd w:val="0"/>
              <w:snapToGrid w:val="0"/>
              <w:jc w:val="center"/>
              <w:rPr>
                <w:rFonts w:ascii="宋体" w:hAnsi="宋体" w:cs="宋体"/>
                <w:color w:val="auto"/>
                <w:sz w:val="15"/>
                <w:szCs w:val="15"/>
              </w:rPr>
            </w:pPr>
            <w:r>
              <w:rPr>
                <w:rFonts w:hint="eastAsia" w:ascii="宋体" w:hAnsi="宋体" w:cs="宋体"/>
                <w:color w:val="auto"/>
                <w:sz w:val="15"/>
                <w:szCs w:val="15"/>
              </w:rPr>
              <w:t>500</w:t>
            </w:r>
          </w:p>
          <w:p>
            <w:pPr>
              <w:pStyle w:val="20"/>
              <w:adjustRightInd w:val="0"/>
              <w:snapToGrid w:val="0"/>
              <w:jc w:val="center"/>
              <w:rPr>
                <w:rFonts w:ascii="宋体" w:hAnsi="宋体" w:cs="宋体"/>
                <w:color w:val="auto"/>
                <w:sz w:val="15"/>
                <w:szCs w:val="15"/>
              </w:rPr>
            </w:pPr>
            <w:r>
              <w:rPr>
                <w:rFonts w:hint="eastAsia" w:ascii="宋体" w:hAnsi="宋体" w:cs="宋体"/>
                <w:color w:val="auto"/>
                <w:sz w:val="15"/>
                <w:szCs w:val="15"/>
              </w:rPr>
              <w:t>万元</w:t>
            </w:r>
          </w:p>
        </w:tc>
        <w:tc>
          <w:tcPr>
            <w:tcW w:w="617" w:type="dxa"/>
            <w:vAlign w:val="center"/>
          </w:tcPr>
          <w:p>
            <w:pPr>
              <w:pStyle w:val="20"/>
              <w:adjustRightInd w:val="0"/>
              <w:snapToGrid w:val="0"/>
              <w:jc w:val="center"/>
              <w:rPr>
                <w:rFonts w:ascii="宋体" w:hAnsi="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35" w:type="dxa"/>
            <w:vMerge w:val="restart"/>
            <w:vAlign w:val="center"/>
          </w:tcPr>
          <w:p>
            <w:pPr>
              <w:pStyle w:val="20"/>
              <w:adjustRightInd w:val="0"/>
              <w:snapToGrid w:val="0"/>
              <w:jc w:val="center"/>
              <w:rPr>
                <w:rFonts w:ascii="宋体" w:hAnsi="宋体" w:cs="宋体"/>
                <w:color w:val="auto"/>
                <w:sz w:val="15"/>
                <w:szCs w:val="15"/>
              </w:rPr>
            </w:pPr>
            <w:r>
              <w:rPr>
                <w:rFonts w:hint="eastAsia" w:ascii="宋体" w:hAnsi="宋体" w:cs="宋体"/>
                <w:color w:val="auto"/>
                <w:sz w:val="15"/>
                <w:szCs w:val="15"/>
              </w:rPr>
              <w:t>认知人工智能研究院</w:t>
            </w:r>
          </w:p>
        </w:tc>
        <w:tc>
          <w:tcPr>
            <w:tcW w:w="691" w:type="dxa"/>
            <w:shd w:val="clear" w:color="auto" w:fill="auto"/>
            <w:vAlign w:val="center"/>
          </w:tcPr>
          <w:p>
            <w:pPr>
              <w:pStyle w:val="20"/>
              <w:adjustRightInd w:val="0"/>
              <w:snapToGrid w:val="0"/>
              <w:jc w:val="center"/>
              <w:rPr>
                <w:rFonts w:ascii="宋体" w:hAnsi="宋体" w:cs="宋体"/>
                <w:color w:val="auto"/>
                <w:sz w:val="15"/>
                <w:szCs w:val="15"/>
              </w:rPr>
            </w:pPr>
            <w:r>
              <w:rPr>
                <w:rFonts w:hint="eastAsia" w:ascii="宋体" w:hAnsi="宋体" w:cs="宋体"/>
                <w:color w:val="auto"/>
                <w:sz w:val="15"/>
                <w:szCs w:val="15"/>
              </w:rPr>
              <w:t>市级</w:t>
            </w:r>
          </w:p>
        </w:tc>
        <w:tc>
          <w:tcPr>
            <w:tcW w:w="2384" w:type="dxa"/>
            <w:vAlign w:val="center"/>
          </w:tcPr>
          <w:p>
            <w:pPr>
              <w:pStyle w:val="20"/>
              <w:adjustRightInd w:val="0"/>
              <w:snapToGrid w:val="0"/>
              <w:rPr>
                <w:rFonts w:ascii="宋体" w:hAnsi="宋体" w:cs="宋体"/>
                <w:color w:val="auto"/>
                <w:sz w:val="15"/>
                <w:szCs w:val="15"/>
              </w:rPr>
            </w:pPr>
            <w:r>
              <w:rPr>
                <w:rFonts w:ascii="宋体" w:hAnsi="宋体" w:cs="宋体"/>
                <w:color w:val="auto"/>
                <w:sz w:val="15"/>
                <w:szCs w:val="15"/>
              </w:rPr>
              <w:t>从市财政科技专项资金</w:t>
            </w:r>
            <w:r>
              <w:rPr>
                <w:rFonts w:hint="eastAsia" w:ascii="宋体" w:hAnsi="宋体" w:cs="宋体"/>
                <w:color w:val="auto"/>
                <w:sz w:val="15"/>
                <w:szCs w:val="15"/>
              </w:rPr>
              <w:t>中安排2000万元支持项目建设，根据项目进度及绩效分年度拨付</w:t>
            </w:r>
          </w:p>
        </w:tc>
        <w:tc>
          <w:tcPr>
            <w:tcW w:w="1475" w:type="dxa"/>
            <w:vAlign w:val="center"/>
          </w:tcPr>
          <w:p>
            <w:pPr>
              <w:pStyle w:val="20"/>
              <w:adjustRightInd w:val="0"/>
              <w:snapToGrid w:val="0"/>
              <w:jc w:val="center"/>
              <w:rPr>
                <w:rFonts w:ascii="宋体" w:hAnsi="宋体" w:cs="宋体"/>
                <w:color w:val="auto"/>
                <w:sz w:val="15"/>
                <w:szCs w:val="15"/>
              </w:rPr>
            </w:pPr>
            <w:r>
              <w:rPr>
                <w:rFonts w:hint="eastAsia" w:ascii="宋体" w:hAnsi="宋体" w:cs="宋体"/>
                <w:color w:val="auto"/>
                <w:sz w:val="15"/>
                <w:szCs w:val="15"/>
              </w:rPr>
              <w:t>1750万元</w:t>
            </w:r>
          </w:p>
        </w:tc>
        <w:tc>
          <w:tcPr>
            <w:tcW w:w="713" w:type="dxa"/>
            <w:vAlign w:val="center"/>
          </w:tcPr>
          <w:p>
            <w:pPr>
              <w:pStyle w:val="20"/>
              <w:adjustRightInd w:val="0"/>
              <w:snapToGrid w:val="0"/>
              <w:jc w:val="center"/>
              <w:rPr>
                <w:rFonts w:ascii="宋体" w:hAnsi="宋体" w:cs="宋体"/>
                <w:color w:val="auto"/>
                <w:sz w:val="15"/>
                <w:szCs w:val="15"/>
              </w:rPr>
            </w:pPr>
            <w:r>
              <w:rPr>
                <w:rFonts w:hint="eastAsia" w:ascii="宋体" w:hAnsi="宋体" w:cs="宋体"/>
                <w:color w:val="auto"/>
                <w:sz w:val="15"/>
                <w:szCs w:val="15"/>
              </w:rPr>
              <w:t>250</w:t>
            </w:r>
          </w:p>
          <w:p>
            <w:pPr>
              <w:pStyle w:val="20"/>
              <w:adjustRightInd w:val="0"/>
              <w:snapToGrid w:val="0"/>
              <w:jc w:val="center"/>
              <w:rPr>
                <w:rFonts w:ascii="宋体" w:hAnsi="宋体" w:cs="宋体"/>
                <w:color w:val="auto"/>
                <w:sz w:val="15"/>
                <w:szCs w:val="15"/>
              </w:rPr>
            </w:pPr>
            <w:r>
              <w:rPr>
                <w:rFonts w:hint="eastAsia" w:ascii="宋体" w:hAnsi="宋体" w:cs="宋体"/>
                <w:color w:val="auto"/>
                <w:sz w:val="15"/>
                <w:szCs w:val="15"/>
              </w:rPr>
              <w:t>万元</w:t>
            </w:r>
          </w:p>
        </w:tc>
        <w:tc>
          <w:tcPr>
            <w:tcW w:w="1427" w:type="dxa"/>
            <w:vAlign w:val="center"/>
          </w:tcPr>
          <w:p>
            <w:pPr>
              <w:pStyle w:val="20"/>
              <w:adjustRightInd w:val="0"/>
              <w:snapToGrid w:val="0"/>
              <w:jc w:val="center"/>
              <w:rPr>
                <w:rFonts w:ascii="宋体" w:hAnsi="宋体" w:cs="宋体"/>
                <w:color w:val="auto"/>
                <w:sz w:val="15"/>
                <w:szCs w:val="15"/>
              </w:rPr>
            </w:pPr>
            <w:r>
              <w:rPr>
                <w:rFonts w:hint="eastAsia" w:ascii="宋体" w:hAnsi="宋体" w:cs="宋体"/>
                <w:color w:val="auto"/>
                <w:sz w:val="15"/>
                <w:szCs w:val="15"/>
              </w:rPr>
              <w:t>1600万元</w:t>
            </w:r>
          </w:p>
        </w:tc>
        <w:tc>
          <w:tcPr>
            <w:tcW w:w="666" w:type="dxa"/>
            <w:vAlign w:val="center"/>
          </w:tcPr>
          <w:p>
            <w:pPr>
              <w:pStyle w:val="20"/>
              <w:adjustRightInd w:val="0"/>
              <w:snapToGrid w:val="0"/>
              <w:jc w:val="center"/>
              <w:rPr>
                <w:rFonts w:ascii="宋体" w:hAnsi="宋体" w:cs="宋体"/>
                <w:color w:val="auto"/>
                <w:sz w:val="15"/>
                <w:szCs w:val="15"/>
              </w:rPr>
            </w:pPr>
            <w:r>
              <w:rPr>
                <w:rFonts w:hint="eastAsia" w:ascii="宋体" w:hAnsi="宋体" w:cs="宋体"/>
                <w:color w:val="auto"/>
                <w:sz w:val="15"/>
                <w:szCs w:val="15"/>
              </w:rPr>
              <w:t>100</w:t>
            </w:r>
          </w:p>
          <w:p>
            <w:pPr>
              <w:pStyle w:val="20"/>
              <w:adjustRightInd w:val="0"/>
              <w:snapToGrid w:val="0"/>
              <w:jc w:val="center"/>
              <w:rPr>
                <w:rFonts w:ascii="宋体" w:hAnsi="宋体" w:cs="宋体"/>
                <w:color w:val="auto"/>
                <w:sz w:val="15"/>
                <w:szCs w:val="15"/>
              </w:rPr>
            </w:pPr>
            <w:r>
              <w:rPr>
                <w:rFonts w:hint="eastAsia" w:ascii="宋体" w:hAnsi="宋体" w:cs="宋体"/>
                <w:color w:val="auto"/>
                <w:sz w:val="15"/>
                <w:szCs w:val="15"/>
              </w:rPr>
              <w:t>万元</w:t>
            </w:r>
          </w:p>
        </w:tc>
        <w:tc>
          <w:tcPr>
            <w:tcW w:w="617" w:type="dxa"/>
            <w:vAlign w:val="center"/>
          </w:tcPr>
          <w:p>
            <w:pPr>
              <w:pStyle w:val="20"/>
              <w:adjustRightInd w:val="0"/>
              <w:snapToGrid w:val="0"/>
              <w:jc w:val="center"/>
              <w:rPr>
                <w:rFonts w:ascii="宋体" w:hAnsi="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35" w:type="dxa"/>
            <w:vMerge w:val="continue"/>
            <w:vAlign w:val="center"/>
          </w:tcPr>
          <w:p>
            <w:pPr>
              <w:pStyle w:val="20"/>
              <w:adjustRightInd w:val="0"/>
              <w:snapToGrid w:val="0"/>
              <w:jc w:val="center"/>
              <w:rPr>
                <w:rFonts w:ascii="宋体" w:hAnsi="宋体" w:cs="宋体"/>
                <w:color w:val="auto"/>
                <w:sz w:val="15"/>
                <w:szCs w:val="15"/>
              </w:rPr>
            </w:pPr>
          </w:p>
        </w:tc>
        <w:tc>
          <w:tcPr>
            <w:tcW w:w="691" w:type="dxa"/>
            <w:shd w:val="clear" w:color="auto" w:fill="auto"/>
            <w:vAlign w:val="center"/>
          </w:tcPr>
          <w:p>
            <w:pPr>
              <w:pStyle w:val="20"/>
              <w:adjustRightInd w:val="0"/>
              <w:snapToGrid w:val="0"/>
              <w:jc w:val="center"/>
              <w:rPr>
                <w:rFonts w:ascii="宋体" w:hAnsi="宋体" w:cs="宋体"/>
                <w:color w:val="auto"/>
                <w:sz w:val="15"/>
                <w:szCs w:val="15"/>
              </w:rPr>
            </w:pPr>
            <w:r>
              <w:rPr>
                <w:rFonts w:hint="eastAsia" w:ascii="宋体" w:hAnsi="宋体" w:cs="宋体"/>
                <w:color w:val="auto"/>
                <w:sz w:val="15"/>
                <w:szCs w:val="15"/>
              </w:rPr>
              <w:t>市南区</w:t>
            </w:r>
          </w:p>
        </w:tc>
        <w:tc>
          <w:tcPr>
            <w:tcW w:w="2384" w:type="dxa"/>
            <w:vAlign w:val="center"/>
          </w:tcPr>
          <w:p>
            <w:pPr>
              <w:pStyle w:val="20"/>
              <w:adjustRightInd w:val="0"/>
              <w:snapToGrid w:val="0"/>
              <w:rPr>
                <w:rFonts w:ascii="宋体" w:hAnsi="宋体" w:cs="宋体"/>
                <w:color w:val="auto"/>
                <w:sz w:val="15"/>
                <w:szCs w:val="15"/>
              </w:rPr>
            </w:pPr>
            <w:r>
              <w:rPr>
                <w:rFonts w:hint="eastAsia" w:ascii="宋体" w:hAnsi="宋体" w:cs="宋体"/>
                <w:color w:val="auto"/>
                <w:sz w:val="15"/>
                <w:szCs w:val="15"/>
              </w:rPr>
              <w:t>提供专项资金支持2000万元，其中，第一年1000万元（包括启动资金500万元和运营资金500万元），第二年、第三年每年运营资金500万元。</w:t>
            </w:r>
          </w:p>
        </w:tc>
        <w:tc>
          <w:tcPr>
            <w:tcW w:w="1475" w:type="dxa"/>
            <w:vAlign w:val="center"/>
          </w:tcPr>
          <w:p>
            <w:pPr>
              <w:pStyle w:val="20"/>
              <w:adjustRightInd w:val="0"/>
              <w:snapToGrid w:val="0"/>
              <w:jc w:val="center"/>
              <w:rPr>
                <w:rFonts w:ascii="宋体" w:hAnsi="宋体" w:cs="宋体"/>
                <w:color w:val="auto"/>
                <w:sz w:val="15"/>
                <w:szCs w:val="15"/>
              </w:rPr>
            </w:pPr>
            <w:r>
              <w:rPr>
                <w:rFonts w:hint="eastAsia" w:ascii="宋体" w:hAnsi="宋体" w:cs="宋体"/>
                <w:color w:val="auto"/>
                <w:sz w:val="15"/>
                <w:szCs w:val="15"/>
              </w:rPr>
              <w:t>995万元</w:t>
            </w:r>
          </w:p>
        </w:tc>
        <w:tc>
          <w:tcPr>
            <w:tcW w:w="713" w:type="dxa"/>
            <w:vAlign w:val="center"/>
          </w:tcPr>
          <w:p>
            <w:pPr>
              <w:pStyle w:val="20"/>
              <w:adjustRightInd w:val="0"/>
              <w:snapToGrid w:val="0"/>
              <w:jc w:val="center"/>
              <w:rPr>
                <w:rFonts w:ascii="宋体" w:hAnsi="宋体" w:cs="宋体"/>
                <w:color w:val="auto"/>
                <w:sz w:val="15"/>
                <w:szCs w:val="15"/>
              </w:rPr>
            </w:pPr>
            <w:r>
              <w:rPr>
                <w:rFonts w:hint="eastAsia" w:ascii="宋体" w:hAnsi="宋体" w:cs="宋体"/>
                <w:color w:val="auto"/>
                <w:sz w:val="15"/>
                <w:szCs w:val="15"/>
              </w:rPr>
              <w:t>-</w:t>
            </w:r>
          </w:p>
        </w:tc>
        <w:tc>
          <w:tcPr>
            <w:tcW w:w="1427" w:type="dxa"/>
            <w:vAlign w:val="center"/>
          </w:tcPr>
          <w:p>
            <w:pPr>
              <w:pStyle w:val="20"/>
              <w:adjustRightInd w:val="0"/>
              <w:snapToGrid w:val="0"/>
              <w:jc w:val="center"/>
              <w:rPr>
                <w:rFonts w:ascii="宋体" w:hAnsi="宋体" w:cs="宋体"/>
                <w:color w:val="auto"/>
                <w:sz w:val="15"/>
                <w:szCs w:val="15"/>
              </w:rPr>
            </w:pPr>
            <w:r>
              <w:rPr>
                <w:rFonts w:hint="eastAsia" w:ascii="宋体" w:hAnsi="宋体" w:cs="宋体"/>
                <w:color w:val="auto"/>
                <w:sz w:val="15"/>
                <w:szCs w:val="15"/>
              </w:rPr>
              <w:t>995万元</w:t>
            </w:r>
          </w:p>
        </w:tc>
        <w:tc>
          <w:tcPr>
            <w:tcW w:w="666" w:type="dxa"/>
            <w:vAlign w:val="center"/>
          </w:tcPr>
          <w:p>
            <w:pPr>
              <w:pStyle w:val="20"/>
              <w:adjustRightInd w:val="0"/>
              <w:snapToGrid w:val="0"/>
              <w:jc w:val="center"/>
              <w:rPr>
                <w:rFonts w:ascii="宋体" w:hAnsi="宋体" w:cs="宋体"/>
                <w:color w:val="auto"/>
                <w:sz w:val="15"/>
                <w:szCs w:val="15"/>
              </w:rPr>
            </w:pPr>
            <w:r>
              <w:rPr>
                <w:rFonts w:hint="eastAsia" w:ascii="宋体" w:hAnsi="宋体" w:cs="宋体"/>
                <w:color w:val="auto"/>
                <w:sz w:val="15"/>
                <w:szCs w:val="15"/>
              </w:rPr>
              <w:t>-</w:t>
            </w:r>
          </w:p>
        </w:tc>
        <w:tc>
          <w:tcPr>
            <w:tcW w:w="617" w:type="dxa"/>
            <w:vAlign w:val="center"/>
          </w:tcPr>
          <w:p>
            <w:pPr>
              <w:pStyle w:val="20"/>
              <w:adjustRightInd w:val="0"/>
              <w:snapToGrid w:val="0"/>
              <w:jc w:val="center"/>
              <w:rPr>
                <w:rFonts w:ascii="宋体" w:hAnsi="宋体" w:cs="宋体"/>
                <w:color w:val="auto"/>
                <w:sz w:val="15"/>
                <w:szCs w:val="15"/>
              </w:rPr>
            </w:pPr>
          </w:p>
        </w:tc>
      </w:tr>
    </w:tbl>
    <w:p>
      <w:pPr>
        <w:adjustRightInd w:val="0"/>
        <w:snapToGrid w:val="0"/>
        <w:spacing w:before="120" w:beforeLines="50" w:line="590" w:lineRule="exact"/>
        <w:ind w:firstLine="640" w:firstLineChars="200"/>
        <w:rPr>
          <w:rFonts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（二）项目绩效目标</w:t>
      </w:r>
    </w:p>
    <w:p>
      <w:pPr>
        <w:adjustRightInd w:val="0"/>
        <w:snapToGrid w:val="0"/>
        <w:spacing w:line="578"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1.总体目标。</w:t>
      </w:r>
      <w:r>
        <w:rPr>
          <w:rFonts w:hint="eastAsia" w:ascii="仿宋_GB2312" w:hAnsi="仿宋_GB2312" w:eastAsia="仿宋_GB2312" w:cs="仿宋_GB2312"/>
          <w:color w:val="auto"/>
          <w:sz w:val="32"/>
          <w:szCs w:val="40"/>
        </w:rPr>
        <w:t>根据市科技局与市南区人民政府签订的《2021年度局区（市）会商专项议定书》，以及与城阳区人民政府签订的《2021年度科技创新会商专项议定书》，梳理两个项目的总体目标为：</w:t>
      </w:r>
    </w:p>
    <w:p>
      <w:pPr>
        <w:adjustRightInd w:val="0"/>
        <w:snapToGrid w:val="0"/>
        <w:spacing w:line="578"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西电创新基地项目。在新一代信息技术领域建立包含公共服务平台、企业孵化聚集平台、技术创新联盟等载体的协同创新体系；通过建设信息技术产业技术研发中心结合不同行业建立科研创新平台；以西安电子科技大学在人工智能、大数据、物联网、区块链、网络信息安全等方面的优秀科技成果为依托面向产业需求建立成果转化基地；通过产教研融合模式培育和引进专业型科技人才增强青岛市在相关领域的高水平科技人才储备。形成可推广可持续的产教研融合发展的区域创新体系，助推青岛市新一代信息科技、人才与经济的融合创新发展。</w:t>
      </w:r>
    </w:p>
    <w:p>
      <w:pPr>
        <w:pStyle w:val="20"/>
        <w:adjustRightInd w:val="0"/>
        <w:snapToGrid w:val="0"/>
        <w:spacing w:line="578" w:lineRule="exact"/>
        <w:ind w:firstLine="640" w:firstLineChars="200"/>
        <w:rPr>
          <w:rFonts w:ascii="仿宋_GB2312" w:hAnsi="仿宋_GB2312" w:eastAsia="仿宋_GB2312" w:cs="仿宋_GB2312"/>
          <w:b/>
          <w:bCs/>
          <w:color w:val="auto"/>
          <w:sz w:val="32"/>
          <w:szCs w:val="40"/>
        </w:rPr>
      </w:pPr>
      <w:r>
        <w:rPr>
          <w:rFonts w:hint="eastAsia" w:ascii="仿宋_GB2312" w:hAnsi="仿宋_GB2312" w:eastAsia="仿宋_GB2312" w:cs="仿宋_GB2312"/>
          <w:color w:val="auto"/>
          <w:sz w:val="32"/>
          <w:szCs w:val="40"/>
        </w:rPr>
        <w:t>（2）认知人工智能研究院项目。围绕人工智能、脑神经科学和心理学领域开展交叉研究和技术应用，建设应用技术研发、孵化加速和转化投资平台，成立研究院公司和系列产业化公司，推动相关技术在医疗、教育、人力资源服务和社会治理等领域的应用和转化，带动青岛市相关产业的快速发展。</w:t>
      </w:r>
    </w:p>
    <w:p>
      <w:pPr>
        <w:adjustRightInd w:val="0"/>
        <w:snapToGrid w:val="0"/>
        <w:spacing w:line="578"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2.实施期目标。</w:t>
      </w:r>
      <w:r>
        <w:rPr>
          <w:rFonts w:hint="eastAsia" w:ascii="仿宋_GB2312" w:hAnsi="仿宋_GB2312" w:eastAsia="仿宋_GB2312" w:cs="仿宋_GB2312"/>
          <w:color w:val="auto"/>
          <w:sz w:val="32"/>
          <w:szCs w:val="40"/>
        </w:rPr>
        <w:t>根据《局区（市）会商项目任务书》及相关协议，梳理项目实施期主要绩效目标为：</w:t>
      </w:r>
    </w:p>
    <w:p>
      <w:pPr>
        <w:adjustRightInd w:val="0"/>
        <w:snapToGrid w:val="0"/>
        <w:spacing w:line="578"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西电创新基地项目（2024年5月1日—2025年4月30日）。以强化“产教研”融合创新能力为重点，优化“西电成果青岛转化”链条，全方位支撑和服务青岛市传统产业升级、新兴产业壮大、未来产业培育。联合青岛市行业骨干企业，组建联合实验室1个；建成并获批（认定）市级以上平台不少于1个；新申请发明专利不少于6项；新登记软件著作权不少于8项；培养新一代信息技术领域研究生人才不少于40人，在城阳区形成全日制硕士及以上专业学位研究生培养规模2000人以上；导入有应用前景的科技成果不少于10项，转化成果不少于6项；技术赋能服务企业不少于30家；带动工业互联网和新一代信息技术领域企业实现新增收入或产值不低于2.5亿元。</w:t>
      </w:r>
    </w:p>
    <w:p>
      <w:pPr>
        <w:adjustRightInd w:val="0"/>
        <w:snapToGrid w:val="0"/>
        <w:spacing w:line="578"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认知人工智能研究院项目（2024年8月1日—2025年7月31日）。完成面向人力资源的“安全用工风险评估”系统与场景适配性研究与产品化，开展面向精神卫生的基于瞳孔的认知加工算法研究与产品化工作，形成面向特殊行业场景的无感式情感计算数据质检算法研究相关的一系列核心自主知识产权。转化科技成果2项；申请发明专利2项；授权发明专利3项；引进人才/团队（博士）5个；完成特殊人群技术领域2项新产品研发并取得软件产品证书；形成或带动营业收入（含税）不少于1000万元；对特殊行业人群进行充分全面的心理健康筛查与心理健康知识普及，大幅占领社会公众心理健康服务市场。</w:t>
      </w:r>
    </w:p>
    <w:p>
      <w:pPr>
        <w:adjustRightInd w:val="0"/>
        <w:snapToGrid w:val="0"/>
        <w:spacing w:line="578" w:lineRule="exact"/>
        <w:ind w:firstLine="640" w:firstLineChars="200"/>
        <w:outlineLvl w:val="0"/>
        <w:rPr>
          <w:rFonts w:ascii="黑体" w:hAnsi="黑体" w:eastAsia="黑体" w:cs="黑体"/>
          <w:color w:val="auto"/>
          <w:sz w:val="32"/>
          <w:szCs w:val="40"/>
        </w:rPr>
      </w:pPr>
      <w:bookmarkStart w:id="1" w:name="_Toc20562"/>
      <w:r>
        <w:rPr>
          <w:rFonts w:hint="eastAsia" w:ascii="黑体" w:hAnsi="黑体" w:eastAsia="黑体" w:cs="黑体"/>
          <w:color w:val="auto"/>
          <w:sz w:val="32"/>
          <w:szCs w:val="40"/>
        </w:rPr>
        <w:t>二、绩效评价工作开展情况</w:t>
      </w:r>
      <w:bookmarkEnd w:id="1"/>
    </w:p>
    <w:p>
      <w:pPr>
        <w:adjustRightInd w:val="0"/>
        <w:snapToGrid w:val="0"/>
        <w:spacing w:line="578" w:lineRule="exact"/>
        <w:ind w:firstLine="640" w:firstLineChars="200"/>
        <w:rPr>
          <w:rFonts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（一）评价目的、评价对象和范围</w:t>
      </w:r>
    </w:p>
    <w:p>
      <w:pPr>
        <w:adjustRightInd w:val="0"/>
        <w:snapToGrid w:val="0"/>
        <w:spacing w:line="578"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1.评价目的。</w:t>
      </w:r>
      <w:r>
        <w:rPr>
          <w:rFonts w:hint="eastAsia" w:ascii="仿宋_GB2312" w:hAnsi="仿宋_GB2312" w:eastAsia="仿宋_GB2312" w:cs="仿宋_GB2312"/>
          <w:color w:val="auto"/>
          <w:sz w:val="32"/>
          <w:szCs w:val="40"/>
        </w:rPr>
        <w:t>通过对该项目开展绩效评价，全面评估项目实施的规范程度和创新成果转化效能，以及在助推青岛市新一代信息技术与人才、经济融合创新发展、带动相关产业发展等预期目标的达成情况，综合衡量财政资金使用效果，剖析实施过程中存在的问题与风险并提出针对性建议，为调整优化项目安排、促进财政资金高效配置、提高预算管理水平提供参考和依据。</w:t>
      </w:r>
    </w:p>
    <w:p>
      <w:pPr>
        <w:adjustRightInd w:val="0"/>
        <w:snapToGrid w:val="0"/>
        <w:spacing w:line="578"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2.评价对象。</w:t>
      </w:r>
      <w:r>
        <w:rPr>
          <w:rFonts w:hint="eastAsia" w:ascii="仿宋_GB2312" w:hAnsi="仿宋_GB2312" w:eastAsia="仿宋_GB2312" w:cs="仿宋_GB2312"/>
          <w:color w:val="auto"/>
          <w:sz w:val="32"/>
          <w:szCs w:val="40"/>
        </w:rPr>
        <w:t>西电创新基地和认知人工智能研究院两个局区（市）会商项目。</w:t>
      </w:r>
    </w:p>
    <w:p>
      <w:pPr>
        <w:adjustRightInd w:val="0"/>
        <w:snapToGrid w:val="0"/>
        <w:spacing w:line="578"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3.评价范围。</w:t>
      </w:r>
      <w:r>
        <w:rPr>
          <w:rFonts w:hint="eastAsia" w:ascii="仿宋_GB2312" w:hAnsi="仿宋_GB2312" w:eastAsia="仿宋_GB2312" w:cs="仿宋_GB2312"/>
          <w:color w:val="auto"/>
          <w:sz w:val="32"/>
          <w:szCs w:val="40"/>
        </w:rPr>
        <w:t>2024年度局区（市）会商延续性项目预算750万元所对应的《会商专项议定书》及《区（市）会商项目任务书》（第三期）等相关任务完成情况及实施成效，其中，西电创新基地项目实施期间为2024年5月1日至2025年4月30日；认知人工智能研究院项目实施期间为2024年8月1日至2025年7月31日。</w:t>
      </w:r>
    </w:p>
    <w:p>
      <w:pPr>
        <w:adjustRightInd w:val="0"/>
        <w:snapToGrid w:val="0"/>
        <w:spacing w:line="578" w:lineRule="exact"/>
        <w:ind w:firstLine="640" w:firstLineChars="200"/>
        <w:rPr>
          <w:rFonts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（二）评价思路、评价重点、评价指标体系和评价标准</w:t>
      </w:r>
    </w:p>
    <w:p>
      <w:pPr>
        <w:adjustRightInd w:val="0"/>
        <w:snapToGrid w:val="0"/>
        <w:spacing w:line="578"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1.评价思路。</w:t>
      </w:r>
      <w:r>
        <w:rPr>
          <w:rFonts w:hint="eastAsia" w:ascii="仿宋_GB2312" w:hAnsi="仿宋_GB2312" w:eastAsia="仿宋_GB2312" w:cs="仿宋_GB2312"/>
          <w:color w:val="auto"/>
          <w:sz w:val="32"/>
          <w:szCs w:val="40"/>
        </w:rPr>
        <w:t>本次评价坚持绩效导向、客观公正、操作可行、主体分明的原则，根据财政部关于印发《项目支出绩效评价管理办法》的通知（财预〔2020〕10号）、</w:t>
      </w:r>
      <w:r>
        <w:rPr>
          <w:rFonts w:hint="eastAsia" w:ascii="仿宋_GB2312" w:hAnsi="仿宋_GB2312" w:eastAsia="仿宋_GB2312" w:cs="仿宋_GB2312"/>
          <w:color w:val="auto"/>
          <w:sz w:val="32"/>
          <w:szCs w:val="40"/>
          <w:lang w:val="zh-TW" w:eastAsia="zh-TW"/>
        </w:rPr>
        <w:t>《市级财政</w:t>
      </w:r>
      <w:r>
        <w:rPr>
          <w:rFonts w:hint="eastAsia" w:ascii="仿宋_GB2312" w:hAnsi="仿宋_GB2312" w:eastAsia="仿宋_GB2312" w:cs="仿宋_GB2312"/>
          <w:color w:val="auto"/>
          <w:sz w:val="32"/>
          <w:szCs w:val="40"/>
          <w:lang w:val="zh-TW"/>
        </w:rPr>
        <w:t>绩效</w:t>
      </w:r>
      <w:r>
        <w:rPr>
          <w:rFonts w:hint="eastAsia" w:ascii="仿宋_GB2312" w:hAnsi="仿宋_GB2312" w:eastAsia="仿宋_GB2312" w:cs="仿宋_GB2312"/>
          <w:color w:val="auto"/>
          <w:sz w:val="32"/>
          <w:szCs w:val="40"/>
          <w:lang w:val="zh-TW" w:eastAsia="zh-TW"/>
        </w:rPr>
        <w:t>评价</w:t>
      </w:r>
      <w:r>
        <w:rPr>
          <w:rFonts w:hint="eastAsia" w:ascii="仿宋_GB2312" w:hAnsi="仿宋_GB2312" w:eastAsia="仿宋_GB2312" w:cs="仿宋_GB2312"/>
          <w:color w:val="auto"/>
          <w:sz w:val="32"/>
          <w:szCs w:val="40"/>
          <w:lang w:val="zh-TW"/>
        </w:rPr>
        <w:t>操作指南</w:t>
      </w:r>
      <w:r>
        <w:rPr>
          <w:rFonts w:hint="eastAsia" w:ascii="仿宋_GB2312" w:hAnsi="仿宋_GB2312" w:eastAsia="仿宋_GB2312" w:cs="仿宋_GB2312"/>
          <w:color w:val="auto"/>
          <w:sz w:val="32"/>
          <w:szCs w:val="40"/>
          <w:lang w:val="zh-TW" w:eastAsia="zh-TW"/>
        </w:rPr>
        <w:t>》</w:t>
      </w:r>
      <w:r>
        <w:rPr>
          <w:rFonts w:hint="eastAsia" w:ascii="仿宋_GB2312" w:hAnsi="仿宋_GB2312" w:eastAsia="仿宋_GB2312" w:cs="仿宋_GB2312"/>
          <w:color w:val="auto"/>
          <w:sz w:val="32"/>
          <w:szCs w:val="40"/>
          <w:lang w:val="zh-TW"/>
        </w:rPr>
        <w:t>（</w:t>
      </w:r>
      <w:r>
        <w:rPr>
          <w:rFonts w:hint="eastAsia" w:ascii="仿宋_GB2312" w:hAnsi="仿宋_GB2312" w:eastAsia="仿宋_GB2312" w:cs="仿宋_GB2312"/>
          <w:color w:val="auto"/>
          <w:sz w:val="32"/>
          <w:szCs w:val="40"/>
        </w:rPr>
        <w:t>青财绩〔2020〕6号）等文件要求制定绩效评价指标体系及具体评价方案。评价过程中结合会商专项议定书确定的目标及西电创新基地和认知人工智能研究院两个项目的特点，有针对性地梳理项目资料，核查项目实施管理规范性、任务目标完成度及资金使用合规性，综合评估项目在创新成果转化、产业赋能、人才培育等方面的实施成效，聚焦问题导向，针对性地提出合理化建议。</w:t>
      </w:r>
    </w:p>
    <w:p>
      <w:pPr>
        <w:adjustRightInd w:val="0"/>
        <w:snapToGrid w:val="0"/>
        <w:spacing w:line="578"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2.评价重点。</w:t>
      </w:r>
      <w:r>
        <w:rPr>
          <w:rFonts w:hint="eastAsia" w:ascii="仿宋_GB2312" w:hAnsi="仿宋_GB2312" w:eastAsia="仿宋_GB2312" w:cs="仿宋_GB2312"/>
          <w:color w:val="auto"/>
          <w:sz w:val="32"/>
          <w:szCs w:val="40"/>
        </w:rPr>
        <w:t>本次绩效评价重点关注会商项目的目标达成情况、实施管理的规范性、实际产出效益，以及项目的可持续性与示范价值。</w:t>
      </w:r>
    </w:p>
    <w:p>
      <w:pPr>
        <w:adjustRightInd w:val="0"/>
        <w:snapToGrid w:val="0"/>
        <w:spacing w:line="578"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（1）目标达成情况。对比项目三期任务书，核查量化指标完成情况，其中，西电创新基地项目重点关注联合实验室建设情况，发明专利及软件著作申请数量；研究生培养规模；技术赋能服务企业数量等。</w:t>
      </w:r>
      <w:r>
        <w:rPr>
          <w:rFonts w:hint="eastAsia" w:ascii="仿宋_GB2312" w:hAnsi="仿宋_GB2312" w:eastAsia="仿宋_GB2312" w:cs="仿宋_GB2312"/>
          <w:color w:val="auto"/>
          <w:sz w:val="32"/>
          <w:szCs w:val="40"/>
          <w:highlight w:val="none"/>
        </w:rPr>
        <w:t>认知人工智能研究院项目重点关注新获授权发明专利情况；科技成果落地情况；博士人才/团队引进数量；新产品研发情况等。</w:t>
      </w:r>
    </w:p>
    <w:p>
      <w:pPr>
        <w:adjustRightInd w:val="0"/>
        <w:snapToGrid w:val="0"/>
        <w:spacing w:line="578"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过程实施管理。依据相关管理办法，审查项目全流程实施管理的规范性。重点关注市、区两级管理部门是否对项目实施有效的过程管理，定期开展监督检查（中期评估）及绩效评价，及时跟踪项目进度并协调解决问题；项目承担单位是否</w:t>
      </w:r>
      <w:r>
        <w:rPr>
          <w:rFonts w:ascii="仿宋_GB2312" w:hAnsi="仿宋_GB2312" w:eastAsia="仿宋_GB2312" w:cs="仿宋_GB2312"/>
          <w:color w:val="auto"/>
          <w:sz w:val="32"/>
          <w:szCs w:val="40"/>
        </w:rPr>
        <w:t>严格执行青岛市科技计划项目管理和科技专项资金管理有关规定，建立健全科研、财务、诚信等内部管理制度</w:t>
      </w:r>
      <w:r>
        <w:rPr>
          <w:rFonts w:hint="eastAsia" w:ascii="仿宋_GB2312" w:hAnsi="仿宋_GB2312" w:eastAsia="仿宋_GB2312" w:cs="仿宋_GB2312"/>
          <w:color w:val="auto"/>
          <w:sz w:val="32"/>
          <w:szCs w:val="40"/>
        </w:rPr>
        <w:t>等。</w:t>
      </w:r>
    </w:p>
    <w:p>
      <w:pPr>
        <w:adjustRightInd w:val="0"/>
        <w:snapToGrid w:val="0"/>
        <w:spacing w:line="578"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3）实际产出效益。西电创新基地重点关注项目在青岛市新一代信息技术领域协同创新、成果转化、人才培养和产业培育中的作用及贡献；带动工业互联网及新一代信息技术领域企业实现新增收入或产值的实际成效；以及人才培养后的留青情况。认知人工智能研究院项目重点关注产业化收入及特殊人群行业形成或带动的营业收入情况；在医疗、教育、国防军事及社会治理领域，基于类认知人工智能技术的科技成果转化及应用情况；在孵化企业/项目、培育高新技术企业等方面的工作成效；系统评估其对完善社会心理服务体系、提升公众心理健康水平的实际贡献。</w:t>
      </w:r>
    </w:p>
    <w:p>
      <w:pPr>
        <w:adjustRightInd w:val="0"/>
        <w:snapToGrid w:val="0"/>
        <w:spacing w:line="578"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4）项目的可持续性与示范价值。重点评价西电创新基地项目重点关注产教研融合机制下专业型科技人才的培育与引进，对增强青岛市相关领域高水平科技人才储备的支撑作用；推进科研与人才培养国际化进程、国际交流平台的搭建效能及与城阳区教育系统的合作成效。认知人工智能研究院项目围绕人工智能、脑神经科学与心理学领域开展的交叉研究及技术应用情况，推动相关技术在医疗、教育、人力资源服务、社会治理等领域的应用和转化能力，以及对青岛市相关产业发展的带动效应。</w:t>
      </w:r>
    </w:p>
    <w:p>
      <w:pPr>
        <w:adjustRightInd w:val="0"/>
        <w:snapToGrid w:val="0"/>
        <w:spacing w:line="578" w:lineRule="exact"/>
        <w:ind w:firstLine="643" w:firstLineChars="200"/>
        <w:rPr>
          <w:rFonts w:ascii="Segoe UI" w:hAnsi="Segoe UI" w:eastAsia="Segoe UI" w:cs="Segoe UI"/>
          <w:color w:val="auto"/>
          <w:sz w:val="16"/>
          <w:szCs w:val="16"/>
          <w:shd w:val="clear" w:color="auto" w:fill="FFFFFF"/>
        </w:rPr>
      </w:pPr>
      <w:r>
        <w:rPr>
          <w:rFonts w:hint="eastAsia" w:ascii="仿宋_GB2312" w:hAnsi="仿宋_GB2312" w:eastAsia="仿宋_GB2312" w:cs="仿宋_GB2312"/>
          <w:b/>
          <w:bCs/>
          <w:color w:val="auto"/>
          <w:sz w:val="32"/>
          <w:szCs w:val="40"/>
        </w:rPr>
        <w:t>3.评价指标体系。</w:t>
      </w:r>
      <w:r>
        <w:rPr>
          <w:rFonts w:hint="eastAsia" w:ascii="仿宋_GB2312" w:hAnsi="仿宋_GB2312" w:eastAsia="仿宋_GB2312" w:cs="仿宋_GB2312"/>
          <w:color w:val="auto"/>
          <w:sz w:val="32"/>
          <w:szCs w:val="40"/>
        </w:rPr>
        <w:t>本次绩效评价围绕项目三期建设任务，针对西电创新基地项目和认知人工智能研究院项目分别从决策（10%）、过程（25%）、产出（25%）和效益（40%）4个维度构建绩效评价指标体系，聚焦项目实施效果差异化设置评价指标及权重，详见附件1、附件2。</w:t>
      </w:r>
    </w:p>
    <w:p>
      <w:pPr>
        <w:adjustRightInd w:val="0"/>
        <w:snapToGrid w:val="0"/>
        <w:spacing w:line="578" w:lineRule="exact"/>
        <w:ind w:firstLine="640" w:firstLineChars="200"/>
        <w:rPr>
          <w:rFonts w:ascii="Segoe UI" w:hAnsi="Segoe UI" w:eastAsia="Segoe UI" w:cs="Segoe UI"/>
          <w:color w:val="auto"/>
          <w:sz w:val="16"/>
          <w:szCs w:val="16"/>
          <w:shd w:val="clear" w:color="auto" w:fill="FFFFFF"/>
        </w:rPr>
      </w:pPr>
      <w:r>
        <w:rPr>
          <w:rFonts w:hint="eastAsia" w:ascii="仿宋_GB2312" w:hAnsi="仿宋_GB2312" w:eastAsia="仿宋_GB2312" w:cs="仿宋_GB2312"/>
          <w:color w:val="auto"/>
          <w:sz w:val="32"/>
          <w:szCs w:val="40"/>
        </w:rPr>
        <w:t>（1）项目决策情况。包括项目立项、绩效目标和资金投入3个二级指标，主要考核项目立项充分性、程序规范性，绩效目标合理性、明确性；重点关注预算安排与《会商专项议定书》任务目标匹配度、资金分配合理性。</w:t>
      </w:r>
    </w:p>
    <w:p>
      <w:pPr>
        <w:adjustRightInd w:val="0"/>
        <w:snapToGrid w:val="0"/>
        <w:spacing w:line="578" w:lineRule="exact"/>
        <w:ind w:firstLine="640" w:firstLineChars="200"/>
        <w:rPr>
          <w:rFonts w:ascii="Segoe UI" w:hAnsi="Segoe UI" w:eastAsia="Segoe UI" w:cs="Segoe UI"/>
          <w:color w:val="auto"/>
          <w:sz w:val="16"/>
          <w:szCs w:val="16"/>
          <w:shd w:val="clear" w:color="auto" w:fill="FFFFFF"/>
        </w:rPr>
      </w:pPr>
      <w:r>
        <w:rPr>
          <w:rFonts w:hint="eastAsia" w:ascii="仿宋_GB2312" w:hAnsi="仿宋_GB2312" w:eastAsia="仿宋_GB2312" w:cs="仿宋_GB2312"/>
          <w:color w:val="auto"/>
          <w:sz w:val="32"/>
          <w:szCs w:val="40"/>
        </w:rPr>
        <w:t>（2）项目过程情况。包括资金管理和组织实施2个二级指标，主要考核资金到位及执行情况、组织实施规范性、制度健全性，重点核实市科技局监督验收、区（市）政府项目推进、承担单位任务执行等职责履行情况。</w:t>
      </w:r>
    </w:p>
    <w:p>
      <w:pPr>
        <w:adjustRightInd w:val="0"/>
        <w:snapToGrid w:val="0"/>
        <w:spacing w:line="578" w:lineRule="exact"/>
        <w:ind w:firstLine="640" w:firstLineChars="200"/>
        <w:rPr>
          <w:rFonts w:ascii="Segoe UI" w:hAnsi="Segoe UI" w:eastAsia="Segoe UI" w:cs="Segoe UI"/>
          <w:color w:val="auto"/>
          <w:sz w:val="16"/>
          <w:szCs w:val="16"/>
          <w:shd w:val="clear" w:color="auto" w:fill="FFFFFF"/>
        </w:rPr>
      </w:pPr>
      <w:r>
        <w:rPr>
          <w:rFonts w:hint="eastAsia" w:ascii="仿宋_GB2312" w:hAnsi="仿宋_GB2312" w:eastAsia="仿宋_GB2312" w:cs="仿宋_GB2312"/>
          <w:color w:val="auto"/>
          <w:sz w:val="32"/>
          <w:szCs w:val="40"/>
        </w:rPr>
        <w:t>（3）项目产出情况。包括产出数量、质量、时效和成本4个二级指标，聚焦项目</w:t>
      </w:r>
      <w:r>
        <w:rPr>
          <w:rFonts w:hint="eastAsia" w:ascii="仿宋_GB2312" w:hAnsi="仿宋_GB2312" w:eastAsia="仿宋_GB2312" w:cs="仿宋_GB2312"/>
          <w:color w:val="auto"/>
          <w:sz w:val="32"/>
          <w:szCs w:val="40"/>
          <w:highlight w:val="none"/>
        </w:rPr>
        <w:t>任务</w:t>
      </w:r>
      <w:r>
        <w:rPr>
          <w:rFonts w:hint="eastAsia" w:ascii="仿宋_GB2312" w:hAnsi="仿宋_GB2312" w:eastAsia="仿宋_GB2312" w:cs="仿宋_GB2312"/>
          <w:color w:val="auto"/>
          <w:sz w:val="32"/>
          <w:szCs w:val="40"/>
          <w:highlight w:val="none"/>
          <w:lang w:val="en-US" w:eastAsia="zh-CN"/>
        </w:rPr>
        <w:t>目标</w:t>
      </w:r>
      <w:r>
        <w:rPr>
          <w:rFonts w:hint="eastAsia" w:ascii="仿宋_GB2312" w:hAnsi="仿宋_GB2312" w:eastAsia="仿宋_GB2312" w:cs="仿宋_GB2312"/>
          <w:color w:val="auto"/>
          <w:sz w:val="32"/>
          <w:szCs w:val="40"/>
        </w:rPr>
        <w:t>，重点核实高端人才引进、平台建设、技术赋能服务、科研成果等核心任务完成进度；评估工作质量，分析财政投入与成效适配度及是否存在投入浪费，同时关注自筹资金落实情况。</w:t>
      </w:r>
    </w:p>
    <w:p>
      <w:pPr>
        <w:adjustRightInd w:val="0"/>
        <w:snapToGrid w:val="0"/>
        <w:spacing w:line="578" w:lineRule="exact"/>
        <w:ind w:firstLine="640" w:firstLineChars="200"/>
        <w:rPr>
          <w:rFonts w:ascii="Segoe UI" w:hAnsi="Segoe UI" w:eastAsia="Segoe UI" w:cs="Segoe UI"/>
          <w:color w:val="auto"/>
          <w:sz w:val="16"/>
          <w:szCs w:val="16"/>
          <w:shd w:val="clear" w:color="auto" w:fill="FFFFFF"/>
        </w:rPr>
      </w:pPr>
      <w:r>
        <w:rPr>
          <w:rFonts w:hint="eastAsia" w:ascii="仿宋_GB2312" w:hAnsi="仿宋_GB2312" w:eastAsia="仿宋_GB2312" w:cs="仿宋_GB2312"/>
          <w:color w:val="auto"/>
          <w:sz w:val="32"/>
          <w:szCs w:val="40"/>
        </w:rPr>
        <w:t>（4）项目效益情况。包括项目经济效益、社会效益、可持续影响和服务对象满意度4个二级指标。重点核查技术转化带动效应、创新成果落地情况、产教研融合培育引进专业人才对青岛科技人才储备的作用，以及特殊行业人群心理健康筛查普及和社会心理健康服务市场拓展情况。同时，通过问卷调查、访谈等方式收集企业、人才等服务群</w:t>
      </w:r>
      <w:r>
        <w:rPr>
          <w:rFonts w:hint="eastAsia" w:ascii="仿宋_GB2312" w:hAnsi="仿宋_GB2312" w:eastAsia="仿宋_GB2312" w:cs="仿宋_GB2312"/>
          <w:color w:val="auto"/>
          <w:sz w:val="32"/>
          <w:szCs w:val="40"/>
          <w:lang w:val="en-US" w:eastAsia="zh-CN"/>
        </w:rPr>
        <w:t>体</w:t>
      </w:r>
      <w:r>
        <w:rPr>
          <w:rFonts w:hint="eastAsia" w:ascii="仿宋_GB2312" w:hAnsi="仿宋_GB2312" w:eastAsia="仿宋_GB2312" w:cs="仿宋_GB2312"/>
          <w:color w:val="auto"/>
          <w:sz w:val="32"/>
          <w:szCs w:val="40"/>
        </w:rPr>
        <w:t>反馈，评估项目社会认可度。</w:t>
      </w:r>
    </w:p>
    <w:p>
      <w:pPr>
        <w:adjustRightInd w:val="0"/>
        <w:snapToGrid w:val="0"/>
        <w:spacing w:line="578" w:lineRule="exact"/>
        <w:ind w:firstLine="643" w:firstLineChars="200"/>
        <w:rPr>
          <w:rFonts w:ascii="仿宋_GB2312" w:hAnsi="Times New Roman" w:eastAsia="仿宋_GB2312" w:cs="Times New Roman"/>
          <w:color w:val="auto"/>
          <w:sz w:val="32"/>
          <w:szCs w:val="32"/>
        </w:rPr>
      </w:pPr>
      <w:r>
        <w:rPr>
          <w:rFonts w:hint="eastAsia" w:ascii="仿宋_GB2312" w:hAnsi="仿宋_GB2312" w:eastAsia="仿宋_GB2312" w:cs="仿宋_GB2312"/>
          <w:b/>
          <w:bCs/>
          <w:color w:val="auto"/>
          <w:sz w:val="32"/>
          <w:szCs w:val="40"/>
        </w:rPr>
        <w:t>4.评价标准。</w:t>
      </w:r>
      <w:r>
        <w:rPr>
          <w:rFonts w:hint="eastAsia" w:ascii="仿宋_GB2312" w:hAnsi="仿宋_GB2312" w:eastAsia="仿宋_GB2312" w:cs="仿宋_GB2312"/>
          <w:color w:val="auto"/>
          <w:sz w:val="32"/>
          <w:szCs w:val="40"/>
        </w:rPr>
        <w:t>绩效评价标准制定过程中，依据局区（市）会商相关管理办法，参考相关行业专家意见，针对项目特点及具体评价指标，确定绩效评价要点和评价标准。具体评定标准以《会商专项议定书》《局区（市）会商项目任务书》《战略合作协议》《西安电子科技大学青岛产教融合研究生联合培养基地协议》等文件约定的任务目标、行业平均水平、节点计划等为依据，按照评价要点对项目实际执行情况进行量化评分。</w:t>
      </w:r>
    </w:p>
    <w:p>
      <w:pPr>
        <w:adjustRightInd w:val="0"/>
        <w:snapToGrid w:val="0"/>
        <w:spacing w:line="578" w:lineRule="exact"/>
        <w:ind w:firstLine="640" w:firstLineChars="200"/>
        <w:rPr>
          <w:rFonts w:ascii="Segoe UI" w:hAnsi="Segoe UI" w:eastAsia="Segoe UI" w:cs="Segoe UI"/>
          <w:color w:val="auto"/>
          <w:sz w:val="16"/>
          <w:szCs w:val="16"/>
          <w:shd w:val="clear" w:color="auto" w:fill="FFFFFF"/>
        </w:rPr>
      </w:pPr>
      <w:r>
        <w:rPr>
          <w:rFonts w:hint="eastAsia" w:ascii="仿宋_GB2312" w:hAnsi="仿宋_GB2312" w:eastAsia="仿宋_GB2312" w:cs="仿宋_GB2312"/>
          <w:color w:val="auto"/>
          <w:sz w:val="32"/>
          <w:szCs w:val="40"/>
        </w:rPr>
        <w:t>项目评价结果总分为100分，根据《青岛市市级项目支出预算绩效管理结果应用办法》（青财绩〔2023〕5号），等级划分为四档：90（含）-100分为优；80（含）-90分为良；60（含）-80分为中；0-60分为差。对照西电创新基地、认知人工智能研究院两个项目各自的评价指标体系分别独立打分。</w:t>
      </w:r>
    </w:p>
    <w:p>
      <w:pPr>
        <w:adjustRightInd w:val="0"/>
        <w:snapToGrid w:val="0"/>
        <w:spacing w:line="578" w:lineRule="exact"/>
        <w:ind w:firstLine="640" w:firstLineChars="200"/>
        <w:rPr>
          <w:rFonts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（三）评价组织实施与评价方法</w:t>
      </w:r>
    </w:p>
    <w:p>
      <w:pPr>
        <w:adjustRightInd w:val="0"/>
        <w:snapToGrid w:val="0"/>
        <w:spacing w:line="578"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1.评价组织实施。</w:t>
      </w:r>
      <w:r>
        <w:rPr>
          <w:rFonts w:hint="eastAsia" w:ascii="仿宋_GB2312" w:hAnsi="仿宋_GB2312" w:eastAsia="仿宋_GB2312" w:cs="仿宋_GB2312"/>
          <w:color w:val="auto"/>
          <w:sz w:val="32"/>
          <w:szCs w:val="40"/>
        </w:rPr>
        <w:t>主要包括前期准备、组织实施、撰写及提交绩效评价报告等环节和程序。</w:t>
      </w:r>
    </w:p>
    <w:p>
      <w:pPr>
        <w:adjustRightInd w:val="0"/>
        <w:snapToGrid w:val="0"/>
        <w:spacing w:line="578"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（1）前期准备</w:t>
      </w:r>
      <w:r>
        <w:rPr>
          <w:rFonts w:hint="eastAsia" w:ascii="仿宋_GB2312" w:hAnsi="Times New Roman" w:eastAsia="仿宋_GB2312" w:cs="Times New Roman"/>
          <w:color w:val="auto"/>
          <w:sz w:val="32"/>
          <w:szCs w:val="32"/>
        </w:rPr>
        <w:t>。</w:t>
      </w:r>
      <w:r>
        <w:rPr>
          <w:rFonts w:hint="eastAsia" w:ascii="仿宋_GB2312" w:hAnsi="仿宋_GB2312" w:eastAsia="仿宋_GB2312" w:cs="仿宋_GB2312"/>
          <w:color w:val="auto"/>
          <w:sz w:val="32"/>
          <w:szCs w:val="40"/>
        </w:rPr>
        <w:t>成立评价工作组，梳理项目政策文件，了解项目基本情况及资金安排，明确评价目标与要求，草拟评价工作方案及指标体系。制定项目资料清单，核实分析项目资料及基础数据，结合专家意见完善评价方案及指标体系。征求市财政局、市科技局的意见，根据建议优化实施方案。</w:t>
      </w:r>
    </w:p>
    <w:p>
      <w:pPr>
        <w:adjustRightInd w:val="0"/>
        <w:snapToGrid w:val="0"/>
        <w:spacing w:line="578"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（2）组织实施阶段</w:t>
      </w:r>
      <w:r>
        <w:rPr>
          <w:rFonts w:hint="eastAsia" w:ascii="仿宋_GB2312" w:hAnsi="楷体" w:eastAsia="仿宋_GB2312" w:cs="仿宋_GB2312"/>
          <w:color w:val="auto"/>
          <w:sz w:val="32"/>
          <w:szCs w:val="32"/>
        </w:rPr>
        <w:t>。开展现场评价，</w:t>
      </w:r>
      <w:r>
        <w:rPr>
          <w:rFonts w:hint="eastAsia" w:ascii="仿宋_GB2312" w:hAnsi="仿宋_GB2312" w:eastAsia="仿宋_GB2312" w:cs="仿宋_GB2312"/>
          <w:color w:val="auto"/>
          <w:sz w:val="32"/>
          <w:szCs w:val="40"/>
        </w:rPr>
        <w:t>通过资料审查、数据核验、访谈调研等方式评价项目执行情况。开展社会调查收集服务群体反馈，客观评价项目社会成效。</w:t>
      </w:r>
    </w:p>
    <w:p>
      <w:pPr>
        <w:adjustRightInd w:val="0"/>
        <w:snapToGrid w:val="0"/>
        <w:spacing w:line="578"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（3）撰写提交绩效评价报告</w:t>
      </w:r>
      <w:r>
        <w:rPr>
          <w:rFonts w:hint="eastAsia" w:ascii="仿宋_GB2312" w:hAnsi="楷体" w:eastAsia="仿宋_GB2312" w:cs="仿宋_GB2312"/>
          <w:color w:val="auto"/>
          <w:sz w:val="32"/>
          <w:szCs w:val="32"/>
        </w:rPr>
        <w:t>。综合前期项目资料、调研结果及专家意见撰写评价报告，经公司内部</w:t>
      </w:r>
      <w:r>
        <w:rPr>
          <w:rFonts w:hint="eastAsia" w:ascii="仿宋_GB2312" w:hAnsi="仿宋_GB2312" w:eastAsia="仿宋_GB2312" w:cs="仿宋_GB2312"/>
          <w:color w:val="auto"/>
          <w:sz w:val="32"/>
          <w:szCs w:val="40"/>
        </w:rPr>
        <w:t>“三级复核”后向市财政局提交初稿。据评审意见修改完善，经市财政局、市科技局确认后，提交正式绩效评价报告并归档。</w:t>
      </w:r>
    </w:p>
    <w:p>
      <w:pPr>
        <w:adjustRightInd w:val="0"/>
        <w:snapToGrid w:val="0"/>
        <w:spacing w:line="578" w:lineRule="exact"/>
        <w:ind w:firstLine="643" w:firstLineChars="200"/>
        <w:rPr>
          <w:rFonts w:ascii="仿宋_GB2312" w:eastAsia="仿宋_GB2312"/>
          <w:color w:val="auto"/>
          <w:sz w:val="32"/>
          <w:szCs w:val="32"/>
        </w:rPr>
      </w:pPr>
      <w:r>
        <w:rPr>
          <w:rFonts w:hint="eastAsia" w:ascii="仿宋_GB2312" w:hAnsi="仿宋_GB2312" w:eastAsia="仿宋_GB2312" w:cs="仿宋_GB2312"/>
          <w:b/>
          <w:bCs/>
          <w:color w:val="auto"/>
          <w:sz w:val="32"/>
          <w:szCs w:val="40"/>
        </w:rPr>
        <w:t>2.评价方法。</w:t>
      </w:r>
      <w:r>
        <w:rPr>
          <w:rFonts w:hint="eastAsia" w:ascii="仿宋_GB2312" w:hAnsi="仿宋_GB2312" w:eastAsia="仿宋_GB2312" w:cs="仿宋_GB2312"/>
          <w:color w:val="auto"/>
          <w:sz w:val="32"/>
          <w:szCs w:val="40"/>
        </w:rPr>
        <w:t>本次评价主要采用比较法、因素分析法、成本效益法、公众评判法等方法，通过现场评价的方式开展。</w:t>
      </w:r>
      <w:r>
        <w:rPr>
          <w:rFonts w:hint="eastAsia" w:ascii="仿宋_GB2312" w:eastAsia="仿宋_GB2312"/>
          <w:b/>
          <w:bCs/>
          <w:color w:val="auto"/>
          <w:sz w:val="32"/>
          <w:szCs w:val="32"/>
        </w:rPr>
        <w:t>一是</w:t>
      </w:r>
      <w:r>
        <w:rPr>
          <w:rFonts w:hint="eastAsia" w:ascii="仿宋_GB2312" w:eastAsia="仿宋_GB2312"/>
          <w:color w:val="auto"/>
          <w:sz w:val="32"/>
          <w:szCs w:val="32"/>
        </w:rPr>
        <w:t>与市科技局、城阳区科技局、市南区科技局、西电青岛研究院、认知人工智能研究院等部门和单位进行访谈。</w:t>
      </w:r>
      <w:r>
        <w:rPr>
          <w:rFonts w:hint="eastAsia" w:ascii="仿宋_GB2312" w:eastAsia="仿宋_GB2312"/>
          <w:b/>
          <w:bCs/>
          <w:color w:val="auto"/>
          <w:sz w:val="32"/>
          <w:szCs w:val="32"/>
        </w:rPr>
        <w:t>二是</w:t>
      </w:r>
      <w:r>
        <w:rPr>
          <w:rFonts w:hint="eastAsia" w:ascii="仿宋_GB2312" w:eastAsia="仿宋_GB2312"/>
          <w:color w:val="auto"/>
          <w:sz w:val="32"/>
          <w:szCs w:val="32"/>
        </w:rPr>
        <w:t>对研究院相关任务完成情况开展调研，对项目实施管理、取得成效进行详细考察。现场评价</w:t>
      </w:r>
      <w:r>
        <w:rPr>
          <w:rFonts w:hint="eastAsia" w:ascii="仿宋_GB2312" w:hAnsi="仿宋_GB2312" w:eastAsia="仿宋_GB2312" w:cs="仿宋_GB2312"/>
          <w:color w:val="auto"/>
          <w:sz w:val="32"/>
          <w:szCs w:val="40"/>
        </w:rPr>
        <w:t>覆盖项目组织实施单位总量的100%、项目预算总金额的100%。</w:t>
      </w:r>
    </w:p>
    <w:p>
      <w:pPr>
        <w:adjustRightInd w:val="0"/>
        <w:snapToGrid w:val="0"/>
        <w:spacing w:line="578" w:lineRule="exact"/>
        <w:ind w:firstLine="640" w:firstLineChars="200"/>
        <w:rPr>
          <w:rFonts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（四）评价局限性</w:t>
      </w:r>
    </w:p>
    <w:p>
      <w:pPr>
        <w:adjustRightInd w:val="0"/>
        <w:snapToGrid w:val="0"/>
        <w:spacing w:line="578" w:lineRule="exact"/>
        <w:ind w:firstLine="640" w:firstLineChars="200"/>
        <w:rPr>
          <w:rFonts w:ascii="仿宋_GB2312" w:hAnsi="仿宋_GB2312" w:eastAsia="仿宋_GB2312" w:cs="仿宋_GB2312"/>
          <w:color w:val="auto"/>
          <w:sz w:val="32"/>
          <w:szCs w:val="40"/>
        </w:rPr>
      </w:pPr>
      <w:r>
        <w:rPr>
          <w:rFonts w:hint="eastAsia" w:ascii="仿宋_GB2312" w:hAnsi="仿宋" w:eastAsia="仿宋_GB2312" w:cs="仿宋"/>
          <w:color w:val="auto"/>
          <w:sz w:val="32"/>
          <w:szCs w:val="32"/>
        </w:rPr>
        <w:t>本次评价依据结合</w:t>
      </w:r>
      <w:r>
        <w:rPr>
          <w:rFonts w:hint="eastAsia" w:ascii="仿宋_GB2312" w:hAnsi="仿宋_GB2312" w:eastAsia="仿宋_GB2312" w:cs="仿宋_GB2312"/>
          <w:color w:val="auto"/>
          <w:sz w:val="32"/>
          <w:szCs w:val="40"/>
        </w:rPr>
        <w:t>《会商专项议定书》</w:t>
      </w:r>
      <w:r>
        <w:rPr>
          <w:rFonts w:hint="eastAsia" w:ascii="仿宋_GB2312" w:hAnsi="仿宋" w:eastAsia="仿宋_GB2312" w:cs="仿宋"/>
          <w:color w:val="auto"/>
          <w:sz w:val="32"/>
          <w:szCs w:val="32"/>
        </w:rPr>
        <w:t>等相关文件，根据研究院提供的相关资料和数据进行梳理与核实，受佐证资料不够充分、全面的影响，难以精准核实相关创新成果的转化成效，</w:t>
      </w:r>
      <w:r>
        <w:rPr>
          <w:rFonts w:hint="eastAsia" w:ascii="仿宋_GB2312" w:hAnsi="仿宋_GB2312" w:eastAsia="仿宋_GB2312" w:cs="仿宋_GB2312"/>
          <w:color w:val="auto"/>
          <w:sz w:val="32"/>
          <w:szCs w:val="40"/>
        </w:rPr>
        <w:t>评估结论存在一定的局限性。</w:t>
      </w:r>
    </w:p>
    <w:p>
      <w:pPr>
        <w:adjustRightInd w:val="0"/>
        <w:snapToGrid w:val="0"/>
        <w:spacing w:line="578"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1.成效证明资料不充分。</w:t>
      </w:r>
      <w:r>
        <w:rPr>
          <w:rFonts w:hint="eastAsia" w:ascii="仿宋_GB2312" w:hAnsi="仿宋_GB2312" w:eastAsia="仿宋_GB2312" w:cs="仿宋_GB2312"/>
          <w:color w:val="auto"/>
          <w:sz w:val="32"/>
          <w:szCs w:val="40"/>
        </w:rPr>
        <w:t>带动企业新增收入或产值、孵化企业及项目运营等方面，仅能提供企业证明或统计汇总表，缺乏有说服力的数据资料作为支撑。</w:t>
      </w:r>
      <w:r>
        <w:rPr>
          <w:rFonts w:ascii="仿宋_GB2312" w:hAnsi="仿宋_GB2312" w:eastAsia="仿宋_GB2312" w:cs="仿宋_GB2312"/>
          <w:color w:val="auto"/>
          <w:sz w:val="32"/>
          <w:szCs w:val="40"/>
        </w:rPr>
        <w:t>​</w:t>
      </w:r>
    </w:p>
    <w:p>
      <w:pPr>
        <w:adjustRightInd w:val="0"/>
        <w:snapToGrid w:val="0"/>
        <w:spacing w:line="578"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2.</w:t>
      </w:r>
      <w:r>
        <w:rPr>
          <w:rFonts w:ascii="仿宋_GB2312" w:hAnsi="仿宋_GB2312" w:eastAsia="仿宋_GB2312" w:cs="仿宋_GB2312"/>
          <w:b/>
          <w:bCs/>
          <w:color w:val="auto"/>
          <w:sz w:val="32"/>
          <w:szCs w:val="40"/>
        </w:rPr>
        <w:t>服务群体调研渠道受限。</w:t>
      </w:r>
      <w:r>
        <w:rPr>
          <w:rFonts w:ascii="仿宋_GB2312" w:hAnsi="仿宋_GB2312" w:eastAsia="仿宋_GB2312" w:cs="仿宋_GB2312"/>
          <w:color w:val="auto"/>
          <w:sz w:val="32"/>
          <w:szCs w:val="40"/>
        </w:rPr>
        <w:t>西电创新基地项目服务赋能</w:t>
      </w:r>
      <w:r>
        <w:rPr>
          <w:rFonts w:hint="eastAsia" w:ascii="仿宋_GB2312" w:hAnsi="仿宋_GB2312" w:eastAsia="仿宋_GB2312" w:cs="仿宋_GB2312"/>
          <w:color w:val="auto"/>
          <w:sz w:val="32"/>
          <w:szCs w:val="40"/>
        </w:rPr>
        <w:t>企业34</w:t>
      </w:r>
      <w:r>
        <w:rPr>
          <w:rFonts w:ascii="仿宋_GB2312" w:hAnsi="仿宋_GB2312" w:eastAsia="仿宋_GB2312" w:cs="仿宋_GB2312"/>
          <w:color w:val="auto"/>
          <w:sz w:val="32"/>
          <w:szCs w:val="40"/>
        </w:rPr>
        <w:t>家，仅能提供</w:t>
      </w:r>
      <w:r>
        <w:rPr>
          <w:rFonts w:hint="eastAsia" w:ascii="仿宋_GB2312" w:hAnsi="仿宋_GB2312" w:eastAsia="仿宋_GB2312" w:cs="仿宋_GB2312"/>
          <w:color w:val="auto"/>
          <w:sz w:val="32"/>
          <w:szCs w:val="40"/>
        </w:rPr>
        <w:t>14家</w:t>
      </w:r>
      <w:r>
        <w:rPr>
          <w:rFonts w:ascii="仿宋_GB2312" w:hAnsi="仿宋_GB2312" w:eastAsia="仿宋_GB2312" w:cs="仿宋_GB2312"/>
          <w:color w:val="auto"/>
          <w:sz w:val="32"/>
          <w:szCs w:val="40"/>
        </w:rPr>
        <w:t>企业的联系方式；认知人工智能研究院</w:t>
      </w:r>
      <w:r>
        <w:rPr>
          <w:rFonts w:hint="eastAsia" w:ascii="仿宋_GB2312" w:hAnsi="仿宋_GB2312" w:eastAsia="仿宋_GB2312" w:cs="仿宋_GB2312"/>
          <w:color w:val="auto"/>
          <w:sz w:val="32"/>
          <w:szCs w:val="40"/>
        </w:rPr>
        <w:t>项目</w:t>
      </w:r>
      <w:r>
        <w:rPr>
          <w:rFonts w:hint="eastAsia" w:ascii="仿宋_GB2312" w:hAnsi="仿宋_GB2312" w:eastAsia="仿宋_GB2312" w:cs="仿宋_GB2312"/>
          <w:color w:val="auto"/>
          <w:sz w:val="32"/>
          <w:szCs w:val="40"/>
          <w:lang w:val="en-US" w:eastAsia="zh-CN"/>
        </w:rPr>
        <w:t>因</w:t>
      </w:r>
      <w:r>
        <w:rPr>
          <w:rFonts w:ascii="仿宋_GB2312" w:hAnsi="仿宋_GB2312" w:eastAsia="仿宋_GB2312" w:cs="仿宋_GB2312"/>
          <w:color w:val="auto"/>
          <w:sz w:val="32"/>
          <w:szCs w:val="40"/>
        </w:rPr>
        <w:t>服务群体</w:t>
      </w:r>
      <w:r>
        <w:rPr>
          <w:rFonts w:hint="eastAsia" w:ascii="仿宋_GB2312" w:hAnsi="仿宋_GB2312" w:eastAsia="仿宋_GB2312" w:cs="仿宋_GB2312"/>
          <w:color w:val="auto"/>
          <w:sz w:val="32"/>
          <w:szCs w:val="40"/>
          <w:lang w:val="en-US" w:eastAsia="zh-CN"/>
        </w:rPr>
        <w:t>具有</w:t>
      </w:r>
      <w:r>
        <w:rPr>
          <w:rFonts w:ascii="仿宋_GB2312" w:hAnsi="仿宋_GB2312" w:eastAsia="仿宋_GB2312" w:cs="仿宋_GB2312"/>
          <w:color w:val="auto"/>
          <w:sz w:val="32"/>
          <w:szCs w:val="40"/>
        </w:rPr>
        <w:t>特殊性，仅能提供</w:t>
      </w:r>
      <w:r>
        <w:rPr>
          <w:rFonts w:hint="eastAsia" w:ascii="仿宋_GB2312" w:hAnsi="仿宋_GB2312" w:eastAsia="仿宋_GB2312" w:cs="仿宋_GB2312"/>
          <w:color w:val="auto"/>
          <w:sz w:val="32"/>
          <w:szCs w:val="40"/>
        </w:rPr>
        <w:t>4个</w:t>
      </w:r>
      <w:r>
        <w:rPr>
          <w:rFonts w:ascii="仿宋_GB2312" w:hAnsi="仿宋_GB2312" w:eastAsia="仿宋_GB2312" w:cs="仿宋_GB2312"/>
          <w:color w:val="auto"/>
          <w:sz w:val="32"/>
          <w:szCs w:val="40"/>
        </w:rPr>
        <w:t>服务对象的联系方式。</w:t>
      </w:r>
    </w:p>
    <w:p>
      <w:pPr>
        <w:adjustRightInd w:val="0"/>
        <w:snapToGrid w:val="0"/>
        <w:spacing w:line="578" w:lineRule="exact"/>
        <w:ind w:firstLine="640" w:firstLineChars="200"/>
        <w:outlineLvl w:val="0"/>
        <w:rPr>
          <w:rFonts w:ascii="黑体" w:hAnsi="黑体" w:eastAsia="黑体" w:cs="黑体"/>
          <w:color w:val="auto"/>
          <w:sz w:val="32"/>
          <w:szCs w:val="40"/>
        </w:rPr>
      </w:pPr>
      <w:bookmarkStart w:id="2" w:name="_Toc26134"/>
      <w:r>
        <w:rPr>
          <w:rFonts w:hint="eastAsia" w:ascii="黑体" w:hAnsi="黑体" w:eastAsia="黑体" w:cs="黑体"/>
          <w:color w:val="auto"/>
          <w:sz w:val="32"/>
          <w:szCs w:val="40"/>
        </w:rPr>
        <w:t>三、评价结论及分析</w:t>
      </w:r>
      <w:bookmarkEnd w:id="2"/>
    </w:p>
    <w:p>
      <w:pPr>
        <w:adjustRightInd w:val="0"/>
        <w:snapToGrid w:val="0"/>
        <w:spacing w:line="578" w:lineRule="exact"/>
        <w:ind w:firstLine="640" w:firstLineChars="200"/>
        <w:rPr>
          <w:rFonts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（一）综合评价结论</w:t>
      </w:r>
    </w:p>
    <w:p>
      <w:pPr>
        <w:adjustRightInd w:val="0"/>
        <w:snapToGrid w:val="0"/>
        <w:spacing w:line="578"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1.西电创新基地项目。</w:t>
      </w:r>
      <w:r>
        <w:rPr>
          <w:rFonts w:hint="eastAsia" w:ascii="仿宋_GB2312" w:hAnsi="仿宋_GB2312" w:eastAsia="仿宋_GB2312" w:cs="仿宋_GB2312"/>
          <w:color w:val="auto"/>
          <w:sz w:val="32"/>
          <w:szCs w:val="40"/>
        </w:rPr>
        <w:t>绩效评价得分80.71分（详见表3-1），评价结果为“良”。</w:t>
      </w:r>
      <w:r>
        <w:rPr>
          <w:rFonts w:ascii="仿宋_GB2312" w:hAnsi="仿宋_GB2312" w:eastAsia="仿宋_GB2312" w:cs="仿宋_GB2312"/>
          <w:color w:val="auto"/>
          <w:sz w:val="32"/>
          <w:szCs w:val="40"/>
        </w:rPr>
        <w:t>城阳区依据《青岛市科学技术局局区（市）会商专项实施细则（试行）》</w:t>
      </w:r>
      <w:r>
        <w:rPr>
          <w:rFonts w:hint="eastAsia" w:ascii="仿宋_GB2312" w:hAnsi="仿宋_GB2312" w:eastAsia="仿宋_GB2312" w:cs="仿宋_GB2312"/>
          <w:color w:val="auto"/>
          <w:sz w:val="32"/>
          <w:szCs w:val="40"/>
        </w:rPr>
        <w:t>（青科规〔2019〕3号）</w:t>
      </w:r>
      <w:r>
        <w:rPr>
          <w:rFonts w:ascii="仿宋_GB2312" w:hAnsi="仿宋_GB2312" w:eastAsia="仿宋_GB2312" w:cs="仿宋_GB2312"/>
          <w:color w:val="auto"/>
          <w:sz w:val="32"/>
          <w:szCs w:val="40"/>
        </w:rPr>
        <w:t>，依托西电青岛研究院建设创新基地，构建涵盖公共服务、企业孵化、技术创新联盟的协同创新体系，推动新一代信息技术与人才、经济融合发展。市科技局经评审后，与城阳区政府签订《会商议定书》，并联合相关单位签订《局区（市）会商项目任务书》，明确建设周期与目标。</w:t>
      </w:r>
      <w:r>
        <w:rPr>
          <w:rFonts w:hint="eastAsia" w:ascii="仿宋_GB2312" w:hAnsi="仿宋_GB2312" w:eastAsia="仿宋_GB2312" w:cs="仿宋_GB2312"/>
          <w:color w:val="auto"/>
          <w:sz w:val="32"/>
          <w:szCs w:val="40"/>
        </w:rPr>
        <w:t>在实施过程中，通过组织</w:t>
      </w:r>
      <w:r>
        <w:rPr>
          <w:rFonts w:ascii="仿宋_GB2312" w:hAnsi="仿宋_GB2312" w:eastAsia="仿宋_GB2312" w:cs="仿宋_GB2312"/>
          <w:color w:val="auto"/>
          <w:sz w:val="32"/>
          <w:szCs w:val="40"/>
        </w:rPr>
        <w:t>专家</w:t>
      </w:r>
      <w:r>
        <w:rPr>
          <w:rFonts w:hint="eastAsia" w:ascii="仿宋_GB2312" w:hAnsi="仿宋_GB2312" w:eastAsia="仿宋_GB2312" w:cs="仿宋_GB2312"/>
          <w:color w:val="auto"/>
          <w:sz w:val="32"/>
          <w:szCs w:val="40"/>
        </w:rPr>
        <w:t>评审考核任务完成情况</w:t>
      </w:r>
      <w:r>
        <w:rPr>
          <w:rFonts w:ascii="仿宋_GB2312" w:hAnsi="仿宋_GB2312" w:eastAsia="仿宋_GB2312" w:cs="仿宋_GB2312"/>
          <w:color w:val="auto"/>
          <w:sz w:val="32"/>
          <w:szCs w:val="40"/>
        </w:rPr>
        <w:t>，结合管理办法开展监督与绩效评价。2024年，</w:t>
      </w:r>
      <w:r>
        <w:rPr>
          <w:rFonts w:hint="eastAsia" w:ascii="仿宋_GB2312" w:hAnsi="仿宋_GB2312" w:eastAsia="仿宋_GB2312" w:cs="仿宋_GB2312"/>
          <w:color w:val="auto"/>
          <w:sz w:val="32"/>
          <w:szCs w:val="40"/>
        </w:rPr>
        <w:t>该项目预算金额1000万元（市级500万元、城阳区500万元），实际执行615.32万元（市级500万元、城阳区115.32万元），执行率61.53%。实施期内，</w:t>
      </w:r>
      <w:r>
        <w:rPr>
          <w:rFonts w:ascii="仿宋_GB2312" w:hAnsi="仿宋_GB2312" w:eastAsia="仿宋_GB2312" w:cs="仿宋_GB2312"/>
          <w:color w:val="auto"/>
          <w:sz w:val="32"/>
          <w:szCs w:val="40"/>
        </w:rPr>
        <w:t>获批省数字经济创新人才基地；新增16项发明专利申请、16项软著登记；培养77名研究生；转化</w:t>
      </w:r>
      <w:r>
        <w:rPr>
          <w:rFonts w:hint="eastAsia" w:ascii="仿宋_GB2312" w:hAnsi="仿宋_GB2312" w:eastAsia="仿宋_GB2312" w:cs="仿宋_GB2312"/>
          <w:color w:val="auto"/>
          <w:sz w:val="32"/>
          <w:szCs w:val="40"/>
        </w:rPr>
        <w:t>9</w:t>
      </w:r>
      <w:r>
        <w:rPr>
          <w:rFonts w:ascii="仿宋_GB2312" w:hAnsi="仿宋_GB2312" w:eastAsia="仿宋_GB2312" w:cs="仿宋_GB2312"/>
          <w:color w:val="auto"/>
          <w:sz w:val="32"/>
          <w:szCs w:val="40"/>
        </w:rPr>
        <w:t>项科技成果，</w:t>
      </w:r>
      <w:r>
        <w:rPr>
          <w:rFonts w:hint="eastAsia" w:ascii="仿宋_GB2312" w:hAnsi="仿宋_GB2312" w:eastAsia="仿宋_GB2312" w:cs="仿宋_GB2312"/>
          <w:color w:val="auto"/>
          <w:sz w:val="32"/>
          <w:szCs w:val="40"/>
        </w:rPr>
        <w:t>实现收入约135万元，</w:t>
      </w:r>
      <w:r>
        <w:rPr>
          <w:rFonts w:ascii="仿宋_GB2312" w:hAnsi="仿宋_GB2312" w:eastAsia="仿宋_GB2312" w:cs="仿宋_GB2312"/>
          <w:color w:val="auto"/>
          <w:sz w:val="32"/>
          <w:szCs w:val="40"/>
        </w:rPr>
        <w:t>平台建设与科研成果成效</w:t>
      </w:r>
      <w:r>
        <w:rPr>
          <w:rFonts w:hint="eastAsia" w:ascii="仿宋_GB2312" w:hAnsi="仿宋_GB2312" w:eastAsia="仿宋_GB2312" w:cs="仿宋_GB2312"/>
          <w:color w:val="auto"/>
          <w:sz w:val="32"/>
          <w:szCs w:val="40"/>
        </w:rPr>
        <w:t>较明显。但在</w:t>
      </w:r>
      <w:r>
        <w:rPr>
          <w:rFonts w:ascii="仿宋_GB2312" w:hAnsi="仿宋_GB2312" w:eastAsia="仿宋_GB2312" w:cs="仿宋_GB2312"/>
          <w:color w:val="auto"/>
          <w:sz w:val="32"/>
          <w:szCs w:val="40"/>
        </w:rPr>
        <w:t>实施过</w:t>
      </w:r>
      <w:r>
        <w:rPr>
          <w:rFonts w:hint="eastAsia" w:ascii="仿宋_GB2312" w:hAnsi="仿宋_GB2312" w:eastAsia="仿宋_GB2312" w:cs="仿宋_GB2312"/>
          <w:color w:val="auto"/>
          <w:sz w:val="32"/>
          <w:szCs w:val="40"/>
        </w:rPr>
        <w:t>程中</w:t>
      </w:r>
      <w:r>
        <w:rPr>
          <w:rFonts w:ascii="仿宋_GB2312" w:hAnsi="仿宋_GB2312" w:eastAsia="仿宋_GB2312" w:cs="仿宋_GB2312"/>
          <w:color w:val="auto"/>
          <w:sz w:val="32"/>
          <w:szCs w:val="40"/>
        </w:rPr>
        <w:t>也</w:t>
      </w:r>
      <w:r>
        <w:rPr>
          <w:rFonts w:hint="eastAsia" w:ascii="仿宋_GB2312" w:hAnsi="仿宋_GB2312" w:eastAsia="仿宋_GB2312" w:cs="仿宋_GB2312"/>
          <w:color w:val="auto"/>
          <w:sz w:val="32"/>
          <w:szCs w:val="40"/>
        </w:rPr>
        <w:t>存在一些问题：如，</w:t>
      </w:r>
      <w:r>
        <w:rPr>
          <w:rFonts w:ascii="仿宋_GB2312" w:hAnsi="仿宋_GB2312" w:eastAsia="仿宋_GB2312" w:cs="仿宋_GB2312"/>
          <w:color w:val="auto"/>
          <w:sz w:val="32"/>
          <w:szCs w:val="40"/>
        </w:rPr>
        <w:t>对海内外优秀毕业生及校外高端人才的吸引力不足</w:t>
      </w:r>
      <w:r>
        <w:rPr>
          <w:rFonts w:hint="eastAsia" w:ascii="仿宋_GB2312" w:hAnsi="仿宋_GB2312" w:eastAsia="仿宋_GB2312" w:cs="仿宋_GB2312"/>
          <w:color w:val="auto"/>
          <w:sz w:val="32"/>
          <w:szCs w:val="40"/>
        </w:rPr>
        <w:t>；</w:t>
      </w:r>
      <w:r>
        <w:rPr>
          <w:rFonts w:ascii="仿宋_GB2312" w:hAnsi="仿宋_GB2312" w:eastAsia="仿宋_GB2312" w:cs="仿宋_GB2312"/>
          <w:color w:val="auto"/>
          <w:sz w:val="32"/>
          <w:szCs w:val="40"/>
        </w:rPr>
        <w:t>自2021年博士后工作站设立以来，仅1名博士后入站；</w:t>
      </w:r>
      <w:r>
        <w:rPr>
          <w:rFonts w:hint="eastAsia" w:ascii="仿宋_GB2312" w:hAnsi="仿宋_GB2312" w:eastAsia="仿宋_GB2312" w:cs="仿宋_GB2312"/>
          <w:color w:val="auto"/>
          <w:sz w:val="32"/>
          <w:szCs w:val="40"/>
        </w:rPr>
        <w:t>财政投入与产出</w:t>
      </w:r>
      <w:r>
        <w:rPr>
          <w:rFonts w:ascii="仿宋_GB2312" w:hAnsi="仿宋_GB2312" w:eastAsia="仿宋_GB2312" w:cs="仿宋_GB2312"/>
          <w:color w:val="auto"/>
          <w:sz w:val="32"/>
          <w:szCs w:val="40"/>
        </w:rPr>
        <w:t>效益失衡，</w:t>
      </w:r>
      <w:r>
        <w:rPr>
          <w:rFonts w:hint="eastAsia" w:ascii="仿宋_GB2312" w:hAnsi="仿宋_GB2312" w:eastAsia="仿宋_GB2312" w:cs="仿宋_GB2312"/>
          <w:color w:val="auto"/>
          <w:sz w:val="32"/>
          <w:szCs w:val="40"/>
          <w:highlight w:val="none"/>
          <w:lang w:val="en-US" w:eastAsia="zh-CN"/>
        </w:rPr>
        <w:t>城阳区为西电青岛研究院投入研究生培养经费，在青培养的研究生留青率低</w:t>
      </w:r>
      <w:r>
        <w:rPr>
          <w:rFonts w:hint="eastAsia" w:ascii="仿宋_GB2312" w:hAnsi="仿宋_GB2312" w:eastAsia="仿宋_GB2312" w:cs="仿宋_GB2312"/>
          <w:color w:val="auto"/>
          <w:sz w:val="32"/>
          <w:szCs w:val="40"/>
        </w:rPr>
        <w:t>；未能通过成果转化构建自我保障的良性循环机制</w:t>
      </w:r>
      <w:r>
        <w:rPr>
          <w:rFonts w:hint="eastAsia" w:ascii="楷体_GB2312" w:hAnsi="Times New Roman" w:eastAsia="楷体_GB2312" w:cs="Times New Roman"/>
          <w:color w:val="auto"/>
          <w:sz w:val="32"/>
          <w:szCs w:val="32"/>
        </w:rPr>
        <w:t>。</w:t>
      </w:r>
    </w:p>
    <w:p>
      <w:pPr>
        <w:keepNext/>
        <w:adjustRightInd w:val="0"/>
        <w:snapToGrid w:val="0"/>
        <w:spacing w:before="120" w:beforeLines="50"/>
        <w:jc w:val="center"/>
        <w:rPr>
          <w:rFonts w:ascii="黑体" w:hAnsi="黑体" w:eastAsia="黑体" w:cs="黑体"/>
          <w:color w:val="auto"/>
          <w:sz w:val="28"/>
          <w:szCs w:val="28"/>
        </w:rPr>
      </w:pPr>
      <w:r>
        <w:rPr>
          <w:rFonts w:hint="eastAsia" w:ascii="黑体" w:hAnsi="黑体" w:eastAsia="黑体" w:cs="黑体"/>
          <w:color w:val="auto"/>
          <w:sz w:val="28"/>
          <w:szCs w:val="28"/>
        </w:rPr>
        <w:t>表3-1 西安电子科技大学青岛产教融合创新基地项目</w:t>
      </w:r>
    </w:p>
    <w:p>
      <w:pPr>
        <w:keepNext/>
        <w:adjustRightInd w:val="0"/>
        <w:snapToGrid w:val="0"/>
        <w:spacing w:after="120" w:afterLines="50"/>
        <w:jc w:val="center"/>
        <w:rPr>
          <w:rFonts w:ascii="黑体" w:hAnsi="黑体" w:eastAsia="黑体" w:cs="黑体"/>
          <w:color w:val="auto"/>
          <w:sz w:val="28"/>
          <w:szCs w:val="28"/>
        </w:rPr>
      </w:pPr>
      <w:r>
        <w:rPr>
          <w:rFonts w:hint="eastAsia" w:ascii="黑体" w:hAnsi="黑体" w:eastAsia="黑体" w:cs="黑体"/>
          <w:color w:val="auto"/>
          <w:sz w:val="28"/>
          <w:szCs w:val="28"/>
        </w:rPr>
        <w:t>绩效评价得分情况表</w:t>
      </w:r>
    </w:p>
    <w:tbl>
      <w:tblPr>
        <w:tblStyle w:val="14"/>
        <w:tblW w:w="0" w:type="auto"/>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2087"/>
        <w:gridCol w:w="2087"/>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7" w:type="dxa"/>
            <w:vAlign w:val="center"/>
          </w:tcPr>
          <w:p>
            <w:pPr>
              <w:keepNext/>
              <w:jc w:val="center"/>
              <w:rPr>
                <w:rFonts w:ascii="黑体" w:hAnsi="黑体" w:eastAsia="黑体" w:cs="黑体"/>
                <w:color w:val="auto"/>
                <w:sz w:val="28"/>
                <w:szCs w:val="28"/>
              </w:rPr>
            </w:pPr>
            <w:r>
              <w:rPr>
                <w:rFonts w:hint="eastAsia" w:ascii="黑体" w:hAnsi="黑体" w:eastAsia="黑体" w:cs="黑体"/>
                <w:color w:val="auto"/>
                <w:sz w:val="28"/>
                <w:szCs w:val="28"/>
              </w:rPr>
              <w:t>一级指标</w:t>
            </w:r>
          </w:p>
        </w:tc>
        <w:tc>
          <w:tcPr>
            <w:tcW w:w="2087" w:type="dxa"/>
            <w:vAlign w:val="center"/>
          </w:tcPr>
          <w:p>
            <w:pPr>
              <w:keepNext/>
              <w:jc w:val="center"/>
              <w:rPr>
                <w:rFonts w:ascii="黑体" w:hAnsi="黑体" w:eastAsia="黑体" w:cs="黑体"/>
                <w:color w:val="auto"/>
                <w:sz w:val="28"/>
                <w:szCs w:val="28"/>
              </w:rPr>
            </w:pPr>
            <w:r>
              <w:rPr>
                <w:rFonts w:hint="eastAsia" w:ascii="黑体" w:hAnsi="黑体" w:eastAsia="黑体" w:cs="黑体"/>
                <w:color w:val="auto"/>
                <w:sz w:val="28"/>
                <w:szCs w:val="28"/>
              </w:rPr>
              <w:t>指标分值</w:t>
            </w:r>
          </w:p>
        </w:tc>
        <w:tc>
          <w:tcPr>
            <w:tcW w:w="2087" w:type="dxa"/>
            <w:vAlign w:val="center"/>
          </w:tcPr>
          <w:p>
            <w:pPr>
              <w:keepNext/>
              <w:jc w:val="center"/>
              <w:rPr>
                <w:rFonts w:ascii="黑体" w:hAnsi="黑体" w:eastAsia="黑体" w:cs="黑体"/>
                <w:color w:val="auto"/>
                <w:sz w:val="28"/>
                <w:szCs w:val="28"/>
              </w:rPr>
            </w:pPr>
            <w:r>
              <w:rPr>
                <w:rFonts w:hint="eastAsia" w:ascii="黑体" w:hAnsi="黑体" w:eastAsia="黑体" w:cs="黑体"/>
                <w:color w:val="auto"/>
                <w:sz w:val="28"/>
                <w:szCs w:val="28"/>
              </w:rPr>
              <w:t>得分</w:t>
            </w:r>
          </w:p>
        </w:tc>
        <w:tc>
          <w:tcPr>
            <w:tcW w:w="2088" w:type="dxa"/>
            <w:vAlign w:val="center"/>
          </w:tcPr>
          <w:p>
            <w:pPr>
              <w:keepNext/>
              <w:jc w:val="center"/>
              <w:rPr>
                <w:rFonts w:ascii="黑体" w:hAnsi="黑体" w:eastAsia="黑体" w:cs="黑体"/>
                <w:color w:val="auto"/>
                <w:sz w:val="28"/>
                <w:szCs w:val="28"/>
              </w:rPr>
            </w:pPr>
            <w:r>
              <w:rPr>
                <w:rFonts w:hint="eastAsia" w:ascii="黑体" w:hAnsi="黑体" w:eastAsia="黑体" w:cs="黑体"/>
                <w:color w:val="auto"/>
                <w:sz w:val="28"/>
                <w:szCs w:val="28"/>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7" w:type="dxa"/>
            <w:vAlign w:val="center"/>
          </w:tcPr>
          <w:p>
            <w:pPr>
              <w:keepNext/>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决策</w:t>
            </w:r>
          </w:p>
        </w:tc>
        <w:tc>
          <w:tcPr>
            <w:tcW w:w="2087" w:type="dxa"/>
            <w:vAlign w:val="center"/>
          </w:tcPr>
          <w:p>
            <w:pPr>
              <w:keepNext/>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w:t>
            </w:r>
          </w:p>
        </w:tc>
        <w:tc>
          <w:tcPr>
            <w:tcW w:w="2087" w:type="dxa"/>
            <w:shd w:val="clear" w:color="auto" w:fill="auto"/>
            <w:vAlign w:val="center"/>
          </w:tcPr>
          <w:p>
            <w:pPr>
              <w:keepNext/>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w:t>
            </w:r>
          </w:p>
        </w:tc>
        <w:tc>
          <w:tcPr>
            <w:tcW w:w="2088" w:type="dxa"/>
            <w:shd w:val="clear" w:color="auto" w:fill="auto"/>
            <w:vAlign w:val="center"/>
          </w:tcPr>
          <w:p>
            <w:pPr>
              <w:keepNext/>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7" w:type="dxa"/>
            <w:vAlign w:val="center"/>
          </w:tcPr>
          <w:p>
            <w:pPr>
              <w:keepNext/>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过程</w:t>
            </w:r>
          </w:p>
        </w:tc>
        <w:tc>
          <w:tcPr>
            <w:tcW w:w="2087" w:type="dxa"/>
            <w:vAlign w:val="center"/>
          </w:tcPr>
          <w:p>
            <w:pPr>
              <w:keepNext/>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w:t>
            </w:r>
          </w:p>
        </w:tc>
        <w:tc>
          <w:tcPr>
            <w:tcW w:w="2087" w:type="dxa"/>
            <w:shd w:val="clear" w:color="auto" w:fill="auto"/>
            <w:vAlign w:val="bottom"/>
          </w:tcPr>
          <w:p>
            <w:pPr>
              <w:keepNext/>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w:t>
            </w:r>
          </w:p>
        </w:tc>
        <w:tc>
          <w:tcPr>
            <w:tcW w:w="2088" w:type="dxa"/>
            <w:shd w:val="clear" w:color="auto" w:fill="auto"/>
            <w:vAlign w:val="center"/>
          </w:tcPr>
          <w:p>
            <w:pPr>
              <w:keepNext/>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7" w:type="dxa"/>
            <w:vAlign w:val="center"/>
          </w:tcPr>
          <w:p>
            <w:pPr>
              <w:keepNext/>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产出</w:t>
            </w:r>
          </w:p>
        </w:tc>
        <w:tc>
          <w:tcPr>
            <w:tcW w:w="2087" w:type="dxa"/>
            <w:vAlign w:val="center"/>
          </w:tcPr>
          <w:p>
            <w:pPr>
              <w:keepNext/>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w:t>
            </w:r>
          </w:p>
        </w:tc>
        <w:tc>
          <w:tcPr>
            <w:tcW w:w="2087" w:type="dxa"/>
            <w:shd w:val="clear" w:color="auto" w:fill="auto"/>
            <w:vAlign w:val="center"/>
          </w:tcPr>
          <w:p>
            <w:pPr>
              <w:keepNext/>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20.88</w:t>
            </w:r>
          </w:p>
        </w:tc>
        <w:tc>
          <w:tcPr>
            <w:tcW w:w="2088" w:type="dxa"/>
            <w:shd w:val="clear" w:color="auto" w:fill="auto"/>
            <w:vAlign w:val="center"/>
          </w:tcPr>
          <w:p>
            <w:pPr>
              <w:keepNext/>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7" w:type="dxa"/>
            <w:vAlign w:val="center"/>
          </w:tcPr>
          <w:p>
            <w:pPr>
              <w:keepNext/>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效益</w:t>
            </w:r>
          </w:p>
        </w:tc>
        <w:tc>
          <w:tcPr>
            <w:tcW w:w="2087" w:type="dxa"/>
            <w:vAlign w:val="center"/>
          </w:tcPr>
          <w:p>
            <w:pPr>
              <w:keepNext/>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40</w:t>
            </w:r>
          </w:p>
        </w:tc>
        <w:tc>
          <w:tcPr>
            <w:tcW w:w="2087" w:type="dxa"/>
            <w:shd w:val="clear" w:color="auto" w:fill="auto"/>
            <w:vAlign w:val="bottom"/>
          </w:tcPr>
          <w:p>
            <w:pPr>
              <w:keepNext/>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29.83</w:t>
            </w:r>
          </w:p>
        </w:tc>
        <w:tc>
          <w:tcPr>
            <w:tcW w:w="2088" w:type="dxa"/>
            <w:shd w:val="clear" w:color="auto" w:fill="auto"/>
            <w:vAlign w:val="center"/>
          </w:tcPr>
          <w:p>
            <w:pPr>
              <w:keepNext/>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7" w:type="dxa"/>
            <w:vAlign w:val="center"/>
          </w:tcPr>
          <w:p>
            <w:pPr>
              <w:keepNext/>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合计</w:t>
            </w:r>
          </w:p>
        </w:tc>
        <w:tc>
          <w:tcPr>
            <w:tcW w:w="2087" w:type="dxa"/>
            <w:vAlign w:val="center"/>
          </w:tcPr>
          <w:p>
            <w:pPr>
              <w:keepNext/>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w:t>
            </w:r>
          </w:p>
        </w:tc>
        <w:tc>
          <w:tcPr>
            <w:tcW w:w="2087" w:type="dxa"/>
            <w:shd w:val="clear" w:color="auto" w:fill="auto"/>
            <w:vAlign w:val="center"/>
          </w:tcPr>
          <w:p>
            <w:pPr>
              <w:keepNext/>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80.71</w:t>
            </w:r>
          </w:p>
        </w:tc>
        <w:tc>
          <w:tcPr>
            <w:tcW w:w="2088" w:type="dxa"/>
            <w:shd w:val="clear" w:color="auto" w:fill="auto"/>
            <w:vAlign w:val="center"/>
          </w:tcPr>
          <w:p>
            <w:pPr>
              <w:keepNext/>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80.71%</w:t>
            </w:r>
          </w:p>
        </w:tc>
      </w:tr>
    </w:tbl>
    <w:p>
      <w:pPr>
        <w:adjustRightInd w:val="0"/>
        <w:snapToGrid w:val="0"/>
        <w:spacing w:before="120" w:beforeLines="50" w:line="590"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2.认知人工智能研究院项目。</w:t>
      </w:r>
      <w:r>
        <w:rPr>
          <w:rFonts w:hint="eastAsia" w:ascii="仿宋_GB2312" w:hAnsi="仿宋_GB2312" w:eastAsia="仿宋_GB2312" w:cs="仿宋_GB2312"/>
          <w:color w:val="auto"/>
          <w:sz w:val="32"/>
          <w:szCs w:val="40"/>
        </w:rPr>
        <w:t>绩效评价得分60.56分（详见表3-2），评价结果为“中”。该项目由市南区提出，围绕人工智能、脑神经科学和心理学领域开展交叉研究和技术应用，推动相关技术在医疗、教育、人力资源服务和社会治理等领域的应用和转化。项目依据</w:t>
      </w:r>
      <w:r>
        <w:rPr>
          <w:rFonts w:ascii="仿宋_GB2312" w:hAnsi="仿宋_GB2312" w:eastAsia="仿宋_GB2312" w:cs="仿宋_GB2312"/>
          <w:color w:val="auto"/>
          <w:sz w:val="32"/>
          <w:szCs w:val="40"/>
        </w:rPr>
        <w:t>《青岛市科学技术局局区（市）会商专项实施细则（试行）》</w:t>
      </w:r>
      <w:r>
        <w:rPr>
          <w:rFonts w:hint="eastAsia" w:ascii="仿宋_GB2312" w:hAnsi="仿宋_GB2312" w:eastAsia="仿宋_GB2312" w:cs="仿宋_GB2312"/>
          <w:color w:val="auto"/>
          <w:sz w:val="32"/>
          <w:szCs w:val="40"/>
        </w:rPr>
        <w:t>（青科规〔2019〕3号）规定程序设立，定期开展监督检查（中期评估）及绩效评价。2024年，该项目预算金额250万元（均为市级资金），市南区转移下达100万元，实际执行100万元。实施期内，获得发明专利3项，完成2项产品研发，取得一定成效，但在</w:t>
      </w:r>
      <w:r>
        <w:rPr>
          <w:rFonts w:ascii="仿宋_GB2312" w:hAnsi="仿宋_GB2312" w:eastAsia="仿宋_GB2312" w:cs="仿宋_GB2312"/>
          <w:color w:val="auto"/>
          <w:sz w:val="32"/>
          <w:szCs w:val="40"/>
        </w:rPr>
        <w:t>项目实施过程也</w:t>
      </w:r>
      <w:r>
        <w:rPr>
          <w:rFonts w:hint="eastAsia" w:ascii="仿宋_GB2312" w:hAnsi="仿宋_GB2312" w:eastAsia="仿宋_GB2312" w:cs="仿宋_GB2312"/>
          <w:color w:val="auto"/>
          <w:sz w:val="32"/>
          <w:szCs w:val="40"/>
        </w:rPr>
        <w:t>存在一些问题，如，考核管理不规范，在申请专利和转移专利的认定环节存在交叉重复现象；项目任务目标完成度低；未按约定履行与市南区签订的合伙协议，将科研成果转移到项目承担单位名下；未对青岛市相关产业发展形成实质性贡献。</w:t>
      </w:r>
    </w:p>
    <w:p>
      <w:pPr>
        <w:adjustRightInd w:val="0"/>
        <w:snapToGrid w:val="0"/>
        <w:spacing w:after="120" w:afterLines="50" w:line="580" w:lineRule="exact"/>
        <w:jc w:val="center"/>
        <w:rPr>
          <w:rFonts w:ascii="黑体" w:hAnsi="黑体" w:eastAsia="黑体" w:cs="黑体"/>
          <w:color w:val="auto"/>
          <w:sz w:val="28"/>
          <w:szCs w:val="28"/>
        </w:rPr>
      </w:pPr>
      <w:r>
        <w:rPr>
          <w:rFonts w:hint="eastAsia" w:ascii="黑体" w:hAnsi="黑体" w:eastAsia="黑体" w:cs="黑体"/>
          <w:color w:val="auto"/>
          <w:sz w:val="28"/>
          <w:szCs w:val="28"/>
        </w:rPr>
        <w:t>表3-2 青岛认知人工智能研究院项目绩效评价得分情况表</w:t>
      </w:r>
    </w:p>
    <w:tbl>
      <w:tblPr>
        <w:tblStyle w:val="14"/>
        <w:tblW w:w="0" w:type="auto"/>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2087"/>
        <w:gridCol w:w="2087"/>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087" w:type="dxa"/>
            <w:vAlign w:val="center"/>
          </w:tcPr>
          <w:p>
            <w:pPr>
              <w:jc w:val="center"/>
              <w:rPr>
                <w:rFonts w:ascii="黑体" w:hAnsi="黑体" w:eastAsia="黑体" w:cs="黑体"/>
                <w:color w:val="auto"/>
                <w:sz w:val="28"/>
                <w:szCs w:val="28"/>
              </w:rPr>
            </w:pPr>
            <w:r>
              <w:rPr>
                <w:rFonts w:hint="eastAsia" w:ascii="黑体" w:hAnsi="黑体" w:eastAsia="黑体" w:cs="黑体"/>
                <w:color w:val="auto"/>
                <w:sz w:val="28"/>
                <w:szCs w:val="28"/>
              </w:rPr>
              <w:t>一级指标</w:t>
            </w:r>
          </w:p>
        </w:tc>
        <w:tc>
          <w:tcPr>
            <w:tcW w:w="2087" w:type="dxa"/>
            <w:vAlign w:val="center"/>
          </w:tcPr>
          <w:p>
            <w:pPr>
              <w:jc w:val="center"/>
              <w:rPr>
                <w:rFonts w:ascii="黑体" w:hAnsi="黑体" w:eastAsia="黑体" w:cs="黑体"/>
                <w:color w:val="auto"/>
                <w:sz w:val="28"/>
                <w:szCs w:val="28"/>
              </w:rPr>
            </w:pPr>
            <w:r>
              <w:rPr>
                <w:rFonts w:hint="eastAsia" w:ascii="黑体" w:hAnsi="黑体" w:eastAsia="黑体" w:cs="黑体"/>
                <w:color w:val="auto"/>
                <w:sz w:val="28"/>
                <w:szCs w:val="28"/>
              </w:rPr>
              <w:t>指标分值</w:t>
            </w:r>
          </w:p>
        </w:tc>
        <w:tc>
          <w:tcPr>
            <w:tcW w:w="2087" w:type="dxa"/>
            <w:vAlign w:val="center"/>
          </w:tcPr>
          <w:p>
            <w:pPr>
              <w:jc w:val="center"/>
              <w:rPr>
                <w:rFonts w:ascii="黑体" w:hAnsi="黑体" w:eastAsia="黑体" w:cs="黑体"/>
                <w:color w:val="auto"/>
                <w:sz w:val="28"/>
                <w:szCs w:val="28"/>
              </w:rPr>
            </w:pPr>
            <w:r>
              <w:rPr>
                <w:rFonts w:hint="eastAsia" w:ascii="黑体" w:hAnsi="黑体" w:eastAsia="黑体" w:cs="黑体"/>
                <w:color w:val="auto"/>
                <w:sz w:val="28"/>
                <w:szCs w:val="28"/>
              </w:rPr>
              <w:t>得分</w:t>
            </w:r>
          </w:p>
        </w:tc>
        <w:tc>
          <w:tcPr>
            <w:tcW w:w="2088" w:type="dxa"/>
            <w:vAlign w:val="center"/>
          </w:tcPr>
          <w:p>
            <w:pPr>
              <w:jc w:val="center"/>
              <w:rPr>
                <w:rFonts w:ascii="黑体" w:hAnsi="黑体" w:eastAsia="黑体" w:cs="黑体"/>
                <w:color w:val="auto"/>
                <w:sz w:val="28"/>
                <w:szCs w:val="28"/>
              </w:rPr>
            </w:pPr>
            <w:r>
              <w:rPr>
                <w:rFonts w:hint="eastAsia" w:ascii="黑体" w:hAnsi="黑体" w:eastAsia="黑体" w:cs="黑体"/>
                <w:color w:val="auto"/>
                <w:sz w:val="28"/>
                <w:szCs w:val="28"/>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7" w:type="dxa"/>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决策</w:t>
            </w:r>
          </w:p>
        </w:tc>
        <w:tc>
          <w:tcPr>
            <w:tcW w:w="2087" w:type="dxa"/>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w:t>
            </w:r>
          </w:p>
        </w:tc>
        <w:tc>
          <w:tcPr>
            <w:tcW w:w="2087" w:type="dxa"/>
            <w:shd w:val="clear" w:color="auto" w:fill="auto"/>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w:t>
            </w:r>
          </w:p>
        </w:tc>
        <w:tc>
          <w:tcPr>
            <w:tcW w:w="2088" w:type="dxa"/>
            <w:shd w:val="clear" w:color="auto" w:fill="auto"/>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7" w:type="dxa"/>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过程</w:t>
            </w:r>
          </w:p>
        </w:tc>
        <w:tc>
          <w:tcPr>
            <w:tcW w:w="2087" w:type="dxa"/>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w:t>
            </w:r>
          </w:p>
        </w:tc>
        <w:tc>
          <w:tcPr>
            <w:tcW w:w="2087" w:type="dxa"/>
            <w:shd w:val="clear" w:color="auto" w:fill="auto"/>
            <w:vAlign w:val="bottom"/>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18.8</w:t>
            </w:r>
          </w:p>
        </w:tc>
        <w:tc>
          <w:tcPr>
            <w:tcW w:w="2088" w:type="dxa"/>
            <w:shd w:val="clear" w:color="auto" w:fill="auto"/>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7" w:type="dxa"/>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产出</w:t>
            </w:r>
          </w:p>
        </w:tc>
        <w:tc>
          <w:tcPr>
            <w:tcW w:w="2087" w:type="dxa"/>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w:t>
            </w:r>
          </w:p>
        </w:tc>
        <w:tc>
          <w:tcPr>
            <w:tcW w:w="2087" w:type="dxa"/>
            <w:shd w:val="clear" w:color="auto" w:fill="auto"/>
            <w:vAlign w:val="bottom"/>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15.2</w:t>
            </w:r>
          </w:p>
        </w:tc>
        <w:tc>
          <w:tcPr>
            <w:tcW w:w="2088" w:type="dxa"/>
            <w:shd w:val="clear" w:color="auto" w:fill="auto"/>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7" w:type="dxa"/>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效益</w:t>
            </w:r>
          </w:p>
        </w:tc>
        <w:tc>
          <w:tcPr>
            <w:tcW w:w="2087" w:type="dxa"/>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40</w:t>
            </w:r>
          </w:p>
        </w:tc>
        <w:tc>
          <w:tcPr>
            <w:tcW w:w="2087" w:type="dxa"/>
            <w:shd w:val="clear" w:color="auto" w:fill="auto"/>
            <w:vAlign w:val="bottom"/>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17.56</w:t>
            </w:r>
          </w:p>
        </w:tc>
        <w:tc>
          <w:tcPr>
            <w:tcW w:w="2088" w:type="dxa"/>
            <w:shd w:val="clear" w:color="auto" w:fill="auto"/>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7" w:type="dxa"/>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合计</w:t>
            </w:r>
          </w:p>
        </w:tc>
        <w:tc>
          <w:tcPr>
            <w:tcW w:w="2087" w:type="dxa"/>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w:t>
            </w:r>
          </w:p>
        </w:tc>
        <w:tc>
          <w:tcPr>
            <w:tcW w:w="2087" w:type="dxa"/>
            <w:shd w:val="clear" w:color="auto" w:fill="auto"/>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60.56</w:t>
            </w:r>
          </w:p>
        </w:tc>
        <w:tc>
          <w:tcPr>
            <w:tcW w:w="2088" w:type="dxa"/>
            <w:shd w:val="clear" w:color="auto" w:fill="auto"/>
            <w:vAlign w:val="center"/>
          </w:tcPr>
          <w:p>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60.56%</w:t>
            </w:r>
          </w:p>
        </w:tc>
      </w:tr>
    </w:tbl>
    <w:p>
      <w:pPr>
        <w:adjustRightInd w:val="0"/>
        <w:snapToGrid w:val="0"/>
        <w:spacing w:before="120" w:beforeLines="50" w:line="590" w:lineRule="exact"/>
        <w:ind w:firstLine="640" w:firstLineChars="200"/>
        <w:rPr>
          <w:rFonts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（二）指标分析</w:t>
      </w:r>
    </w:p>
    <w:p>
      <w:pPr>
        <w:adjustRightInd w:val="0"/>
        <w:snapToGrid w:val="0"/>
        <w:spacing w:line="590" w:lineRule="exact"/>
        <w:ind w:firstLine="643" w:firstLineChars="200"/>
        <w:rPr>
          <w:rFonts w:ascii="仿宋_GB2312" w:hAnsi="仿宋_GB2312" w:eastAsia="仿宋_GB2312" w:cs="仿宋_GB2312"/>
          <w:b/>
          <w:bCs/>
          <w:color w:val="auto"/>
          <w:sz w:val="32"/>
          <w:szCs w:val="40"/>
        </w:rPr>
      </w:pPr>
      <w:r>
        <w:rPr>
          <w:rFonts w:hint="eastAsia" w:ascii="仿宋_GB2312" w:hAnsi="仿宋_GB2312" w:eastAsia="仿宋_GB2312" w:cs="仿宋_GB2312"/>
          <w:b/>
          <w:bCs/>
          <w:color w:val="auto"/>
          <w:sz w:val="32"/>
          <w:szCs w:val="40"/>
        </w:rPr>
        <w:t>1.西电创新基地项目</w:t>
      </w:r>
    </w:p>
    <w:p>
      <w:pPr>
        <w:adjustRightInd w:val="0"/>
        <w:snapToGrid w:val="0"/>
        <w:spacing w:line="590"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（1）决策指标分析。</w:t>
      </w:r>
      <w:r>
        <w:rPr>
          <w:rFonts w:hint="eastAsia" w:ascii="仿宋_GB2312" w:hAnsi="仿宋_GB2312" w:eastAsia="仿宋_GB2312" w:cs="仿宋_GB2312"/>
          <w:color w:val="auto"/>
          <w:sz w:val="32"/>
          <w:szCs w:val="40"/>
        </w:rPr>
        <w:t>指标分值10分，得分9分，得分率90%。该项目由城阳区结合自身资源优势与重点产业提出，</w:t>
      </w:r>
      <w:r>
        <w:rPr>
          <w:rFonts w:ascii="仿宋_GB2312" w:hAnsi="仿宋_GB2312" w:eastAsia="仿宋_GB2312" w:cs="仿宋_GB2312"/>
          <w:color w:val="auto"/>
          <w:sz w:val="32"/>
          <w:szCs w:val="40"/>
        </w:rPr>
        <w:t>旨在推动青岛市新一代信息科技、人才与经济的融合创新发展</w:t>
      </w:r>
      <w:r>
        <w:rPr>
          <w:rFonts w:hint="eastAsia" w:ascii="仿宋_GB2312" w:hAnsi="仿宋_GB2312" w:eastAsia="仿宋_GB2312" w:cs="仿宋_GB2312"/>
          <w:color w:val="auto"/>
          <w:sz w:val="32"/>
          <w:szCs w:val="40"/>
        </w:rPr>
        <w:t>，立项依据充分。项目</w:t>
      </w:r>
      <w:r>
        <w:rPr>
          <w:rFonts w:ascii="仿宋_GB2312" w:hAnsi="仿宋_GB2312" w:eastAsia="仿宋_GB2312" w:cs="仿宋_GB2312"/>
          <w:color w:val="auto"/>
          <w:sz w:val="32"/>
          <w:szCs w:val="40"/>
        </w:rPr>
        <w:t>依据《青岛市科学技术局局区（市）会商专项实施细则（试行）》</w:t>
      </w:r>
      <w:r>
        <w:rPr>
          <w:rFonts w:hint="eastAsia" w:ascii="仿宋_GB2312" w:hAnsi="仿宋_GB2312" w:eastAsia="仿宋_GB2312" w:cs="仿宋_GB2312"/>
          <w:color w:val="auto"/>
          <w:sz w:val="32"/>
          <w:szCs w:val="40"/>
        </w:rPr>
        <w:t>（青科规〔2019〕3号），签订</w:t>
      </w:r>
      <w:r>
        <w:rPr>
          <w:rFonts w:ascii="仿宋_GB2312" w:hAnsi="仿宋_GB2312" w:eastAsia="仿宋_GB2312" w:cs="仿宋_GB2312"/>
          <w:color w:val="auto"/>
          <w:sz w:val="32"/>
          <w:szCs w:val="40"/>
        </w:rPr>
        <w:t>《会商议定书》《局区（市）会商项目任务书》明确项目建设周期及任务目标</w:t>
      </w:r>
      <w:r>
        <w:rPr>
          <w:rFonts w:hint="eastAsia" w:ascii="仿宋_GB2312" w:hAnsi="仿宋_GB2312" w:eastAsia="仿宋_GB2312" w:cs="仿宋_GB2312"/>
          <w:color w:val="auto"/>
          <w:sz w:val="32"/>
          <w:szCs w:val="40"/>
        </w:rPr>
        <w:t>，立项程序规范。按规定编制了绩效目标，指标编制规范。根据专家对上期任务完成情况的评审结果确定本年度预算支持额度，资金使用额度分配依据科研项目布局、技术转化需求、平台建设计划及运营成本测算，</w:t>
      </w:r>
      <w:r>
        <w:rPr>
          <w:rFonts w:hint="eastAsia" w:ascii="仿宋_GB2312" w:hAnsi="仿宋_GB2312" w:eastAsia="仿宋_GB2312" w:cs="仿宋_GB2312"/>
          <w:color w:val="auto"/>
          <w:sz w:val="32"/>
          <w:szCs w:val="40"/>
          <w:highlight w:val="none"/>
        </w:rPr>
        <w:t>但未精准匹配研发投入、人才引育、设备采购等支出</w:t>
      </w:r>
      <w:r>
        <w:rPr>
          <w:rFonts w:hint="eastAsia" w:ascii="仿宋_GB2312" w:hAnsi="仿宋_GB2312" w:eastAsia="仿宋_GB2312" w:cs="仿宋_GB2312"/>
          <w:color w:val="auto"/>
          <w:sz w:val="32"/>
          <w:szCs w:val="40"/>
          <w:highlight w:val="none"/>
          <w:lang w:val="en-US" w:eastAsia="zh-CN"/>
        </w:rPr>
        <w:t>方向</w:t>
      </w:r>
      <w:r>
        <w:rPr>
          <w:rFonts w:hint="eastAsia" w:ascii="仿宋_GB2312" w:hAnsi="仿宋_GB2312" w:eastAsia="仿宋_GB2312" w:cs="仿宋_GB2312"/>
          <w:color w:val="auto"/>
          <w:sz w:val="32"/>
          <w:szCs w:val="40"/>
          <w:highlight w:val="none"/>
        </w:rPr>
        <w:t>，</w:t>
      </w:r>
      <w:r>
        <w:rPr>
          <w:rFonts w:hint="eastAsia" w:ascii="仿宋_GB2312" w:hAnsi="仿宋_GB2312" w:eastAsia="仿宋_GB2312" w:cs="仿宋_GB2312"/>
          <w:color w:val="auto"/>
          <w:sz w:val="32"/>
          <w:szCs w:val="40"/>
        </w:rPr>
        <w:t>人员绩效支出占比较多，同时未将自筹资金纳入项目配套资金使用范围。</w:t>
      </w:r>
    </w:p>
    <w:p>
      <w:pPr>
        <w:adjustRightInd w:val="0"/>
        <w:snapToGrid w:val="0"/>
        <w:spacing w:line="590"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（2）过程指标分析。</w:t>
      </w:r>
      <w:r>
        <w:rPr>
          <w:rFonts w:hint="eastAsia" w:ascii="仿宋_GB2312" w:hAnsi="仿宋_GB2312" w:eastAsia="仿宋_GB2312" w:cs="仿宋_GB2312"/>
          <w:color w:val="auto"/>
          <w:sz w:val="32"/>
          <w:szCs w:val="40"/>
        </w:rPr>
        <w:t>指标分值25分，得分21分，得分率84%。2024年度，该项目市级预算金额500万元，截至任务期结束，实际执行115.32万元，执行率23.06%。经评价，项目资金使用按照相关财务管理制度用于保障三期任务开展，使用过程中履行了研究院内部审批程序和手续。</w:t>
      </w:r>
      <w:r>
        <w:rPr>
          <w:rFonts w:hint="eastAsia" w:ascii="仿宋_GB2312" w:hAnsi="仿宋_GB2312" w:eastAsia="仿宋_GB2312" w:cs="仿宋_GB2312"/>
          <w:color w:val="auto"/>
          <w:sz w:val="32"/>
          <w:szCs w:val="40"/>
          <w:highlight w:val="none"/>
        </w:rPr>
        <w:t>根据《青岛市科学技术局局区（市）会商专项实施细则》（青科规〔2024〕1号）</w:t>
      </w:r>
      <w:r>
        <w:rPr>
          <w:rStyle w:val="17"/>
          <w:rFonts w:hint="eastAsia" w:ascii="仿宋_GB2312" w:hAnsi="仿宋_GB2312" w:eastAsia="仿宋_GB2312" w:cs="仿宋_GB2312"/>
          <w:color w:val="auto"/>
          <w:sz w:val="32"/>
          <w:szCs w:val="40"/>
          <w:highlight w:val="none"/>
        </w:rPr>
        <w:footnoteReference w:id="0"/>
      </w:r>
      <w:r>
        <w:rPr>
          <w:rFonts w:hint="eastAsia" w:ascii="仿宋_GB2312" w:hAnsi="仿宋_GB2312" w:eastAsia="仿宋_GB2312" w:cs="仿宋_GB2312"/>
          <w:color w:val="auto"/>
          <w:sz w:val="32"/>
          <w:szCs w:val="40"/>
        </w:rPr>
        <w:t>，研究院应制定科研、财务、诚信等内部管理制度，但西电青岛研究院未制定诚信管理制度。项目实施过程中，市科技局依据《青岛市科技计划项目实施过程管理办法》（青科字〔2024〕8号）、《青岛市科技计划项目验收管理办法》（青科字〔2023〕10号）等管理办法开展过程管理，实施了中期检查和评估工作，但未对照项目任务书逐项形成专家认定结论；城阳区科技局对西电创新基地项目过程监管及绩效评价工作</w:t>
      </w:r>
      <w:r>
        <w:rPr>
          <w:rFonts w:hint="eastAsia" w:ascii="仿宋_GB2312" w:hAnsi="仿宋_GB2312" w:eastAsia="仿宋_GB2312" w:cs="仿宋_GB2312"/>
          <w:color w:val="auto"/>
          <w:sz w:val="32"/>
          <w:szCs w:val="40"/>
          <w:lang w:val="en-US" w:eastAsia="zh-CN"/>
        </w:rPr>
        <w:t>有待强化</w:t>
      </w:r>
      <w:r>
        <w:rPr>
          <w:rFonts w:hint="eastAsia" w:ascii="仿宋_GB2312" w:hAnsi="仿宋_GB2312" w:eastAsia="仿宋_GB2312" w:cs="仿宋_GB2312"/>
          <w:color w:val="auto"/>
          <w:sz w:val="32"/>
          <w:szCs w:val="40"/>
        </w:rPr>
        <w:t>，为项目配置的人才公寓</w:t>
      </w:r>
      <w:r>
        <w:rPr>
          <w:rFonts w:ascii="仿宋_GB2312" w:hAnsi="仿宋_GB2312" w:eastAsia="仿宋_GB2312" w:cs="仿宋_GB2312"/>
          <w:color w:val="auto"/>
          <w:sz w:val="32"/>
          <w:szCs w:val="40"/>
        </w:rPr>
        <w:t>存在闲置浪费</w:t>
      </w:r>
      <w:r>
        <w:rPr>
          <w:rFonts w:hint="eastAsia" w:ascii="仿宋_GB2312" w:hAnsi="仿宋_GB2312" w:eastAsia="仿宋_GB2312" w:cs="仿宋_GB2312"/>
          <w:color w:val="auto"/>
          <w:sz w:val="32"/>
          <w:szCs w:val="40"/>
        </w:rPr>
        <w:t>现象</w:t>
      </w:r>
      <w:r>
        <w:rPr>
          <w:rFonts w:ascii="仿宋_GB2312" w:hAnsi="仿宋_GB2312" w:eastAsia="仿宋_GB2312" w:cs="仿宋_GB2312"/>
          <w:color w:val="auto"/>
          <w:sz w:val="32"/>
          <w:szCs w:val="40"/>
        </w:rPr>
        <w:t>。根据《会商专项议定书》，城阳区为西电</w:t>
      </w:r>
      <w:r>
        <w:rPr>
          <w:rFonts w:hint="eastAsia" w:ascii="仿宋_GB2312" w:hAnsi="仿宋_GB2312" w:eastAsia="仿宋_GB2312" w:cs="仿宋_GB2312"/>
          <w:color w:val="auto"/>
          <w:sz w:val="32"/>
          <w:szCs w:val="40"/>
        </w:rPr>
        <w:t>青岛研究院免费</w:t>
      </w:r>
      <w:r>
        <w:rPr>
          <w:rFonts w:ascii="仿宋_GB2312" w:hAnsi="仿宋_GB2312" w:eastAsia="仿宋_GB2312" w:cs="仿宋_GB2312"/>
          <w:color w:val="auto"/>
          <w:sz w:val="32"/>
          <w:szCs w:val="40"/>
        </w:rPr>
        <w:t>提供</w:t>
      </w:r>
      <w:r>
        <w:rPr>
          <w:rFonts w:hint="eastAsia" w:ascii="仿宋_GB2312" w:hAnsi="仿宋_GB2312" w:eastAsia="仿宋_GB2312" w:cs="仿宋_GB2312"/>
          <w:color w:val="auto"/>
          <w:sz w:val="32"/>
          <w:szCs w:val="40"/>
        </w:rPr>
        <w:t>96套</w:t>
      </w:r>
      <w:r>
        <w:rPr>
          <w:rFonts w:ascii="仿宋_GB2312" w:hAnsi="仿宋_GB2312" w:eastAsia="仿宋_GB2312" w:cs="仿宋_GB2312"/>
          <w:color w:val="auto"/>
          <w:sz w:val="32"/>
          <w:szCs w:val="40"/>
        </w:rPr>
        <w:t>设施齐全的公寓，用于解决专家、研究生和管理人员的住宿问题</w:t>
      </w:r>
      <w:r>
        <w:rPr>
          <w:rFonts w:hint="eastAsia" w:ascii="仿宋_GB2312" w:hAnsi="仿宋_GB2312" w:eastAsia="仿宋_GB2312" w:cs="仿宋_GB2312"/>
          <w:color w:val="auto"/>
          <w:sz w:val="32"/>
          <w:szCs w:val="40"/>
        </w:rPr>
        <w:t>，但</w:t>
      </w:r>
      <w:r>
        <w:rPr>
          <w:rFonts w:ascii="仿宋_GB2312" w:hAnsi="仿宋_GB2312" w:eastAsia="仿宋_GB2312" w:cs="仿宋_GB2312"/>
          <w:color w:val="auto"/>
          <w:sz w:val="32"/>
          <w:szCs w:val="40"/>
        </w:rPr>
        <w:t>截至评价日（2025年6月3日），实际</w:t>
      </w:r>
      <w:r>
        <w:rPr>
          <w:rFonts w:hint="eastAsia" w:ascii="仿宋_GB2312" w:hAnsi="仿宋_GB2312" w:eastAsia="仿宋_GB2312" w:cs="仿宋_GB2312"/>
          <w:color w:val="auto"/>
          <w:sz w:val="32"/>
          <w:szCs w:val="40"/>
        </w:rPr>
        <w:t>仅</w:t>
      </w:r>
      <w:r>
        <w:rPr>
          <w:rFonts w:ascii="仿宋_GB2312" w:hAnsi="仿宋_GB2312" w:eastAsia="仿宋_GB2312" w:cs="仿宋_GB2312"/>
          <w:color w:val="auto"/>
          <w:sz w:val="32"/>
          <w:szCs w:val="40"/>
        </w:rPr>
        <w:t>使用66套，使用率68.75%，</w:t>
      </w:r>
      <w:r>
        <w:rPr>
          <w:rFonts w:hint="eastAsia" w:ascii="仿宋_GB2312" w:hAnsi="仿宋_GB2312" w:eastAsia="仿宋_GB2312" w:cs="仿宋_GB2312"/>
          <w:color w:val="auto"/>
          <w:sz w:val="32"/>
          <w:szCs w:val="40"/>
        </w:rPr>
        <w:t>尚有</w:t>
      </w:r>
      <w:r>
        <w:rPr>
          <w:rFonts w:ascii="仿宋_GB2312" w:hAnsi="仿宋_GB2312" w:eastAsia="仿宋_GB2312" w:cs="仿宋_GB2312"/>
          <w:color w:val="auto"/>
          <w:sz w:val="32"/>
          <w:szCs w:val="40"/>
        </w:rPr>
        <w:t>30套</w:t>
      </w:r>
      <w:r>
        <w:rPr>
          <w:rFonts w:hint="eastAsia" w:ascii="仿宋_GB2312" w:hAnsi="仿宋_GB2312" w:eastAsia="仿宋_GB2312" w:cs="仿宋_GB2312"/>
          <w:color w:val="auto"/>
          <w:sz w:val="32"/>
          <w:szCs w:val="40"/>
        </w:rPr>
        <w:t>处于</w:t>
      </w:r>
      <w:r>
        <w:rPr>
          <w:rFonts w:ascii="仿宋_GB2312" w:hAnsi="仿宋_GB2312" w:eastAsia="仿宋_GB2312" w:cs="仿宋_GB2312"/>
          <w:color w:val="auto"/>
          <w:sz w:val="32"/>
          <w:szCs w:val="40"/>
        </w:rPr>
        <w:t>闲置</w:t>
      </w:r>
      <w:r>
        <w:rPr>
          <w:rFonts w:hint="eastAsia" w:ascii="仿宋_GB2312" w:hAnsi="仿宋_GB2312" w:eastAsia="仿宋_GB2312" w:cs="仿宋_GB2312"/>
          <w:color w:val="auto"/>
          <w:sz w:val="32"/>
          <w:szCs w:val="40"/>
        </w:rPr>
        <w:t>状态。</w:t>
      </w:r>
    </w:p>
    <w:p>
      <w:pPr>
        <w:adjustRightInd w:val="0"/>
        <w:snapToGrid w:val="0"/>
        <w:spacing w:line="590"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（3）产出指标分析。</w:t>
      </w:r>
      <w:r>
        <w:rPr>
          <w:rFonts w:hint="eastAsia" w:ascii="仿宋_GB2312" w:hAnsi="仿宋_GB2312" w:eastAsia="仿宋_GB2312" w:cs="仿宋_GB2312"/>
          <w:color w:val="auto"/>
          <w:sz w:val="32"/>
          <w:szCs w:val="40"/>
        </w:rPr>
        <w:t>指标分值25分，得分20.88分，得分率83.52%。项目任务完成情况较好，成功获批山东省数字经济创新人才基地，与青岛三利中德美水设备有限公司共建智慧水务与数据安全联合实验室，新申请国家发明专利16项，培养人才77名，技术赋能服务企业34家，但，研究生培养规模未达预期；科普课堂开展次数较少；未能有效发挥高层次人才蓄水池作用；国际交流平台作用发挥不明显。具体任务完成情况如下表所示。</w:t>
      </w:r>
    </w:p>
    <w:p>
      <w:pPr>
        <w:pStyle w:val="8"/>
        <w:spacing w:after="120" w:afterLines="50" w:line="590" w:lineRule="exact"/>
        <w:ind w:firstLine="0"/>
        <w:jc w:val="center"/>
        <w:rPr>
          <w:rFonts w:ascii="黑体" w:hAnsi="黑体" w:eastAsia="黑体" w:cs="黑体"/>
          <w:color w:val="auto"/>
          <w:sz w:val="28"/>
        </w:rPr>
      </w:pPr>
      <w:r>
        <w:rPr>
          <w:rFonts w:hint="eastAsia" w:ascii="黑体" w:hAnsi="黑体" w:eastAsia="黑体" w:cs="黑体"/>
          <w:color w:val="auto"/>
          <w:sz w:val="28"/>
        </w:rPr>
        <w:t>表3-3 西电创新基地目标任务完成情况表</w:t>
      </w:r>
    </w:p>
    <w:tbl>
      <w:tblPr>
        <w:tblStyle w:val="14"/>
        <w:tblW w:w="51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864"/>
        <w:gridCol w:w="4193"/>
        <w:gridCol w:w="3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5" w:type="pct"/>
            <w:vAlign w:val="center"/>
          </w:tcPr>
          <w:p>
            <w:pPr>
              <w:widowControl/>
              <w:adjustRightInd w:val="0"/>
              <w:snapToGrid w:val="0"/>
              <w:jc w:val="center"/>
              <w:rPr>
                <w:rFonts w:ascii="仿宋_GB2312" w:hAnsi="仿宋_GB2312" w:eastAsia="仿宋_GB2312" w:cs="仿宋_GB2312"/>
                <w:color w:val="auto"/>
                <w:sz w:val="32"/>
                <w:szCs w:val="40"/>
              </w:rPr>
            </w:pPr>
            <w:r>
              <w:rPr>
                <w:rFonts w:hint="eastAsia" w:ascii="宋体" w:hAnsi="宋体" w:eastAsia="宋体" w:cs="宋体"/>
                <w:b/>
                <w:bCs/>
                <w:color w:val="auto"/>
                <w:szCs w:val="21"/>
              </w:rPr>
              <w:t>项目名称</w:t>
            </w:r>
          </w:p>
        </w:tc>
        <w:tc>
          <w:tcPr>
            <w:tcW w:w="466" w:type="pct"/>
            <w:vAlign w:val="center"/>
          </w:tcPr>
          <w:p>
            <w:pPr>
              <w:widowControl/>
              <w:adjustRightInd w:val="0"/>
              <w:snapToGrid w:val="0"/>
              <w:jc w:val="center"/>
              <w:rPr>
                <w:rFonts w:ascii="宋体" w:hAnsi="宋体" w:eastAsia="宋体" w:cs="宋体"/>
                <w:b/>
                <w:bCs/>
                <w:color w:val="auto"/>
                <w:szCs w:val="21"/>
              </w:rPr>
            </w:pPr>
            <w:r>
              <w:rPr>
                <w:rFonts w:hint="eastAsia" w:ascii="宋体" w:hAnsi="宋体" w:eastAsia="宋体" w:cs="宋体"/>
                <w:b/>
                <w:bCs/>
                <w:color w:val="auto"/>
                <w:szCs w:val="21"/>
              </w:rPr>
              <w:t>项目实施单位</w:t>
            </w:r>
          </w:p>
        </w:tc>
        <w:tc>
          <w:tcPr>
            <w:tcW w:w="2261" w:type="pct"/>
            <w:vAlign w:val="center"/>
          </w:tcPr>
          <w:p>
            <w:pPr>
              <w:widowControl/>
              <w:adjustRightInd w:val="0"/>
              <w:snapToGrid w:val="0"/>
              <w:jc w:val="center"/>
              <w:rPr>
                <w:rFonts w:ascii="宋体" w:hAnsi="宋体" w:eastAsia="宋体" w:cs="宋体"/>
                <w:b/>
                <w:bCs/>
                <w:color w:val="auto"/>
                <w:szCs w:val="21"/>
              </w:rPr>
            </w:pPr>
            <w:r>
              <w:rPr>
                <w:rFonts w:hint="eastAsia" w:ascii="宋体" w:hAnsi="宋体" w:eastAsia="宋体" w:cs="宋体"/>
                <w:b/>
                <w:bCs/>
                <w:color w:val="auto"/>
                <w:szCs w:val="21"/>
              </w:rPr>
              <w:t>目标任务</w:t>
            </w:r>
          </w:p>
        </w:tc>
        <w:tc>
          <w:tcPr>
            <w:tcW w:w="1907" w:type="pct"/>
            <w:vAlign w:val="center"/>
          </w:tcPr>
          <w:p>
            <w:pPr>
              <w:widowControl/>
              <w:adjustRightInd w:val="0"/>
              <w:snapToGrid w:val="0"/>
              <w:jc w:val="center"/>
              <w:rPr>
                <w:rFonts w:ascii="宋体" w:hAnsi="宋体" w:eastAsia="宋体" w:cs="宋体"/>
                <w:b/>
                <w:bCs/>
                <w:color w:val="auto"/>
                <w:szCs w:val="21"/>
              </w:rPr>
            </w:pPr>
            <w:r>
              <w:rPr>
                <w:rFonts w:hint="eastAsia" w:ascii="宋体" w:hAnsi="宋体" w:eastAsia="宋体" w:cs="宋体"/>
                <w:b/>
                <w:bCs/>
                <w:color w:val="auto"/>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8" w:hRule="atLeast"/>
        </w:trPr>
        <w:tc>
          <w:tcPr>
            <w:tcW w:w="365" w:type="pct"/>
            <w:vAlign w:val="center"/>
          </w:tcPr>
          <w:p>
            <w:pPr>
              <w:widowControl/>
              <w:adjustRightInd w:val="0"/>
              <w:snapToGrid w:val="0"/>
              <w:jc w:val="center"/>
              <w:textAlignment w:val="center"/>
              <w:rPr>
                <w:rFonts w:ascii="宋体" w:hAnsi="宋体" w:eastAsia="宋体" w:cs="宋体"/>
                <w:b/>
                <w:bCs/>
                <w:color w:val="auto"/>
                <w:szCs w:val="21"/>
              </w:rPr>
            </w:pPr>
            <w:r>
              <w:rPr>
                <w:rFonts w:hint="eastAsia" w:ascii="宋体" w:hAnsi="宋体" w:eastAsia="宋体" w:cs="宋体"/>
                <w:color w:val="auto"/>
                <w:kern w:val="0"/>
                <w:szCs w:val="21"/>
                <w:lang w:bidi="ar"/>
              </w:rPr>
              <w:t>西电创新基地</w:t>
            </w:r>
          </w:p>
        </w:tc>
        <w:tc>
          <w:tcPr>
            <w:tcW w:w="466" w:type="pct"/>
            <w:vAlign w:val="center"/>
          </w:tcPr>
          <w:p>
            <w:pPr>
              <w:widowControl/>
              <w:adjustRightInd w:val="0"/>
              <w:snapToGrid w:val="0"/>
              <w:jc w:val="center"/>
              <w:textAlignment w:val="center"/>
              <w:rPr>
                <w:rFonts w:ascii="宋体" w:hAnsi="宋体" w:eastAsia="宋体" w:cs="宋体"/>
                <w:b/>
                <w:bCs/>
                <w:color w:val="auto"/>
                <w:szCs w:val="21"/>
              </w:rPr>
            </w:pPr>
            <w:r>
              <w:rPr>
                <w:rFonts w:hint="eastAsia" w:ascii="宋体" w:hAnsi="宋体" w:eastAsia="宋体" w:cs="宋体"/>
                <w:color w:val="auto"/>
                <w:kern w:val="0"/>
                <w:szCs w:val="21"/>
                <w:lang w:bidi="ar"/>
              </w:rPr>
              <w:t>西安电子科技大学青岛技术研究院</w:t>
            </w:r>
          </w:p>
        </w:tc>
        <w:tc>
          <w:tcPr>
            <w:tcW w:w="2261" w:type="pct"/>
            <w:vAlign w:val="center"/>
          </w:tcPr>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1.组建联合实验室</w:t>
            </w:r>
            <w:r>
              <w:rPr>
                <w:rFonts w:ascii="宋体" w:hAnsi="宋体" w:eastAsia="宋体" w:cs="宋体"/>
                <w:color w:val="auto"/>
                <w:kern w:val="0"/>
                <w:szCs w:val="21"/>
                <w:lang w:bidi="ar"/>
              </w:rPr>
              <w:t>≥</w:t>
            </w:r>
            <w:r>
              <w:rPr>
                <w:rFonts w:hint="eastAsia" w:ascii="宋体" w:hAnsi="宋体" w:eastAsia="宋体" w:cs="宋体"/>
                <w:color w:val="auto"/>
                <w:kern w:val="0"/>
                <w:szCs w:val="21"/>
                <w:lang w:bidi="ar"/>
              </w:rPr>
              <w:t>1个；</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建成并获批</w:t>
            </w:r>
            <w:r>
              <w:rPr>
                <w:rFonts w:hint="eastAsia" w:ascii="宋体" w:hAnsi="宋体" w:eastAsia="宋体" w:cs="宋体"/>
                <w:color w:val="auto"/>
                <w:kern w:val="0"/>
                <w:szCs w:val="21"/>
                <w:lang w:bidi="ar"/>
              </w:rPr>
              <w:t>（</w:t>
            </w:r>
            <w:r>
              <w:rPr>
                <w:rFonts w:ascii="宋体" w:hAnsi="宋体" w:eastAsia="宋体" w:cs="宋体"/>
                <w:color w:val="auto"/>
                <w:kern w:val="0"/>
                <w:szCs w:val="21"/>
                <w:lang w:bidi="ar"/>
              </w:rPr>
              <w:t>认定</w:t>
            </w:r>
            <w:r>
              <w:rPr>
                <w:rFonts w:hint="eastAsia" w:ascii="宋体" w:hAnsi="宋体" w:eastAsia="宋体" w:cs="宋体"/>
                <w:color w:val="auto"/>
                <w:kern w:val="0"/>
                <w:szCs w:val="21"/>
                <w:lang w:bidi="ar"/>
              </w:rPr>
              <w:t>）</w:t>
            </w:r>
            <w:r>
              <w:rPr>
                <w:rFonts w:ascii="宋体" w:hAnsi="宋体" w:eastAsia="宋体" w:cs="宋体"/>
                <w:color w:val="auto"/>
                <w:kern w:val="0"/>
                <w:szCs w:val="21"/>
                <w:lang w:bidi="ar"/>
              </w:rPr>
              <w:t>市级及以上公共服务、科技创新或人才与产业支撑等相关平台≥1个</w:t>
            </w:r>
            <w:r>
              <w:rPr>
                <w:rFonts w:hint="eastAsia" w:ascii="宋体" w:hAnsi="宋体" w:eastAsia="宋体" w:cs="宋体"/>
                <w:color w:val="auto"/>
                <w:kern w:val="0"/>
                <w:szCs w:val="21"/>
                <w:lang w:bidi="ar"/>
              </w:rPr>
              <w:t>；</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w:t>
            </w:r>
            <w:r>
              <w:rPr>
                <w:rFonts w:ascii="宋体" w:hAnsi="宋体" w:eastAsia="宋体" w:cs="宋体"/>
                <w:color w:val="auto"/>
                <w:kern w:val="0"/>
                <w:szCs w:val="21"/>
                <w:lang w:bidi="ar"/>
              </w:rPr>
              <w:t>新申请国家发明专利≥6项；</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新登记软件著作权≥8项；</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w:t>
            </w:r>
            <w:r>
              <w:rPr>
                <w:rFonts w:ascii="宋体" w:hAnsi="宋体" w:eastAsia="宋体" w:cs="宋体"/>
                <w:color w:val="auto"/>
                <w:kern w:val="0"/>
                <w:szCs w:val="21"/>
                <w:lang w:bidi="ar"/>
              </w:rPr>
              <w:t>导入有应用前景的科技成果≥10项</w:t>
            </w:r>
            <w:r>
              <w:rPr>
                <w:rFonts w:hint="eastAsia" w:ascii="宋体" w:hAnsi="宋体" w:eastAsia="宋体" w:cs="宋体"/>
                <w:color w:val="auto"/>
                <w:kern w:val="0"/>
                <w:szCs w:val="21"/>
                <w:lang w:bidi="ar"/>
              </w:rPr>
              <w:t>；</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w:t>
            </w:r>
            <w:r>
              <w:rPr>
                <w:rFonts w:ascii="宋体" w:hAnsi="宋体" w:eastAsia="宋体" w:cs="宋体"/>
                <w:color w:val="auto"/>
                <w:kern w:val="0"/>
                <w:szCs w:val="21"/>
                <w:lang w:bidi="ar"/>
              </w:rPr>
              <w:t>技术赋能服务企业≥30家；</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7.导入企业关键技术需求≥12次，并为企业提供技术支持、资源共享、技术咨询等服务≥12次；</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8.为企事业单位提供人才技能提升≥160人次；</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9.对城阳区相关政策制定产业规划重大项目研判等领域提供智囊支持；</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10.培养新一代信息技术领域研究生人才≥40人；</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11.全日制硕士及以上专业学位研究生在城阳区培养的规模≥2000人；</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12.开展院（校）企产学研交流会、成果转化等对接活动≥7次；</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13.免费为城阳区提供相关学科的社会科普讲座≥20次；</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14.免费在城阳电视广播节目中提供相关科普讲座≥6次；</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15.培养基地学生学校奖学金评选比例≥68.03%；</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16.吸引海内外优秀毕业生和校外高端人才加入研究院；</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17.高层次人才占比≥20%，或研究团队负责人为杰出人才、领军人才，或团队成员担任国家级学会/协会职务，或获得国家级科技奖项；</w:t>
            </w:r>
          </w:p>
          <w:p>
            <w:pPr>
              <w:widowControl/>
              <w:adjustRightInd w:val="0"/>
              <w:snapToGrid w:val="0"/>
              <w:jc w:val="left"/>
              <w:textAlignment w:val="center"/>
              <w:rPr>
                <w:rFonts w:ascii="宋体" w:hAnsi="宋体" w:eastAsia="宋体" w:cs="宋体"/>
                <w:b/>
                <w:bCs/>
                <w:color w:val="auto"/>
                <w:szCs w:val="21"/>
              </w:rPr>
            </w:pPr>
            <w:r>
              <w:rPr>
                <w:rFonts w:hint="eastAsia" w:ascii="宋体" w:hAnsi="宋体" w:eastAsia="宋体" w:cs="宋体"/>
                <w:color w:val="auto"/>
                <w:kern w:val="0"/>
                <w:szCs w:val="21"/>
                <w:lang w:bidi="ar"/>
              </w:rPr>
              <w:t>18.技术研发投入强度≥25%。</w:t>
            </w:r>
          </w:p>
        </w:tc>
        <w:tc>
          <w:tcPr>
            <w:tcW w:w="1907" w:type="pct"/>
            <w:vAlign w:val="center"/>
          </w:tcPr>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1.共建智慧水务与数据安全联合实验室，完成；</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2.获批山东省数字经济创新人才基地，完成；</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3.新申请国家发明专利16项，完成；</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4.新登记软件著作权16项，完成；</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5.导入科技成果1</w:t>
            </w:r>
            <w:r>
              <w:rPr>
                <w:rFonts w:hint="eastAsia" w:ascii="宋体" w:hAnsi="宋体" w:eastAsia="宋体" w:cs="宋体"/>
                <w:color w:val="auto"/>
                <w:kern w:val="0"/>
                <w:szCs w:val="21"/>
                <w:lang w:val="en-US" w:eastAsia="zh-CN" w:bidi="ar"/>
              </w:rPr>
              <w:t>1</w:t>
            </w:r>
            <w:r>
              <w:rPr>
                <w:rFonts w:hint="eastAsia" w:ascii="宋体" w:hAnsi="宋体" w:eastAsia="宋体" w:cs="宋体"/>
                <w:color w:val="auto"/>
                <w:kern w:val="0"/>
                <w:szCs w:val="21"/>
                <w:lang w:bidi="ar"/>
              </w:rPr>
              <w:t>项，完成；</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6.技术赋能服务企业34家，完成；</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7.导入企业关键技术需求12项，并为企业提供技术支持、资源共享、技术咨询等服务14次，完成；</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8.共举办培训会4场，参与</w:t>
            </w:r>
            <w:r>
              <w:rPr>
                <w:rFonts w:hint="eastAsia" w:ascii="宋体" w:hAnsi="宋体" w:eastAsia="宋体" w:cs="宋体"/>
                <w:color w:val="auto"/>
                <w:kern w:val="0"/>
                <w:szCs w:val="21"/>
                <w:lang w:val="en-US" w:eastAsia="zh-CN" w:bidi="ar"/>
              </w:rPr>
              <w:t>约</w:t>
            </w:r>
            <w:r>
              <w:rPr>
                <w:rFonts w:hint="eastAsia" w:ascii="宋体" w:hAnsi="宋体" w:eastAsia="宋体" w:cs="宋体"/>
                <w:color w:val="auto"/>
                <w:kern w:val="0"/>
                <w:szCs w:val="21"/>
                <w:lang w:bidi="ar"/>
              </w:rPr>
              <w:t>204人次，完成；</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9.为城阳区相关部门提供了智囊支持，完成；</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10.培养新一代信息技术领域研究生77人，完成；</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11.全日制硕士及以上专业学位研究生在城阳培养人数528名，未完成；</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12.开展校企对接会、成果转化交流会12次，完成；</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13.提供科普课堂4次，未完成；</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14.免费在城阳电视广播节目中提供相关科普讲座0次，未完成；</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15.2022年学生在2024年获得奖学金评选比例为63.4%，未完成；</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16.未吸引海内外优秀毕业生和校外高端人才加入研究院，未完成；</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17.团队负责人沈玉龙为长江学者，完成；</w:t>
            </w:r>
          </w:p>
          <w:p>
            <w:pPr>
              <w:widowControl/>
              <w:adjustRightInd w:val="0"/>
              <w:snapToGrid w:val="0"/>
              <w:jc w:val="left"/>
              <w:textAlignment w:val="center"/>
              <w:rPr>
                <w:rFonts w:ascii="宋体" w:hAnsi="宋体" w:eastAsia="宋体" w:cs="宋体"/>
                <w:b/>
                <w:bCs/>
                <w:color w:val="auto"/>
                <w:szCs w:val="21"/>
              </w:rPr>
            </w:pPr>
            <w:r>
              <w:rPr>
                <w:rFonts w:hint="eastAsia" w:ascii="宋体" w:hAnsi="宋体" w:eastAsia="宋体" w:cs="宋体"/>
                <w:color w:val="auto"/>
                <w:kern w:val="0"/>
                <w:szCs w:val="21"/>
                <w:lang w:bidi="ar"/>
              </w:rPr>
              <w:t>18.</w:t>
            </w:r>
            <w:r>
              <w:rPr>
                <w:rFonts w:ascii="宋体" w:hAnsi="宋体" w:eastAsia="宋体" w:cs="宋体"/>
                <w:color w:val="auto"/>
                <w:kern w:val="0"/>
                <w:szCs w:val="21"/>
                <w:lang w:bidi="ar"/>
              </w:rPr>
              <w:t>研发投入强度3</w:t>
            </w:r>
            <w:r>
              <w:rPr>
                <w:rFonts w:hint="eastAsia" w:ascii="宋体" w:hAnsi="宋体" w:eastAsia="宋体" w:cs="宋体"/>
                <w:color w:val="auto"/>
                <w:kern w:val="0"/>
                <w:szCs w:val="21"/>
                <w:lang w:bidi="ar"/>
              </w:rPr>
              <w:t>3.51</w:t>
            </w:r>
            <w:r>
              <w:rPr>
                <w:rFonts w:ascii="宋体" w:hAnsi="宋体" w:eastAsia="宋体" w:cs="宋体"/>
                <w:color w:val="auto"/>
                <w:kern w:val="0"/>
                <w:szCs w:val="21"/>
                <w:lang w:bidi="ar"/>
              </w:rPr>
              <w:t>%</w:t>
            </w:r>
            <w:r>
              <w:rPr>
                <w:rFonts w:hint="eastAsia" w:ascii="宋体" w:hAnsi="宋体" w:eastAsia="宋体" w:cs="宋体"/>
                <w:color w:val="auto"/>
                <w:kern w:val="0"/>
                <w:szCs w:val="21"/>
                <w:lang w:bidi="ar"/>
              </w:rPr>
              <w:t>，完成。</w:t>
            </w:r>
          </w:p>
        </w:tc>
      </w:tr>
    </w:tbl>
    <w:p>
      <w:pPr>
        <w:adjustRightInd w:val="0"/>
        <w:snapToGrid w:val="0"/>
        <w:spacing w:before="120" w:beforeLines="50" w:line="580"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（4）效益指标分析。</w:t>
      </w:r>
      <w:r>
        <w:rPr>
          <w:rFonts w:hint="eastAsia" w:ascii="仿宋_GB2312" w:hAnsi="仿宋_GB2312" w:eastAsia="仿宋_GB2312" w:cs="仿宋_GB2312"/>
          <w:color w:val="auto"/>
          <w:sz w:val="32"/>
          <w:szCs w:val="40"/>
        </w:rPr>
        <w:t>指标分值40分，得分29.83分，得分率74.58%。项目以产教研融合创新实施关键技术攻关，开展以需求为导向多领域合作有组织的研发和以价值为导向的成果转化，助力青岛市制造业数字化转型，取得一定成效。在青岛设立博士后工作站，建成山东省大数据发展创新实验室、山东省工业互联网ICT公共服务平台、青岛市数据开放创新应用实验室等省市创新与服务平台，2024年获评青岛市优秀新型研发机构。任务期内成功转化科技成果9项，其中在城阳区</w:t>
      </w:r>
      <w:r>
        <w:rPr>
          <w:rFonts w:hint="eastAsia" w:ascii="仿宋_GB2312" w:hAnsi="仿宋_GB2312" w:eastAsia="仿宋_GB2312" w:cs="仿宋_GB2312"/>
          <w:color w:val="auto"/>
          <w:sz w:val="32"/>
          <w:szCs w:val="40"/>
          <w:highlight w:val="none"/>
        </w:rPr>
        <w:t>转化</w:t>
      </w:r>
      <w:r>
        <w:rPr>
          <w:rFonts w:hint="eastAsia" w:ascii="仿宋_GB2312" w:hAnsi="仿宋_GB2312" w:eastAsia="仿宋_GB2312" w:cs="仿宋_GB2312"/>
          <w:color w:val="auto"/>
          <w:sz w:val="32"/>
          <w:szCs w:val="40"/>
          <w:highlight w:val="none"/>
          <w:lang w:val="en-US" w:eastAsia="zh-CN"/>
        </w:rPr>
        <w:t>8</w:t>
      </w:r>
      <w:r>
        <w:rPr>
          <w:rFonts w:hint="eastAsia" w:ascii="仿宋_GB2312" w:hAnsi="仿宋_GB2312" w:eastAsia="仿宋_GB2312" w:cs="仿宋_GB2312"/>
          <w:color w:val="auto"/>
          <w:sz w:val="32"/>
          <w:szCs w:val="40"/>
          <w:highlight w:val="none"/>
        </w:rPr>
        <w:t>项；</w:t>
      </w:r>
      <w:r>
        <w:rPr>
          <w:rFonts w:hint="eastAsia" w:ascii="仿宋_GB2312" w:hAnsi="仿宋_GB2312" w:eastAsia="仿宋_GB2312" w:cs="仿宋_GB2312"/>
          <w:color w:val="auto"/>
          <w:sz w:val="32"/>
          <w:szCs w:val="40"/>
        </w:rPr>
        <w:t>孵化企业11家，其中高新技术企业1家，科技型中小企业10家，但人才培育、国际交流平台建设等方面有待提升：</w:t>
      </w:r>
      <w:r>
        <w:rPr>
          <w:rFonts w:hint="eastAsia" w:ascii="仿宋_GB2312" w:hAnsi="仿宋_GB2312" w:eastAsia="仿宋_GB2312" w:cs="仿宋_GB2312"/>
          <w:b/>
          <w:bCs/>
          <w:color w:val="auto"/>
          <w:sz w:val="32"/>
          <w:szCs w:val="40"/>
        </w:rPr>
        <w:t>一是</w:t>
      </w:r>
      <w:r>
        <w:rPr>
          <w:rFonts w:hint="eastAsia" w:ascii="仿宋_GB2312" w:hAnsi="仿宋_GB2312" w:eastAsia="仿宋_GB2312" w:cs="仿宋_GB2312"/>
          <w:color w:val="auto"/>
          <w:sz w:val="32"/>
          <w:szCs w:val="40"/>
        </w:rPr>
        <w:t>国际交流合作与平台搭建作用不明显，未有效推动科学研究、人才培养与国际接轨。</w:t>
      </w:r>
      <w:r>
        <w:rPr>
          <w:rFonts w:hint="eastAsia" w:ascii="仿宋_GB2312" w:hAnsi="仿宋_GB2312" w:eastAsia="仿宋_GB2312" w:cs="仿宋_GB2312"/>
          <w:b/>
          <w:bCs/>
          <w:color w:val="auto"/>
          <w:sz w:val="32"/>
          <w:szCs w:val="40"/>
        </w:rPr>
        <w:t>二是</w:t>
      </w:r>
      <w:r>
        <w:rPr>
          <w:rFonts w:hint="eastAsia" w:ascii="仿宋_GB2312" w:hAnsi="仿宋_GB2312" w:eastAsia="仿宋_GB2312" w:cs="仿宋_GB2312"/>
          <w:color w:val="auto"/>
          <w:sz w:val="32"/>
          <w:szCs w:val="40"/>
        </w:rPr>
        <w:t>人才培养效果未达预期，</w:t>
      </w:r>
      <w:r>
        <w:rPr>
          <w:rFonts w:hint="eastAsia" w:ascii="仿宋_GB2312" w:hAnsi="仿宋_GB2312" w:eastAsia="仿宋_GB2312" w:cs="仿宋_GB2312"/>
          <w:color w:val="auto"/>
          <w:sz w:val="32"/>
          <w:szCs w:val="40"/>
          <w:lang w:val="en-US" w:eastAsia="zh-CN"/>
        </w:rPr>
        <w:t>在青培养研究生留青率低</w:t>
      </w:r>
      <w:bookmarkStart w:id="6" w:name="_GoBack"/>
      <w:bookmarkEnd w:id="6"/>
      <w:r>
        <w:rPr>
          <w:rFonts w:hint="eastAsia" w:ascii="仿宋_GB2312" w:hAnsi="仿宋_GB2312" w:eastAsia="仿宋_GB2312" w:cs="仿宋_GB2312"/>
          <w:color w:val="auto"/>
          <w:sz w:val="32"/>
          <w:szCs w:val="40"/>
        </w:rPr>
        <w:t>，且未与教育系统形成良性合作。</w:t>
      </w:r>
      <w:r>
        <w:rPr>
          <w:rFonts w:hint="eastAsia" w:ascii="仿宋_GB2312" w:hAnsi="仿宋_GB2312" w:eastAsia="仿宋_GB2312" w:cs="仿宋_GB2312"/>
          <w:b/>
          <w:bCs/>
          <w:color w:val="auto"/>
          <w:sz w:val="32"/>
          <w:szCs w:val="40"/>
        </w:rPr>
        <w:t>三是</w:t>
      </w:r>
      <w:r>
        <w:rPr>
          <w:rFonts w:ascii="仿宋_GB2312" w:hAnsi="仿宋_GB2312" w:eastAsia="仿宋_GB2312" w:cs="仿宋_GB2312"/>
          <w:color w:val="auto"/>
          <w:sz w:val="32"/>
          <w:szCs w:val="40"/>
        </w:rPr>
        <w:t>与</w:t>
      </w:r>
      <w:r>
        <w:rPr>
          <w:rFonts w:hint="eastAsia" w:ascii="仿宋_GB2312" w:hAnsi="仿宋_GB2312" w:eastAsia="仿宋_GB2312" w:cs="仿宋_GB2312"/>
          <w:color w:val="auto"/>
          <w:sz w:val="32"/>
          <w:szCs w:val="40"/>
        </w:rPr>
        <w:t>青岛市</w:t>
      </w:r>
      <w:r>
        <w:rPr>
          <w:rFonts w:ascii="仿宋_GB2312" w:hAnsi="仿宋_GB2312" w:eastAsia="仿宋_GB2312" w:cs="仿宋_GB2312"/>
          <w:color w:val="auto"/>
          <w:sz w:val="32"/>
          <w:szCs w:val="40"/>
        </w:rPr>
        <w:t>新一代信息技术产业链的联动处于较浅层次，尚未形成深度融合的协同格局。</w:t>
      </w:r>
    </w:p>
    <w:p>
      <w:pPr>
        <w:adjustRightInd w:val="0"/>
        <w:snapToGrid w:val="0"/>
        <w:spacing w:line="580" w:lineRule="exact"/>
        <w:ind w:firstLine="643" w:firstLineChars="200"/>
        <w:rPr>
          <w:rFonts w:ascii="仿宋_GB2312" w:hAnsi="仿宋_GB2312" w:eastAsia="仿宋_GB2312" w:cs="仿宋_GB2312"/>
          <w:b/>
          <w:bCs/>
          <w:color w:val="auto"/>
          <w:sz w:val="32"/>
          <w:szCs w:val="40"/>
        </w:rPr>
      </w:pPr>
      <w:bookmarkStart w:id="3" w:name="_Toc28689"/>
      <w:r>
        <w:rPr>
          <w:rFonts w:hint="eastAsia" w:ascii="仿宋_GB2312" w:hAnsi="仿宋_GB2312" w:eastAsia="仿宋_GB2312" w:cs="仿宋_GB2312"/>
          <w:b/>
          <w:bCs/>
          <w:color w:val="auto"/>
          <w:sz w:val="32"/>
          <w:szCs w:val="40"/>
        </w:rPr>
        <w:t>2.认知人工智能研究院项目</w:t>
      </w:r>
    </w:p>
    <w:p>
      <w:pPr>
        <w:adjustRightInd w:val="0"/>
        <w:snapToGrid w:val="0"/>
        <w:spacing w:line="580"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（1）决策指标分析。</w:t>
      </w:r>
      <w:r>
        <w:rPr>
          <w:rFonts w:hint="eastAsia" w:ascii="仿宋_GB2312" w:hAnsi="仿宋_GB2312" w:eastAsia="仿宋_GB2312" w:cs="仿宋_GB2312"/>
          <w:color w:val="auto"/>
          <w:sz w:val="32"/>
          <w:szCs w:val="40"/>
        </w:rPr>
        <w:t>指标分值10分，得分9分，得分率90%。该项目由市南区结合自身资源优势与重点产业提出，围绕人工智能、脑神经科学和心理学领域开展交叉研究和技术应用，推动相关技术在医疗、教育、人力资源服务和社会治理等领域的应用和转化，带动相关产业发展，立项依据充分。项目</w:t>
      </w:r>
      <w:r>
        <w:rPr>
          <w:rFonts w:ascii="仿宋_GB2312" w:hAnsi="仿宋_GB2312" w:eastAsia="仿宋_GB2312" w:cs="仿宋_GB2312"/>
          <w:color w:val="auto"/>
          <w:sz w:val="32"/>
          <w:szCs w:val="40"/>
        </w:rPr>
        <w:t>依据《青岛市科学技术局局区（市）会商专项实施细则（试行）》</w:t>
      </w:r>
      <w:r>
        <w:rPr>
          <w:rFonts w:hint="eastAsia" w:ascii="仿宋_GB2312" w:hAnsi="仿宋_GB2312" w:eastAsia="仿宋_GB2312" w:cs="仿宋_GB2312"/>
          <w:color w:val="auto"/>
          <w:sz w:val="32"/>
          <w:szCs w:val="40"/>
        </w:rPr>
        <w:t>（青科规〔2019〕3号），签订</w:t>
      </w:r>
      <w:r>
        <w:rPr>
          <w:rFonts w:ascii="仿宋_GB2312" w:hAnsi="仿宋_GB2312" w:eastAsia="仿宋_GB2312" w:cs="仿宋_GB2312"/>
          <w:color w:val="auto"/>
          <w:sz w:val="32"/>
          <w:szCs w:val="40"/>
        </w:rPr>
        <w:t>《会商议定书》《局区（市）会商项目任务书》明确项目建设周期及任务目标</w:t>
      </w:r>
      <w:r>
        <w:rPr>
          <w:rFonts w:hint="eastAsia" w:ascii="仿宋_GB2312" w:hAnsi="仿宋_GB2312" w:eastAsia="仿宋_GB2312" w:cs="仿宋_GB2312"/>
          <w:color w:val="auto"/>
          <w:sz w:val="32"/>
          <w:szCs w:val="40"/>
        </w:rPr>
        <w:t>，立项程序规范。按规定编制了绩效目标，目标编制规范。根据专家对上期任务完成情况的评审结果确定本年度预算支持额度，但任务书所列的项目总投资支出预算未精准匹配设备采购和间接费用等核心支出需求，如，设备费支出预算10万元，实际支出4.99万元；间接费用支出预算55万元，实际支出78.85万元。</w:t>
      </w:r>
    </w:p>
    <w:p>
      <w:pPr>
        <w:adjustRightInd w:val="0"/>
        <w:snapToGrid w:val="0"/>
        <w:spacing w:line="580"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（2）过程指标分析。</w:t>
      </w:r>
      <w:r>
        <w:rPr>
          <w:rFonts w:hint="eastAsia" w:ascii="仿宋_GB2312" w:hAnsi="仿宋_GB2312" w:eastAsia="仿宋_GB2312" w:cs="仿宋_GB2312"/>
          <w:color w:val="auto"/>
          <w:sz w:val="32"/>
          <w:szCs w:val="40"/>
        </w:rPr>
        <w:t>指标分值25分，得分18.8分，得分率75.2%。2024年度，该项目安排市级预算资金250万元，区市实际拨付到位100万元，到位率40%，截至任务期结束，共计执行100万元，执行率100%。项目资金使用按照相关财务管理制度用于保障三期任务开展，</w:t>
      </w:r>
      <w:r>
        <w:rPr>
          <w:rFonts w:hint="eastAsia" w:ascii="仿宋_GB2312" w:hAnsi="仿宋_GB2312" w:eastAsia="仿宋_GB2312" w:cs="仿宋_GB2312"/>
          <w:color w:val="auto"/>
          <w:sz w:val="32"/>
          <w:szCs w:val="40"/>
          <w:highlight w:val="none"/>
        </w:rPr>
        <w:t>根据《青岛市科学技术局局区（市）会商专项实施细则》（青科规〔2024〕1号）</w:t>
      </w:r>
      <w:r>
        <w:rPr>
          <w:rFonts w:hint="eastAsia" w:ascii="仿宋_GB2312" w:hAnsi="仿宋_GB2312" w:eastAsia="仿宋_GB2312" w:cs="仿宋_GB2312"/>
          <w:color w:val="auto"/>
          <w:sz w:val="32"/>
          <w:szCs w:val="40"/>
        </w:rPr>
        <w:t>规定，研究院制定科研、财务、诚信等内部管理制度。但专项经费使用管理不够规范，评价期间以劳务费的形式支付本单位技术负责人和法定代表人两</w:t>
      </w:r>
      <w:r>
        <w:rPr>
          <w:rFonts w:ascii="仿宋_GB2312" w:hAnsi="仿宋_GB2312" w:eastAsia="仿宋_GB2312" w:cs="仿宋_GB2312"/>
          <w:color w:val="auto"/>
          <w:sz w:val="32"/>
          <w:szCs w:val="40"/>
        </w:rPr>
        <w:t>人</w:t>
      </w:r>
      <w:r>
        <w:rPr>
          <w:rFonts w:hint="eastAsia" w:ascii="仿宋_GB2312" w:hAnsi="仿宋_GB2312" w:eastAsia="仿宋_GB2312" w:cs="仿宋_GB2312"/>
          <w:color w:val="auto"/>
          <w:sz w:val="32"/>
          <w:szCs w:val="40"/>
        </w:rPr>
        <w:t>工资，间接费用占比超过相关管理规定。项目实施过程中，市科技局依据《青岛市科技计划项目实施过程管理办法》（青科字〔2024〕8号）、《青岛市科技计划项目验收管理办法》（青科字〔2023〕10号）等管理办法要求对项目开展了监督检查等相关工作，</w:t>
      </w:r>
      <w:r>
        <w:rPr>
          <w:rFonts w:hint="eastAsia" w:ascii="仿宋_GB2312" w:hAnsi="仿宋_GB2312" w:eastAsia="仿宋_GB2312" w:cs="仿宋_GB2312"/>
          <w:color w:val="auto"/>
          <w:sz w:val="32"/>
          <w:szCs w:val="40"/>
          <w:highlight w:val="none"/>
        </w:rPr>
        <w:t>但在一、二期专家考核中，未对照项目任务书逐项形成专家认定结论</w:t>
      </w:r>
      <w:r>
        <w:rPr>
          <w:rFonts w:hint="eastAsia" w:ascii="仿宋_GB2312" w:hAnsi="仿宋_GB2312" w:eastAsia="仿宋_GB2312" w:cs="仿宋_GB2312"/>
          <w:color w:val="auto"/>
          <w:sz w:val="32"/>
          <w:szCs w:val="40"/>
        </w:rPr>
        <w:t>；市南区科技局根据《青岛认知人工智能合伙企业（有限合伙）合伙协议》组织专家对研究院进行年度考核，但相关考核数据认定不够严谨，存在相同成果重复用于两期考核的现象。</w:t>
      </w:r>
    </w:p>
    <w:p>
      <w:pPr>
        <w:adjustRightInd w:val="0"/>
        <w:snapToGrid w:val="0"/>
        <w:spacing w:line="580"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（3）产出指标分析。</w:t>
      </w:r>
      <w:r>
        <w:rPr>
          <w:rFonts w:hint="eastAsia" w:ascii="仿宋_GB2312" w:hAnsi="仿宋_GB2312" w:eastAsia="仿宋_GB2312" w:cs="仿宋_GB2312"/>
          <w:color w:val="auto"/>
          <w:sz w:val="32"/>
          <w:szCs w:val="40"/>
        </w:rPr>
        <w:t>指标分值25分，得分15.2分，得分率60.8%。项目整体任务完成度不高，任务期内重大科技成果、引进人才/团队未达预期目标，且项目负责人仅以兼职形式参与项目。具体任务完成情况如下表所示。</w:t>
      </w:r>
    </w:p>
    <w:p>
      <w:pPr>
        <w:pStyle w:val="8"/>
        <w:spacing w:before="120" w:beforeLines="50" w:after="120" w:afterLines="50" w:line="240" w:lineRule="auto"/>
        <w:ind w:firstLine="0"/>
        <w:jc w:val="center"/>
        <w:rPr>
          <w:rFonts w:ascii="黑体" w:hAnsi="黑体" w:eastAsia="黑体" w:cs="黑体"/>
          <w:color w:val="auto"/>
          <w:sz w:val="28"/>
        </w:rPr>
      </w:pPr>
      <w:r>
        <w:rPr>
          <w:rFonts w:hint="eastAsia" w:ascii="黑体" w:hAnsi="黑体" w:eastAsia="黑体" w:cs="黑体"/>
          <w:color w:val="auto"/>
          <w:sz w:val="28"/>
        </w:rPr>
        <w:t>表3-4 认知人工智能研究院项目目标任务完成情况表</w:t>
      </w:r>
    </w:p>
    <w:tbl>
      <w:tblPr>
        <w:tblStyle w:val="14"/>
        <w:tblW w:w="51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883"/>
        <w:gridCol w:w="3948"/>
        <w:gridCol w:w="3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tblHeader/>
        </w:trPr>
        <w:tc>
          <w:tcPr>
            <w:tcW w:w="366" w:type="pct"/>
            <w:vAlign w:val="center"/>
          </w:tcPr>
          <w:p>
            <w:pPr>
              <w:widowControl/>
              <w:adjustRightInd w:val="0"/>
              <w:snapToGrid w:val="0"/>
              <w:jc w:val="center"/>
              <w:rPr>
                <w:rFonts w:ascii="仿宋_GB2312" w:hAnsi="仿宋_GB2312" w:eastAsia="仿宋_GB2312" w:cs="仿宋_GB2312"/>
                <w:color w:val="auto"/>
                <w:sz w:val="32"/>
                <w:szCs w:val="40"/>
              </w:rPr>
            </w:pPr>
            <w:r>
              <w:rPr>
                <w:rFonts w:hint="eastAsia" w:ascii="宋体" w:hAnsi="宋体" w:eastAsia="宋体" w:cs="宋体"/>
                <w:b/>
                <w:bCs/>
                <w:color w:val="auto"/>
                <w:szCs w:val="21"/>
              </w:rPr>
              <w:t>项目名称</w:t>
            </w:r>
          </w:p>
        </w:tc>
        <w:tc>
          <w:tcPr>
            <w:tcW w:w="476" w:type="pct"/>
            <w:vAlign w:val="center"/>
          </w:tcPr>
          <w:p>
            <w:pPr>
              <w:widowControl/>
              <w:adjustRightInd w:val="0"/>
              <w:snapToGrid w:val="0"/>
              <w:jc w:val="center"/>
              <w:rPr>
                <w:rFonts w:ascii="宋体" w:hAnsi="宋体" w:eastAsia="宋体" w:cs="宋体"/>
                <w:b/>
                <w:bCs/>
                <w:color w:val="auto"/>
                <w:szCs w:val="21"/>
              </w:rPr>
            </w:pPr>
            <w:r>
              <w:rPr>
                <w:rFonts w:hint="eastAsia" w:ascii="宋体" w:hAnsi="宋体" w:eastAsia="宋体" w:cs="宋体"/>
                <w:b/>
                <w:bCs/>
                <w:color w:val="auto"/>
                <w:szCs w:val="21"/>
              </w:rPr>
              <w:t>项目承担单位</w:t>
            </w:r>
          </w:p>
        </w:tc>
        <w:tc>
          <w:tcPr>
            <w:tcW w:w="2129" w:type="pct"/>
            <w:vAlign w:val="center"/>
          </w:tcPr>
          <w:p>
            <w:pPr>
              <w:widowControl/>
              <w:adjustRightInd w:val="0"/>
              <w:snapToGrid w:val="0"/>
              <w:jc w:val="center"/>
              <w:rPr>
                <w:rFonts w:ascii="宋体" w:hAnsi="宋体" w:eastAsia="宋体" w:cs="宋体"/>
                <w:b/>
                <w:bCs/>
                <w:color w:val="auto"/>
                <w:szCs w:val="21"/>
              </w:rPr>
            </w:pPr>
            <w:r>
              <w:rPr>
                <w:rFonts w:hint="eastAsia" w:ascii="宋体" w:hAnsi="宋体" w:eastAsia="宋体" w:cs="宋体"/>
                <w:b/>
                <w:bCs/>
                <w:color w:val="auto"/>
                <w:szCs w:val="21"/>
              </w:rPr>
              <w:t>目标任务</w:t>
            </w:r>
          </w:p>
        </w:tc>
        <w:tc>
          <w:tcPr>
            <w:tcW w:w="2028" w:type="pct"/>
            <w:vAlign w:val="center"/>
          </w:tcPr>
          <w:p>
            <w:pPr>
              <w:widowControl/>
              <w:adjustRightInd w:val="0"/>
              <w:snapToGrid w:val="0"/>
              <w:jc w:val="center"/>
              <w:rPr>
                <w:rFonts w:ascii="宋体" w:hAnsi="宋体" w:eastAsia="宋体" w:cs="宋体"/>
                <w:b/>
                <w:bCs/>
                <w:color w:val="auto"/>
                <w:szCs w:val="21"/>
              </w:rPr>
            </w:pPr>
            <w:r>
              <w:rPr>
                <w:rFonts w:hint="eastAsia" w:ascii="宋体" w:hAnsi="宋体" w:eastAsia="宋体" w:cs="宋体"/>
                <w:b/>
                <w:bCs/>
                <w:color w:val="auto"/>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366" w:type="pct"/>
            <w:vAlign w:val="center"/>
          </w:tcPr>
          <w:p>
            <w:pPr>
              <w:widowControl/>
              <w:adjustRightInd w:val="0"/>
              <w:snapToGrid w:val="0"/>
              <w:jc w:val="center"/>
              <w:textAlignment w:val="center"/>
              <w:rPr>
                <w:rFonts w:ascii="宋体" w:hAnsi="宋体" w:eastAsia="宋体" w:cs="宋体"/>
                <w:color w:val="auto"/>
                <w:kern w:val="0"/>
                <w:szCs w:val="21"/>
                <w:lang w:bidi="ar"/>
              </w:rPr>
            </w:pPr>
          </w:p>
          <w:p>
            <w:pPr>
              <w:widowControl/>
              <w:adjustRightInd w:val="0"/>
              <w:snapToGrid w:val="0"/>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认知人工智能研究院</w:t>
            </w:r>
          </w:p>
          <w:p>
            <w:pPr>
              <w:widowControl/>
              <w:adjustRightInd w:val="0"/>
              <w:snapToGrid w:val="0"/>
              <w:textAlignment w:val="center"/>
              <w:rPr>
                <w:rFonts w:ascii="宋体" w:hAnsi="宋体" w:eastAsia="宋体" w:cs="宋体"/>
                <w:color w:val="auto"/>
                <w:kern w:val="0"/>
                <w:szCs w:val="21"/>
                <w:lang w:bidi="ar"/>
              </w:rPr>
            </w:pPr>
          </w:p>
        </w:tc>
        <w:tc>
          <w:tcPr>
            <w:tcW w:w="476" w:type="pct"/>
            <w:vAlign w:val="center"/>
          </w:tcPr>
          <w:p>
            <w:pPr>
              <w:widowControl/>
              <w:adjustRightInd w:val="0"/>
              <w:snapToGrid w:val="0"/>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青岛类认知人工智能有限公司</w:t>
            </w:r>
          </w:p>
        </w:tc>
        <w:tc>
          <w:tcPr>
            <w:tcW w:w="2129" w:type="pct"/>
            <w:vAlign w:val="center"/>
          </w:tcPr>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1.累计建成国际、国内具有突破性装备示范原型、首套应用示范产品线、围绕相关突破性技术发表高水平研究成果≥10项；</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2.申请发明专利≥2项；</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3.获得授权发明专利≥3项；</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4.完成特殊人群技术领域2项产品研发，并取得对应的软件产品证书；</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5.累计引进人才/团队数量≥20个；</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6.引进人才/团队数量≥5个。</w:t>
            </w:r>
          </w:p>
        </w:tc>
        <w:tc>
          <w:tcPr>
            <w:tcW w:w="2028" w:type="pct"/>
            <w:shd w:val="clear" w:color="auto" w:fill="auto"/>
            <w:vAlign w:val="center"/>
          </w:tcPr>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1.共取得重大研究成果4项，未完成；</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2.申请发明专利2项，完成；</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3.获得授权发明专利3项，完成；</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4.完成特殊人群技术领域2项产品研发，并取得对应的软件产品证书，完成；</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5.项目累计引进人才16人，未完成；</w:t>
            </w:r>
          </w:p>
          <w:p>
            <w:pPr>
              <w:widowControl/>
              <w:adjustRightInd w:val="0"/>
              <w:snapToGrid w:val="0"/>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6.引进人才1人，未完成。</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120" w:beforeLines="50" w:line="590" w:lineRule="exact"/>
        <w:ind w:firstLine="643" w:firstLineChars="200"/>
        <w:textAlignment w:val="auto"/>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w:t>
      </w:r>
      <w:r>
        <w:rPr>
          <w:rFonts w:hint="eastAsia" w:ascii="仿宋_GB2312" w:hAnsi="仿宋_GB2312" w:eastAsia="仿宋_GB2312" w:cs="仿宋_GB2312"/>
          <w:b/>
          <w:bCs/>
          <w:color w:val="auto"/>
          <w:sz w:val="32"/>
          <w:szCs w:val="40"/>
          <w:lang w:val="en-US" w:eastAsia="zh-CN"/>
        </w:rPr>
        <w:t>4</w:t>
      </w:r>
      <w:r>
        <w:rPr>
          <w:rFonts w:hint="eastAsia" w:ascii="仿宋_GB2312" w:hAnsi="仿宋_GB2312" w:eastAsia="仿宋_GB2312" w:cs="仿宋_GB2312"/>
          <w:b/>
          <w:bCs/>
          <w:color w:val="auto"/>
          <w:sz w:val="32"/>
          <w:szCs w:val="40"/>
        </w:rPr>
        <w:t>）效益指标分析。</w:t>
      </w:r>
      <w:r>
        <w:rPr>
          <w:rFonts w:hint="eastAsia" w:ascii="仿宋_GB2312" w:hAnsi="仿宋_GB2312" w:eastAsia="仿宋_GB2312" w:cs="仿宋_GB2312"/>
          <w:color w:val="auto"/>
          <w:sz w:val="32"/>
          <w:szCs w:val="40"/>
        </w:rPr>
        <w:t>指标分值40分，得分17.56分，得分率43.9%。项目</w:t>
      </w:r>
      <w:r>
        <w:rPr>
          <w:rFonts w:ascii="仿宋_GB2312" w:hAnsi="仿宋_GB2312" w:eastAsia="仿宋_GB2312" w:cs="仿宋_GB2312"/>
          <w:color w:val="auto"/>
          <w:sz w:val="32"/>
          <w:szCs w:val="40"/>
        </w:rPr>
        <w:t>累计建设并转化基于类认知人工智能技术的科技成果1</w:t>
      </w:r>
      <w:r>
        <w:rPr>
          <w:rFonts w:hint="eastAsia" w:ascii="仿宋_GB2312" w:hAnsi="仿宋_GB2312" w:eastAsia="仿宋_GB2312" w:cs="仿宋_GB2312"/>
          <w:color w:val="auto"/>
          <w:sz w:val="32"/>
          <w:szCs w:val="40"/>
        </w:rPr>
        <w:t>1</w:t>
      </w:r>
      <w:r>
        <w:rPr>
          <w:rFonts w:ascii="仿宋_GB2312" w:hAnsi="仿宋_GB2312" w:eastAsia="仿宋_GB2312" w:cs="仿宋_GB2312"/>
          <w:color w:val="auto"/>
          <w:sz w:val="32"/>
          <w:szCs w:val="40"/>
        </w:rPr>
        <w:t>项，项目期内落地“安全用工风险评估系统”</w:t>
      </w:r>
      <w:r>
        <w:rPr>
          <w:rFonts w:hint="eastAsia" w:ascii="仿宋_GB2312" w:hAnsi="仿宋_GB2312" w:eastAsia="仿宋_GB2312" w:cs="仿宋_GB2312"/>
          <w:color w:val="auto"/>
          <w:sz w:val="32"/>
          <w:szCs w:val="40"/>
        </w:rPr>
        <w:t>1</w:t>
      </w:r>
      <w:r>
        <w:rPr>
          <w:rFonts w:ascii="仿宋_GB2312" w:hAnsi="仿宋_GB2312" w:eastAsia="仿宋_GB2312" w:cs="仿宋_GB2312"/>
          <w:color w:val="auto"/>
          <w:sz w:val="32"/>
          <w:szCs w:val="40"/>
        </w:rPr>
        <w:t>项成果</w:t>
      </w:r>
      <w:r>
        <w:rPr>
          <w:rFonts w:hint="eastAsia" w:ascii="仿宋_GB2312" w:hAnsi="仿宋_GB2312" w:eastAsia="仿宋_GB2312" w:cs="仿宋_GB2312"/>
          <w:color w:val="auto"/>
          <w:sz w:val="32"/>
          <w:szCs w:val="40"/>
        </w:rPr>
        <w:t>；累计</w:t>
      </w:r>
      <w:r>
        <w:rPr>
          <w:rFonts w:hint="eastAsia" w:ascii="仿宋_GB2312" w:hAnsi="仿宋_GB2312" w:eastAsia="仿宋_GB2312" w:cs="仿宋_GB2312"/>
          <w:color w:val="auto"/>
          <w:sz w:val="32"/>
          <w:szCs w:val="40"/>
          <w:highlight w:val="none"/>
        </w:rPr>
        <w:t>培育及</w:t>
      </w:r>
      <w:r>
        <w:rPr>
          <w:rFonts w:hint="eastAsia" w:ascii="仿宋_GB2312" w:hAnsi="仿宋_GB2312" w:eastAsia="仿宋_GB2312" w:cs="仿宋_GB2312"/>
          <w:color w:val="auto"/>
          <w:sz w:val="32"/>
          <w:szCs w:val="40"/>
          <w:highlight w:val="none"/>
          <w:lang w:val="en-US" w:eastAsia="zh-CN"/>
        </w:rPr>
        <w:t>引进</w:t>
      </w:r>
      <w:r>
        <w:rPr>
          <w:rFonts w:hint="eastAsia" w:ascii="仿宋_GB2312" w:hAnsi="仿宋_GB2312" w:eastAsia="仿宋_GB2312" w:cs="仿宋_GB2312"/>
          <w:color w:val="auto"/>
          <w:sz w:val="32"/>
          <w:szCs w:val="40"/>
        </w:rPr>
        <w:t>高新技术企业2家、孵化企业5家，但</w:t>
      </w:r>
      <w:r>
        <w:rPr>
          <w:rFonts w:ascii="仿宋_GB2312" w:hAnsi="仿宋_GB2312" w:eastAsia="仿宋_GB2312" w:cs="仿宋_GB2312"/>
          <w:color w:val="auto"/>
          <w:sz w:val="32"/>
          <w:szCs w:val="40"/>
        </w:rPr>
        <w:t>项目</w:t>
      </w:r>
      <w:r>
        <w:rPr>
          <w:rFonts w:hint="eastAsia" w:ascii="仿宋_GB2312" w:hAnsi="仿宋_GB2312" w:eastAsia="仿宋_GB2312" w:cs="仿宋_GB2312"/>
          <w:color w:val="auto"/>
          <w:sz w:val="32"/>
          <w:szCs w:val="40"/>
        </w:rPr>
        <w:t>实施成效远低于预期</w:t>
      </w:r>
      <w:r>
        <w:rPr>
          <w:rFonts w:ascii="仿宋_GB2312" w:hAnsi="仿宋_GB2312" w:eastAsia="仿宋_GB2312" w:cs="仿宋_GB2312"/>
          <w:color w:val="auto"/>
          <w:sz w:val="32"/>
          <w:szCs w:val="40"/>
        </w:rPr>
        <w:t>：</w:t>
      </w:r>
      <w:r>
        <w:rPr>
          <w:rFonts w:ascii="仿宋_GB2312" w:hAnsi="仿宋_GB2312" w:eastAsia="仿宋_GB2312" w:cs="仿宋_GB2312"/>
          <w:b/>
          <w:bCs/>
          <w:color w:val="auto"/>
          <w:sz w:val="32"/>
          <w:szCs w:val="40"/>
        </w:rPr>
        <w:t>一是</w:t>
      </w:r>
      <w:r>
        <w:rPr>
          <w:rFonts w:hint="eastAsia" w:ascii="仿宋_GB2312" w:hAnsi="仿宋_GB2312" w:eastAsia="仿宋_GB2312" w:cs="仿宋_GB2312"/>
          <w:color w:val="auto"/>
          <w:sz w:val="32"/>
          <w:szCs w:val="40"/>
        </w:rPr>
        <w:t>孵化的5家企业中有4家无经营或经营成效不高。</w:t>
      </w:r>
      <w:r>
        <w:rPr>
          <w:rFonts w:ascii="仿宋_GB2312" w:hAnsi="仿宋_GB2312" w:eastAsia="仿宋_GB2312" w:cs="仿宋_GB2312"/>
          <w:b/>
          <w:bCs/>
          <w:color w:val="auto"/>
          <w:sz w:val="32"/>
          <w:szCs w:val="40"/>
        </w:rPr>
        <w:t>二是</w:t>
      </w:r>
      <w:r>
        <w:rPr>
          <w:rFonts w:ascii="仿宋_GB2312" w:hAnsi="仿宋_GB2312" w:eastAsia="仿宋_GB2312" w:cs="仿宋_GB2312"/>
          <w:color w:val="auto"/>
          <w:sz w:val="32"/>
          <w:szCs w:val="40"/>
        </w:rPr>
        <w:t>营收目标</w:t>
      </w:r>
      <w:r>
        <w:rPr>
          <w:rFonts w:hint="eastAsia" w:ascii="仿宋_GB2312" w:hAnsi="仿宋_GB2312" w:eastAsia="仿宋_GB2312" w:cs="仿宋_GB2312"/>
          <w:color w:val="auto"/>
          <w:sz w:val="32"/>
          <w:szCs w:val="40"/>
        </w:rPr>
        <w:t>完成度偏低，</w:t>
      </w:r>
      <w:r>
        <w:rPr>
          <w:rFonts w:ascii="仿宋_GB2312" w:hAnsi="仿宋_GB2312" w:eastAsia="仿宋_GB2312" w:cs="仿宋_GB2312"/>
          <w:color w:val="auto"/>
          <w:sz w:val="32"/>
          <w:szCs w:val="40"/>
        </w:rPr>
        <w:t>上市目标难以达成</w:t>
      </w:r>
      <w:r>
        <w:rPr>
          <w:rFonts w:hint="eastAsia" w:ascii="仿宋_GB2312" w:hAnsi="仿宋_GB2312" w:eastAsia="仿宋_GB2312" w:cs="仿宋_GB2312"/>
          <w:color w:val="auto"/>
          <w:sz w:val="32"/>
          <w:szCs w:val="40"/>
        </w:rPr>
        <w:t>。根据《局区（市）会商项目任务书》，项目应</w:t>
      </w:r>
      <w:r>
        <w:rPr>
          <w:rFonts w:ascii="仿宋_GB2312" w:hAnsi="仿宋_GB2312" w:eastAsia="仿宋_GB2312" w:cs="仿宋_GB2312"/>
          <w:color w:val="auto"/>
          <w:sz w:val="32"/>
          <w:szCs w:val="40"/>
        </w:rPr>
        <w:t>形成或带动营业收入1000万元，</w:t>
      </w:r>
      <w:r>
        <w:rPr>
          <w:rFonts w:hint="eastAsia" w:ascii="仿宋_GB2312" w:hAnsi="仿宋_GB2312" w:eastAsia="仿宋_GB2312" w:cs="仿宋_GB2312"/>
          <w:color w:val="auto"/>
          <w:sz w:val="32"/>
          <w:szCs w:val="40"/>
        </w:rPr>
        <w:t>并于</w:t>
      </w:r>
      <w:r>
        <w:rPr>
          <w:rFonts w:ascii="仿宋_GB2312" w:hAnsi="仿宋_GB2312" w:eastAsia="仿宋_GB2312" w:cs="仿宋_GB2312"/>
          <w:color w:val="auto"/>
          <w:sz w:val="32"/>
          <w:szCs w:val="40"/>
        </w:rPr>
        <w:t>2027年7月31日</w:t>
      </w:r>
      <w:r>
        <w:rPr>
          <w:rFonts w:hint="eastAsia" w:ascii="仿宋_GB2312" w:hAnsi="仿宋_GB2312" w:eastAsia="仿宋_GB2312" w:cs="仿宋_GB2312"/>
          <w:color w:val="auto"/>
          <w:sz w:val="32"/>
          <w:szCs w:val="40"/>
        </w:rPr>
        <w:t>前在</w:t>
      </w:r>
      <w:r>
        <w:rPr>
          <w:rFonts w:ascii="仿宋_GB2312" w:hAnsi="仿宋_GB2312" w:eastAsia="仿宋_GB2312" w:cs="仿宋_GB2312"/>
          <w:color w:val="auto"/>
          <w:sz w:val="32"/>
          <w:szCs w:val="40"/>
        </w:rPr>
        <w:t>人力资源及特殊人群行业占据</w:t>
      </w:r>
      <w:r>
        <w:rPr>
          <w:rFonts w:hint="eastAsia" w:ascii="仿宋_GB2312" w:hAnsi="仿宋_GB2312" w:eastAsia="仿宋_GB2312" w:cs="仿宋_GB2312"/>
          <w:color w:val="auto"/>
          <w:sz w:val="32"/>
          <w:szCs w:val="40"/>
        </w:rPr>
        <w:t>全国</w:t>
      </w:r>
      <w:r>
        <w:rPr>
          <w:rFonts w:ascii="仿宋_GB2312" w:hAnsi="仿宋_GB2312" w:eastAsia="仿宋_GB2312" w:cs="仿宋_GB2312"/>
          <w:color w:val="auto"/>
          <w:sz w:val="32"/>
          <w:szCs w:val="40"/>
        </w:rPr>
        <w:t>较大市场</w:t>
      </w:r>
      <w:r>
        <w:rPr>
          <w:rFonts w:hint="eastAsia" w:ascii="仿宋_GB2312" w:hAnsi="仿宋_GB2312" w:eastAsia="仿宋_GB2312" w:cs="仿宋_GB2312"/>
          <w:color w:val="auto"/>
          <w:sz w:val="32"/>
          <w:szCs w:val="40"/>
        </w:rPr>
        <w:t>份额</w:t>
      </w:r>
      <w:r>
        <w:rPr>
          <w:rFonts w:ascii="仿宋_GB2312" w:hAnsi="仿宋_GB2312" w:eastAsia="仿宋_GB2312" w:cs="仿宋_GB2312"/>
          <w:color w:val="auto"/>
          <w:sz w:val="32"/>
          <w:szCs w:val="40"/>
        </w:rPr>
        <w:t>，</w:t>
      </w:r>
      <w:r>
        <w:rPr>
          <w:rFonts w:hint="eastAsia" w:ascii="仿宋_GB2312" w:hAnsi="仿宋_GB2312" w:eastAsia="仿宋_GB2312" w:cs="仿宋_GB2312"/>
          <w:color w:val="auto"/>
          <w:sz w:val="32"/>
          <w:szCs w:val="40"/>
        </w:rPr>
        <w:t>实际签订</w:t>
      </w:r>
      <w:r>
        <w:rPr>
          <w:rFonts w:ascii="仿宋_GB2312" w:hAnsi="仿宋_GB2312" w:eastAsia="仿宋_GB2312" w:cs="仿宋_GB2312"/>
          <w:color w:val="auto"/>
          <w:sz w:val="32"/>
          <w:szCs w:val="40"/>
        </w:rPr>
        <w:t>合同金额9</w:t>
      </w:r>
      <w:r>
        <w:rPr>
          <w:rFonts w:hint="eastAsia" w:ascii="仿宋_GB2312" w:hAnsi="仿宋_GB2312" w:eastAsia="仿宋_GB2312" w:cs="仿宋_GB2312"/>
          <w:color w:val="auto"/>
          <w:sz w:val="32"/>
          <w:szCs w:val="40"/>
        </w:rPr>
        <w:t>80</w:t>
      </w:r>
      <w:r>
        <w:rPr>
          <w:rFonts w:ascii="仿宋_GB2312" w:hAnsi="仿宋_GB2312" w:eastAsia="仿宋_GB2312" w:cs="仿宋_GB2312"/>
          <w:color w:val="auto"/>
          <w:sz w:val="32"/>
          <w:szCs w:val="40"/>
        </w:rPr>
        <w:t>.3万元，到账金额为445.2万元。</w:t>
      </w:r>
      <w:r>
        <w:rPr>
          <w:rFonts w:hint="eastAsia" w:ascii="仿宋_GB2312" w:hAnsi="仿宋_GB2312" w:eastAsia="仿宋_GB2312" w:cs="仿宋_GB2312"/>
          <w:color w:val="auto"/>
          <w:sz w:val="32"/>
          <w:szCs w:val="40"/>
        </w:rPr>
        <w:t>根据合伙</w:t>
      </w:r>
      <w:r>
        <w:rPr>
          <w:rFonts w:ascii="仿宋_GB2312" w:hAnsi="仿宋_GB2312" w:eastAsia="仿宋_GB2312" w:cs="仿宋_GB2312"/>
          <w:color w:val="auto"/>
          <w:sz w:val="32"/>
          <w:szCs w:val="40"/>
        </w:rPr>
        <w:t>协议</w:t>
      </w:r>
      <w:r>
        <w:rPr>
          <w:rFonts w:hint="eastAsia" w:ascii="仿宋_GB2312" w:hAnsi="仿宋_GB2312" w:eastAsia="仿宋_GB2312" w:cs="仿宋_GB2312"/>
          <w:color w:val="auto"/>
          <w:sz w:val="32"/>
          <w:szCs w:val="40"/>
        </w:rPr>
        <w:t>，该项目需在</w:t>
      </w:r>
      <w:r>
        <w:rPr>
          <w:rFonts w:ascii="仿宋_GB2312" w:hAnsi="仿宋_GB2312" w:eastAsia="仿宋_GB2312" w:cs="仿宋_GB2312"/>
          <w:color w:val="auto"/>
          <w:sz w:val="32"/>
          <w:szCs w:val="40"/>
        </w:rPr>
        <w:t>2026年4月15日前完成上市，</w:t>
      </w:r>
      <w:r>
        <w:rPr>
          <w:rFonts w:hint="eastAsia" w:ascii="仿宋_GB2312" w:hAnsi="仿宋_GB2312" w:eastAsia="仿宋_GB2312" w:cs="仿宋_GB2312"/>
          <w:color w:val="auto"/>
          <w:sz w:val="32"/>
          <w:szCs w:val="40"/>
        </w:rPr>
        <w:t>实际其培育的拟上市企业山东心法科技有限公司</w:t>
      </w:r>
      <w:r>
        <w:rPr>
          <w:rFonts w:ascii="仿宋_GB2312" w:hAnsi="仿宋_GB2312" w:eastAsia="仿宋_GB2312" w:cs="仿宋_GB2312"/>
          <w:color w:val="auto"/>
          <w:sz w:val="32"/>
          <w:szCs w:val="40"/>
        </w:rPr>
        <w:t>2022</w:t>
      </w:r>
      <w:r>
        <w:rPr>
          <w:rFonts w:hint="eastAsia" w:ascii="仿宋_GB2312" w:hAnsi="仿宋_GB2312" w:eastAsia="仿宋_GB2312" w:cs="仿宋_GB2312"/>
          <w:color w:val="auto"/>
          <w:sz w:val="32"/>
          <w:szCs w:val="40"/>
        </w:rPr>
        <w:t>—</w:t>
      </w:r>
      <w:r>
        <w:rPr>
          <w:rFonts w:ascii="仿宋_GB2312" w:hAnsi="仿宋_GB2312" w:eastAsia="仿宋_GB2312" w:cs="仿宋_GB2312"/>
          <w:color w:val="auto"/>
          <w:sz w:val="32"/>
          <w:szCs w:val="40"/>
        </w:rPr>
        <w:t>2024年</w:t>
      </w:r>
      <w:r>
        <w:rPr>
          <w:rFonts w:hint="eastAsia" w:ascii="仿宋_GB2312" w:hAnsi="仿宋_GB2312" w:eastAsia="仿宋_GB2312" w:cs="仿宋_GB2312"/>
          <w:color w:val="auto"/>
          <w:sz w:val="32"/>
          <w:szCs w:val="40"/>
        </w:rPr>
        <w:t>的</w:t>
      </w:r>
      <w:r>
        <w:rPr>
          <w:rFonts w:ascii="仿宋_GB2312" w:hAnsi="仿宋_GB2312" w:eastAsia="仿宋_GB2312" w:cs="仿宋_GB2312"/>
          <w:color w:val="auto"/>
          <w:sz w:val="32"/>
          <w:szCs w:val="40"/>
        </w:rPr>
        <w:t>营业收入</w:t>
      </w:r>
      <w:r>
        <w:rPr>
          <w:rFonts w:hint="eastAsia" w:ascii="仿宋_GB2312" w:hAnsi="仿宋_GB2312" w:eastAsia="仿宋_GB2312" w:cs="仿宋_GB2312"/>
          <w:color w:val="auto"/>
          <w:sz w:val="32"/>
          <w:szCs w:val="40"/>
        </w:rPr>
        <w:t>呈</w:t>
      </w:r>
      <w:r>
        <w:rPr>
          <w:rFonts w:ascii="仿宋_GB2312" w:hAnsi="仿宋_GB2312" w:eastAsia="仿宋_GB2312" w:cs="仿宋_GB2312"/>
          <w:color w:val="auto"/>
          <w:sz w:val="32"/>
          <w:szCs w:val="40"/>
        </w:rPr>
        <w:t>断崖式下降，2025年上半年营收仅</w:t>
      </w:r>
      <w:r>
        <w:rPr>
          <w:rFonts w:hint="eastAsia" w:ascii="仿宋_GB2312" w:hAnsi="仿宋_GB2312" w:eastAsia="仿宋_GB2312" w:cs="仿宋_GB2312"/>
          <w:color w:val="auto"/>
          <w:sz w:val="32"/>
          <w:szCs w:val="40"/>
        </w:rPr>
        <w:t>391.55</w:t>
      </w:r>
      <w:r>
        <w:rPr>
          <w:rFonts w:ascii="仿宋_GB2312" w:hAnsi="仿宋_GB2312" w:eastAsia="仿宋_GB2312" w:cs="仿宋_GB2312"/>
          <w:color w:val="auto"/>
          <w:sz w:val="32"/>
          <w:szCs w:val="40"/>
        </w:rPr>
        <w:t>万元，预计</w:t>
      </w:r>
      <w:r>
        <w:rPr>
          <w:rFonts w:hint="eastAsia" w:ascii="仿宋_GB2312" w:hAnsi="仿宋_GB2312" w:eastAsia="仿宋_GB2312" w:cs="仿宋_GB2312"/>
          <w:color w:val="auto"/>
          <w:sz w:val="32"/>
          <w:szCs w:val="40"/>
        </w:rPr>
        <w:t>无法满足</w:t>
      </w:r>
      <w:r>
        <w:rPr>
          <w:rFonts w:ascii="仿宋_GB2312" w:hAnsi="仿宋_GB2312" w:eastAsia="仿宋_GB2312" w:cs="仿宋_GB2312"/>
          <w:color w:val="auto"/>
          <w:sz w:val="32"/>
          <w:szCs w:val="40"/>
        </w:rPr>
        <w:t>上市条件</w:t>
      </w:r>
      <w:r>
        <w:rPr>
          <w:rFonts w:hint="eastAsia" w:ascii="仿宋_GB2312" w:hAnsi="仿宋_GB2312" w:eastAsia="仿宋_GB2312" w:cs="仿宋_GB2312"/>
          <w:color w:val="auto"/>
          <w:sz w:val="32"/>
          <w:szCs w:val="40"/>
        </w:rPr>
        <w:t>。</w:t>
      </w:r>
      <w:r>
        <w:rPr>
          <w:rFonts w:hint="eastAsia" w:ascii="仿宋_GB2312" w:hAnsi="仿宋_GB2312" w:eastAsia="仿宋_GB2312" w:cs="仿宋_GB2312"/>
          <w:b/>
          <w:bCs/>
          <w:color w:val="auto"/>
          <w:sz w:val="32"/>
          <w:szCs w:val="40"/>
        </w:rPr>
        <w:t>三</w:t>
      </w:r>
      <w:r>
        <w:rPr>
          <w:rFonts w:ascii="仿宋_GB2312" w:hAnsi="仿宋_GB2312" w:eastAsia="仿宋_GB2312" w:cs="仿宋_GB2312"/>
          <w:b/>
          <w:bCs/>
          <w:color w:val="auto"/>
          <w:sz w:val="32"/>
          <w:szCs w:val="40"/>
        </w:rPr>
        <w:t>是</w:t>
      </w:r>
      <w:r>
        <w:rPr>
          <w:rFonts w:hint="eastAsia" w:ascii="仿宋_GB2312" w:hAnsi="仿宋_GB2312" w:eastAsia="仿宋_GB2312" w:cs="仿宋_GB2312"/>
          <w:color w:val="auto"/>
          <w:sz w:val="32"/>
          <w:szCs w:val="40"/>
        </w:rPr>
        <w:t>未能按既定任务目标，</w:t>
      </w:r>
      <w:r>
        <w:rPr>
          <w:rFonts w:ascii="仿宋_GB2312" w:hAnsi="仿宋_GB2312" w:eastAsia="仿宋_GB2312" w:cs="仿宋_GB2312"/>
          <w:color w:val="auto"/>
          <w:sz w:val="32"/>
          <w:szCs w:val="40"/>
        </w:rPr>
        <w:t>对特殊行业人群进行充分全面的心理健康检查与心理健康知识的普及工作，</w:t>
      </w:r>
      <w:r>
        <w:rPr>
          <w:rFonts w:hint="eastAsia" w:ascii="仿宋_GB2312" w:hAnsi="仿宋_GB2312" w:eastAsia="仿宋_GB2312" w:cs="仿宋_GB2312"/>
          <w:color w:val="auto"/>
          <w:sz w:val="32"/>
          <w:szCs w:val="40"/>
        </w:rPr>
        <w:t>也未能</w:t>
      </w:r>
      <w:r>
        <w:rPr>
          <w:rFonts w:ascii="仿宋_GB2312" w:hAnsi="仿宋_GB2312" w:eastAsia="仿宋_GB2312" w:cs="仿宋_GB2312"/>
          <w:color w:val="auto"/>
          <w:sz w:val="32"/>
          <w:szCs w:val="40"/>
        </w:rPr>
        <w:t>大幅占领社会公众心理健康服务市场</w:t>
      </w:r>
      <w:r>
        <w:rPr>
          <w:rFonts w:hint="eastAsia" w:ascii="仿宋_GB2312" w:hAnsi="仿宋_GB2312" w:eastAsia="仿宋_GB2312" w:cs="仿宋_GB2312"/>
          <w:color w:val="auto"/>
          <w:sz w:val="32"/>
          <w:szCs w:val="40"/>
        </w:rPr>
        <w:t>。从目前实施情况来看，尚不具备带动青岛市相关产业快速发展的能力。</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0"/>
        <w:rPr>
          <w:rFonts w:ascii="黑体" w:hAnsi="黑体" w:eastAsia="黑体" w:cs="黑体"/>
          <w:color w:val="auto"/>
          <w:sz w:val="32"/>
          <w:szCs w:val="40"/>
        </w:rPr>
      </w:pPr>
      <w:r>
        <w:rPr>
          <w:rFonts w:hint="eastAsia" w:ascii="黑体" w:hAnsi="黑体" w:eastAsia="黑体" w:cs="黑体"/>
          <w:color w:val="auto"/>
          <w:sz w:val="32"/>
          <w:szCs w:val="40"/>
        </w:rPr>
        <w:t>四、项目实施成效</w:t>
      </w:r>
      <w:bookmarkEnd w:id="3"/>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西电青岛研究院围绕青岛产业发展实际需求，持续开展“产学研”深度融合。目前，已建山东省大数据发展创新实验室、山东省工业互联网ICT公共服务平台、青岛市数据开放创新应用实验室等省市创新与服务平台30余个。连续3年获评山东省优秀新型研发机构，2024年获评青岛市优秀新型研发机构。在项目与成果方面，组织实施国家和省重点研发项目各1项，牵头承担省重点研发项目1项，组织企业成功申报山东省创新能力提升</w:t>
      </w:r>
      <w:r>
        <w:rPr>
          <w:rFonts w:hint="eastAsia" w:ascii="仿宋_GB2312" w:hAnsi="仿宋_GB2312" w:eastAsia="仿宋_GB2312" w:cs="仿宋_GB2312"/>
          <w:color w:val="auto"/>
          <w:sz w:val="32"/>
          <w:szCs w:val="40"/>
          <w:lang w:val="en-US" w:eastAsia="zh-CN"/>
        </w:rPr>
        <w:t>项目</w:t>
      </w:r>
      <w:r>
        <w:rPr>
          <w:rFonts w:hint="eastAsia" w:ascii="仿宋_GB2312" w:hAnsi="仿宋_GB2312" w:eastAsia="仿宋_GB2312" w:cs="仿宋_GB2312"/>
          <w:color w:val="auto"/>
          <w:sz w:val="32"/>
          <w:szCs w:val="40"/>
        </w:rPr>
        <w:t>、青岛市关键技术攻关及产业化示范项目各1项。“多域物联网服务共享交易与追溯关键技术”“智慧城市服务协同安全关键技术”等关键技术项目实现创新突破，2024年内分别获得山东省技术发明二等奖和青岛市科技进步奖一等奖。针对智能制造面临网络海量设备异构、安全边界模糊等特点，研究形成智能制造异构设备安全协作技术体系，研发的“面向智能制造的异构设备安全协作关键技术”获得2024年度山东省重点研发计划支持。</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在认知人工智能研究院引进过程中</w:t>
      </w:r>
      <w:r>
        <w:rPr>
          <w:rFonts w:hint="eastAsia" w:ascii="仿宋_GB2312" w:eastAsia="仿宋_GB2312"/>
          <w:color w:val="auto"/>
          <w:sz w:val="32"/>
          <w:szCs w:val="32"/>
          <w:lang w:eastAsia="zh-CN"/>
        </w:rPr>
        <w:t>，</w:t>
      </w:r>
      <w:r>
        <w:rPr>
          <w:rFonts w:hint="eastAsia" w:ascii="仿宋_GB2312" w:eastAsia="仿宋_GB2312"/>
          <w:color w:val="auto"/>
          <w:sz w:val="32"/>
          <w:szCs w:val="32"/>
        </w:rPr>
        <w:t>市南区由平台公司</w:t>
      </w:r>
      <w:r>
        <w:rPr>
          <w:rFonts w:hint="eastAsia" w:ascii="仿宋_GB2312" w:eastAsia="仿宋_GB2312"/>
          <w:color w:val="auto"/>
          <w:sz w:val="32"/>
          <w:szCs w:val="32"/>
          <w:highlight w:val="none"/>
        </w:rPr>
        <w:t>青岛海诺投资发展有限公司</w:t>
      </w:r>
      <w:r>
        <w:rPr>
          <w:rFonts w:hint="eastAsia" w:ascii="仿宋_GB2312" w:eastAsia="仿宋_GB2312"/>
          <w:color w:val="auto"/>
          <w:sz w:val="32"/>
          <w:szCs w:val="32"/>
        </w:rPr>
        <w:t>代表区政府与山东建邦科技发展集团有限公司（专项议定书中的合作单位）签订《青岛认知人工智能合伙企业（有限合伙）合伙协议》，成立青岛类认知人工智能合伙企业；再通过该合伙公司与项目</w:t>
      </w:r>
      <w:r>
        <w:rPr>
          <w:rFonts w:hint="eastAsia" w:ascii="仿宋_GB2312" w:hAnsi="仿宋_GB2312" w:eastAsia="仿宋_GB2312" w:cs="仿宋_GB2312"/>
          <w:color w:val="auto"/>
          <w:sz w:val="32"/>
          <w:szCs w:val="40"/>
        </w:rPr>
        <w:t>合作单位山东心法科技有限公司（以下简称“山东心法科技”）共同</w:t>
      </w:r>
      <w:r>
        <w:rPr>
          <w:rFonts w:hint="eastAsia" w:ascii="仿宋_GB2312" w:eastAsia="仿宋_GB2312"/>
          <w:color w:val="auto"/>
          <w:sz w:val="32"/>
          <w:szCs w:val="32"/>
        </w:rPr>
        <w:t>出资，设立项目承担单位青岛类认知人工智能有限公司（以下简称“类认知公司”），并约定项目实施所获研究成果均需转移至该公司名下</w:t>
      </w:r>
      <w:r>
        <w:rPr>
          <w:rFonts w:hint="eastAsia" w:ascii="仿宋_GB2312" w:eastAsia="仿宋_GB2312"/>
          <w:b/>
          <w:color w:val="auto"/>
          <w:sz w:val="32"/>
          <w:szCs w:val="32"/>
        </w:rPr>
        <w:t>。</w:t>
      </w:r>
      <w:r>
        <w:rPr>
          <w:rFonts w:hint="eastAsia" w:ascii="仿宋_GB2312" w:eastAsia="仿宋_GB2312"/>
          <w:color w:val="auto"/>
          <w:sz w:val="32"/>
          <w:szCs w:val="32"/>
        </w:rPr>
        <w:t>同时，制定研究院体系考核办法，依据考核结果落实出资。</w:t>
      </w:r>
    </w:p>
    <w:p>
      <w:pPr>
        <w:keepNext w:val="0"/>
        <w:keepLines w:val="0"/>
        <w:pageBreakBefore w:val="0"/>
        <w:widowControl w:val="0"/>
        <w:kinsoku/>
        <w:wordWrap/>
        <w:overflowPunct/>
        <w:topLinePunct w:val="0"/>
        <w:autoSpaceDE/>
        <w:autoSpaceDN/>
        <w:bidi w:val="0"/>
        <w:adjustRightInd w:val="0"/>
        <w:snapToGrid w:val="0"/>
        <w:spacing w:after="120" w:afterLines="50" w:line="590" w:lineRule="exact"/>
        <w:jc w:val="center"/>
        <w:textAlignment w:val="auto"/>
        <w:rPr>
          <w:rFonts w:ascii="黑体" w:hAnsi="黑体" w:eastAsia="黑体" w:cs="黑体"/>
          <w:color w:val="auto"/>
          <w:sz w:val="28"/>
          <w:szCs w:val="28"/>
        </w:rPr>
      </w:pPr>
      <w:r>
        <w:rPr>
          <w:rFonts w:hint="eastAsia" w:ascii="黑体" w:hAnsi="黑体" w:eastAsia="黑体" w:cs="黑体"/>
          <w:color w:val="auto"/>
          <w:sz w:val="28"/>
          <w:szCs w:val="28"/>
        </w:rPr>
        <w:t>图4-1 认知人工智能研究院项目股权投资运营结构图</w:t>
      </w:r>
    </w:p>
    <w:p>
      <w:pPr>
        <w:adjustRightInd w:val="0"/>
        <w:snapToGrid w:val="0"/>
        <w:rPr>
          <w:rFonts w:ascii="仿宋_GB2312" w:eastAsia="仿宋_GB2312"/>
          <w:color w:val="auto"/>
          <w:sz w:val="32"/>
          <w:szCs w:val="32"/>
        </w:rPr>
      </w:pPr>
      <w:r>
        <w:rPr>
          <w:rFonts w:hint="eastAsia"/>
          <w:color w:val="auto"/>
        </w:rPr>
        <w:drawing>
          <wp:inline distT="0" distB="0" distL="114300" distR="114300">
            <wp:extent cx="5297805" cy="2414905"/>
            <wp:effectExtent l="0" t="0" r="17145" b="4445"/>
            <wp:docPr id="1" name="F360BE8B-6686-4F3D-AEAF-501FE73E4058-1" descr="C:/Users/Administrator/AppData/Local/Temp/绘图1(3).png绘图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360BE8B-6686-4F3D-AEAF-501FE73E4058-1" descr="C:/Users/Administrator/AppData/Local/Temp/绘图1(3).png绘图1(3)"/>
                    <pic:cNvPicPr>
                      <a:picLocks noChangeAspect="1"/>
                    </pic:cNvPicPr>
                  </pic:nvPicPr>
                  <pic:blipFill>
                    <a:blip r:embed="rId6"/>
                    <a:stretch>
                      <a:fillRect/>
                    </a:stretch>
                  </pic:blipFill>
                  <pic:spPr>
                    <a:xfrm>
                      <a:off x="0" y="0"/>
                      <a:ext cx="5297805" cy="2414905"/>
                    </a:xfrm>
                    <a:prstGeom prst="rect">
                      <a:avLst/>
                    </a:prstGeom>
                  </pic:spPr>
                </pic:pic>
              </a:graphicData>
            </a:graphic>
          </wp:inline>
        </w:drawing>
      </w:r>
    </w:p>
    <w:p>
      <w:pPr>
        <w:adjustRightInd w:val="0"/>
        <w:snapToGrid w:val="0"/>
        <w:spacing w:line="580" w:lineRule="exact"/>
        <w:ind w:firstLine="640" w:firstLineChars="200"/>
        <w:outlineLvl w:val="0"/>
        <w:rPr>
          <w:rFonts w:ascii="黑体" w:hAnsi="黑体" w:eastAsia="黑体" w:cs="黑体"/>
          <w:color w:val="auto"/>
          <w:sz w:val="32"/>
          <w:szCs w:val="40"/>
        </w:rPr>
      </w:pPr>
      <w:bookmarkStart w:id="4" w:name="_Toc30906"/>
      <w:r>
        <w:rPr>
          <w:rFonts w:hint="eastAsia" w:ascii="黑体" w:hAnsi="黑体" w:eastAsia="黑体" w:cs="黑体"/>
          <w:color w:val="auto"/>
          <w:sz w:val="32"/>
          <w:szCs w:val="40"/>
        </w:rPr>
        <w:t>五、发现的问题及原因分析</w:t>
      </w:r>
      <w:bookmarkEnd w:id="4"/>
    </w:p>
    <w:p>
      <w:pPr>
        <w:adjustRightInd w:val="0"/>
        <w:snapToGrid w:val="0"/>
        <w:spacing w:line="580" w:lineRule="exact"/>
        <w:ind w:firstLine="640" w:firstLineChars="200"/>
        <w:rPr>
          <w:rFonts w:ascii="楷体_GB2312" w:hAnsi="Times New Roman" w:eastAsia="楷体_GB2312" w:cs="Times New Roman"/>
          <w:color w:val="auto"/>
          <w:sz w:val="32"/>
          <w:szCs w:val="32"/>
        </w:rPr>
      </w:pPr>
      <w:r>
        <w:rPr>
          <w:rFonts w:hint="eastAsia" w:ascii="楷体_GB2312" w:hAnsi="Times New Roman" w:eastAsia="楷体_GB2312" w:cs="Times New Roman"/>
          <w:color w:val="auto"/>
          <w:sz w:val="32"/>
          <w:szCs w:val="32"/>
        </w:rPr>
        <w:t>（一）会商机制执行不够规范，区（市）层面对项目实施的全流程管理有待加强</w:t>
      </w:r>
    </w:p>
    <w:p>
      <w:pPr>
        <w:adjustRightInd w:val="0"/>
        <w:snapToGrid w:val="0"/>
        <w:spacing w:line="580" w:lineRule="exact"/>
        <w:ind w:firstLine="643" w:firstLineChars="200"/>
        <w:rPr>
          <w:rFonts w:ascii="仿宋_GB2312" w:hAnsi="仿宋_GB2312" w:eastAsia="仿宋_GB2312" w:cs="仿宋_GB2312"/>
          <w:b/>
          <w:bCs/>
          <w:color w:val="auto"/>
          <w:sz w:val="32"/>
          <w:szCs w:val="40"/>
        </w:rPr>
      </w:pPr>
      <w:r>
        <w:rPr>
          <w:rFonts w:hint="eastAsia" w:ascii="仿宋_GB2312" w:hAnsi="仿宋_GB2312" w:eastAsia="仿宋_GB2312" w:cs="仿宋_GB2312"/>
          <w:b/>
          <w:bCs/>
          <w:color w:val="auto"/>
          <w:sz w:val="32"/>
          <w:szCs w:val="40"/>
        </w:rPr>
        <w:t>1.任务考核开展不规范，未充分发挥考核评价对项目实施的刚性约束与导向作用</w:t>
      </w:r>
    </w:p>
    <w:p>
      <w:pPr>
        <w:adjustRightInd w:val="0"/>
        <w:snapToGrid w:val="0"/>
        <w:spacing w:line="580"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一是</w:t>
      </w:r>
      <w:r>
        <w:rPr>
          <w:rFonts w:hint="eastAsia" w:ascii="仿宋_GB2312" w:hAnsi="仿宋_GB2312" w:eastAsia="仿宋_GB2312" w:cs="仿宋_GB2312"/>
          <w:color w:val="auto"/>
          <w:sz w:val="32"/>
          <w:szCs w:val="40"/>
        </w:rPr>
        <w:t>市科技局对认知人工智能研究院项目的年度考核开展</w:t>
      </w:r>
      <w:r>
        <w:rPr>
          <w:rFonts w:hint="eastAsia" w:ascii="仿宋_GB2312" w:hAnsi="仿宋_GB2312" w:eastAsia="仿宋_GB2312" w:cs="仿宋_GB2312"/>
          <w:color w:val="auto"/>
          <w:sz w:val="32"/>
          <w:szCs w:val="40"/>
          <w:lang w:val="en-US" w:eastAsia="zh-CN"/>
        </w:rPr>
        <w:t>不够细致</w:t>
      </w:r>
      <w:r>
        <w:rPr>
          <w:rFonts w:hint="eastAsia" w:ascii="仿宋_GB2312" w:hAnsi="仿宋_GB2312" w:eastAsia="仿宋_GB2312" w:cs="仿宋_GB2312"/>
          <w:color w:val="auto"/>
          <w:sz w:val="32"/>
          <w:szCs w:val="40"/>
        </w:rPr>
        <w:t>。在一、二期项目评估过程中，</w:t>
      </w:r>
      <w:r>
        <w:rPr>
          <w:rFonts w:hint="eastAsia" w:ascii="仿宋_GB2312" w:hAnsi="仿宋_GB2312" w:eastAsia="仿宋_GB2312" w:cs="仿宋_GB2312"/>
          <w:color w:val="auto"/>
          <w:sz w:val="32"/>
          <w:szCs w:val="40"/>
          <w:lang w:val="en-US" w:eastAsia="zh-CN"/>
        </w:rPr>
        <w:t>未对照</w:t>
      </w:r>
      <w:r>
        <w:rPr>
          <w:rFonts w:hint="eastAsia" w:ascii="仿宋_GB2312" w:hAnsi="仿宋_GB2312" w:eastAsia="仿宋_GB2312" w:cs="仿宋_GB2312"/>
          <w:color w:val="auto"/>
          <w:sz w:val="32"/>
          <w:szCs w:val="40"/>
        </w:rPr>
        <w:t>《项目任务书》约定的考核指标</w:t>
      </w:r>
      <w:r>
        <w:rPr>
          <w:rFonts w:hint="eastAsia" w:ascii="仿宋_GB2312" w:hAnsi="仿宋_GB2312" w:eastAsia="仿宋_GB2312" w:cs="仿宋_GB2312"/>
          <w:color w:val="auto"/>
          <w:sz w:val="32"/>
          <w:szCs w:val="40"/>
          <w:lang w:val="en-US" w:eastAsia="zh-CN"/>
        </w:rPr>
        <w:t>逐项</w:t>
      </w:r>
      <w:r>
        <w:rPr>
          <w:rFonts w:hint="eastAsia" w:ascii="仿宋_GB2312" w:hAnsi="仿宋_GB2312" w:eastAsia="仿宋_GB2312" w:cs="仿宋_GB2312"/>
          <w:color w:val="auto"/>
          <w:sz w:val="32"/>
          <w:szCs w:val="40"/>
          <w:highlight w:val="none"/>
        </w:rPr>
        <w:t>形成专家认定结论</w:t>
      </w:r>
      <w:r>
        <w:rPr>
          <w:rFonts w:hint="eastAsia" w:ascii="仿宋_GB2312" w:hAnsi="仿宋_GB2312" w:eastAsia="仿宋_GB2312" w:cs="仿宋_GB2312"/>
          <w:color w:val="auto"/>
          <w:sz w:val="32"/>
          <w:szCs w:val="40"/>
        </w:rPr>
        <w:t>。其中，一期任务约定考核指标14项，但“转移发明专利（从合作单位或相关单位受让）10个以上”“产品年产量和年生产能力达到能够覆盖500-2000万人次的心理健康测量工作的产能”等10项指标的完成情况未在考核结果中体现；二期任务约定考核指标10项，“转移发明专利（从合作单位或相关单位受让）10个以上”“产品年产量和年生产能力达到能够覆盖500-2000万人次的心理健康测量工作的产能”等4项指标的完成情况同样未在考核结果中体现。</w:t>
      </w:r>
      <w:r>
        <w:rPr>
          <w:rFonts w:hint="eastAsia" w:ascii="仿宋_GB2312" w:hAnsi="仿宋_GB2312" w:eastAsia="仿宋_GB2312" w:cs="仿宋_GB2312"/>
          <w:b/>
          <w:bCs/>
          <w:color w:val="auto"/>
          <w:sz w:val="32"/>
          <w:szCs w:val="40"/>
          <w:highlight w:val="none"/>
        </w:rPr>
        <w:t>二是</w:t>
      </w:r>
      <w:r>
        <w:rPr>
          <w:rFonts w:hint="eastAsia" w:ascii="仿宋_GB2312" w:hAnsi="仿宋_GB2312" w:eastAsia="仿宋_GB2312" w:cs="仿宋_GB2312"/>
          <w:color w:val="auto"/>
          <w:sz w:val="32"/>
          <w:szCs w:val="40"/>
          <w:highlight w:val="none"/>
        </w:rPr>
        <w:t>市南区科技局对认知人工智能研究院项目</w:t>
      </w:r>
      <w:r>
        <w:rPr>
          <w:rFonts w:hint="eastAsia" w:ascii="仿宋_GB2312" w:hAnsi="仿宋_GB2312" w:eastAsia="仿宋_GB2312" w:cs="仿宋_GB2312"/>
          <w:color w:val="auto"/>
          <w:sz w:val="32"/>
          <w:szCs w:val="40"/>
          <w:highlight w:val="none"/>
          <w:lang w:val="en-US" w:eastAsia="zh-CN"/>
        </w:rPr>
        <w:t>的考核</w:t>
      </w:r>
      <w:r>
        <w:rPr>
          <w:rFonts w:hint="eastAsia" w:ascii="仿宋_GB2312" w:hAnsi="仿宋_GB2312" w:eastAsia="仿宋_GB2312" w:cs="仿宋_GB2312"/>
          <w:color w:val="auto"/>
          <w:sz w:val="32"/>
          <w:szCs w:val="40"/>
          <w:highlight w:val="none"/>
        </w:rPr>
        <w:t>认定不够严谨。2022</w:t>
      </w:r>
      <w:r>
        <w:rPr>
          <w:rFonts w:hint="eastAsia" w:ascii="仿宋_GB2312" w:hAnsi="仿宋_GB2312" w:eastAsia="仿宋_GB2312" w:cs="仿宋_GB2312"/>
          <w:color w:val="auto"/>
          <w:sz w:val="32"/>
          <w:szCs w:val="40"/>
        </w:rPr>
        <w:t>年度考核认定的2项重大科技成果，其权属均与认知人工智能研究院无关；2022-2024年度考核中，对申请专利与转移专利的完成情况认定存在交叉重复现象，如，2023年度的14项申请专利、5项转移专利被重复用于2024年度考核。</w:t>
      </w:r>
    </w:p>
    <w:p>
      <w:pPr>
        <w:adjustRightInd w:val="0"/>
        <w:snapToGrid w:val="0"/>
        <w:spacing w:line="580" w:lineRule="exact"/>
        <w:ind w:firstLine="643" w:firstLineChars="200"/>
        <w:rPr>
          <w:rFonts w:ascii="仿宋_GB2312" w:hAnsi="仿宋_GB2312" w:eastAsia="仿宋_GB2312" w:cs="仿宋_GB2312"/>
          <w:b/>
          <w:bCs/>
          <w:color w:val="auto"/>
          <w:sz w:val="32"/>
          <w:szCs w:val="40"/>
        </w:rPr>
      </w:pPr>
      <w:r>
        <w:rPr>
          <w:rFonts w:hint="eastAsia" w:ascii="仿宋_GB2312" w:hAnsi="仿宋_GB2312" w:eastAsia="仿宋_GB2312" w:cs="仿宋_GB2312"/>
          <w:b/>
          <w:bCs/>
          <w:color w:val="auto"/>
          <w:sz w:val="32"/>
          <w:szCs w:val="40"/>
        </w:rPr>
        <w:t>2.会商项目资金支持方式有待优化</w:t>
      </w:r>
    </w:p>
    <w:p>
      <w:pPr>
        <w:adjustRightInd w:val="0"/>
        <w:snapToGrid w:val="0"/>
        <w:spacing w:line="580"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highlight w:val="none"/>
        </w:rPr>
        <w:t>根据《青岛市科学技术局局区（市）会商专项实施细则》（</w:t>
      </w:r>
      <w:r>
        <w:rPr>
          <w:rFonts w:hint="eastAsia" w:ascii="仿宋_GB2312" w:hAnsi="Times New Roman" w:eastAsia="仿宋_GB2312" w:cs="仿宋_GB2312"/>
          <w:color w:val="auto"/>
          <w:sz w:val="32"/>
          <w:szCs w:val="32"/>
          <w:highlight w:val="none"/>
        </w:rPr>
        <w:t>青科规〔2024〕1号</w:t>
      </w:r>
      <w:r>
        <w:rPr>
          <w:rFonts w:hint="eastAsia" w:ascii="仿宋_GB2312" w:hAnsi="仿宋_GB2312" w:eastAsia="仿宋_GB2312" w:cs="仿宋_GB2312"/>
          <w:color w:val="auto"/>
          <w:sz w:val="32"/>
          <w:szCs w:val="40"/>
          <w:highlight w:val="none"/>
        </w:rPr>
        <w:t>），局区（市</w:t>
      </w:r>
      <w:r>
        <w:rPr>
          <w:rFonts w:hint="eastAsia" w:ascii="仿宋_GB2312" w:hAnsi="仿宋_GB2312" w:eastAsia="仿宋_GB2312" w:cs="仿宋_GB2312"/>
          <w:color w:val="auto"/>
          <w:sz w:val="32"/>
          <w:szCs w:val="40"/>
        </w:rPr>
        <w:t>）会商项目资金可采取无偿资助、后补助、贷款贴息、风险补偿、股权投资等方式，但在实际操作中仅采用了无偿资助一种方式，资金无法根据项目特性和市场环境进行灵活配置。若对资金使用成效的后续考核认定不严谨，极易造成财政资源投入的低效甚至浪费，而且当项目实际成效不佳时，启动退出清算模式往往面临流程繁琐、耗时费力的问题，进一步加剧了资源错配的负面影响。</w:t>
      </w:r>
    </w:p>
    <w:p>
      <w:pPr>
        <w:adjustRightInd w:val="0"/>
        <w:snapToGrid w:val="0"/>
        <w:spacing w:line="580" w:lineRule="exact"/>
        <w:ind w:firstLine="643" w:firstLineChars="200"/>
        <w:rPr>
          <w:rFonts w:ascii="仿宋_GB2312" w:hAnsi="仿宋_GB2312" w:eastAsia="仿宋_GB2312" w:cs="仿宋_GB2312"/>
          <w:b/>
          <w:bCs/>
          <w:color w:val="auto"/>
          <w:sz w:val="32"/>
          <w:szCs w:val="40"/>
        </w:rPr>
      </w:pPr>
      <w:r>
        <w:rPr>
          <w:rFonts w:ascii="仿宋_GB2312" w:hAnsi="仿宋_GB2312" w:eastAsia="仿宋_GB2312" w:cs="仿宋_GB2312"/>
          <w:b/>
          <w:bCs/>
          <w:color w:val="auto"/>
          <w:sz w:val="32"/>
          <w:szCs w:val="40"/>
        </w:rPr>
        <w:t>3.</w:t>
      </w:r>
      <w:r>
        <w:rPr>
          <w:rFonts w:hint="eastAsia" w:ascii="仿宋_GB2312" w:hAnsi="仿宋_GB2312" w:eastAsia="仿宋_GB2312" w:cs="仿宋_GB2312"/>
          <w:b/>
          <w:bCs/>
          <w:color w:val="auto"/>
          <w:sz w:val="32"/>
          <w:szCs w:val="40"/>
        </w:rPr>
        <w:t>项目实施过程管理有待加强，</w:t>
      </w:r>
      <w:r>
        <w:rPr>
          <w:rFonts w:ascii="仿宋_GB2312" w:hAnsi="仿宋_GB2312" w:eastAsia="仿宋_GB2312" w:cs="仿宋_GB2312"/>
          <w:b/>
          <w:bCs/>
          <w:color w:val="auto"/>
          <w:sz w:val="32"/>
          <w:szCs w:val="40"/>
        </w:rPr>
        <w:t>认知人工智能研究院</w:t>
      </w:r>
      <w:r>
        <w:rPr>
          <w:rFonts w:hint="eastAsia" w:ascii="仿宋_GB2312" w:hAnsi="仿宋_GB2312" w:eastAsia="仿宋_GB2312" w:cs="仿宋_GB2312"/>
          <w:b/>
          <w:bCs/>
          <w:color w:val="auto"/>
          <w:sz w:val="32"/>
          <w:szCs w:val="40"/>
        </w:rPr>
        <w:t>项目</w:t>
      </w:r>
      <w:r>
        <w:rPr>
          <w:rFonts w:ascii="仿宋_GB2312" w:hAnsi="仿宋_GB2312" w:eastAsia="仿宋_GB2312" w:cs="仿宋_GB2312"/>
          <w:b/>
          <w:bCs/>
          <w:color w:val="auto"/>
          <w:sz w:val="32"/>
          <w:szCs w:val="40"/>
        </w:rPr>
        <w:t>专项资金使用不规范</w:t>
      </w:r>
    </w:p>
    <w:p>
      <w:pPr>
        <w:adjustRightInd w:val="0"/>
        <w:snapToGrid w:val="0"/>
        <w:spacing w:line="580"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一是</w:t>
      </w:r>
      <w:r>
        <w:rPr>
          <w:rFonts w:hint="eastAsia" w:ascii="仿宋_GB2312" w:hAnsi="仿宋_GB2312" w:eastAsia="仿宋_GB2312" w:cs="仿宋_GB2312"/>
          <w:color w:val="auto"/>
          <w:sz w:val="32"/>
          <w:szCs w:val="40"/>
        </w:rPr>
        <w:t>过程实施管理有待加强。西电青岛研究院在人才“引、育、留、用”，以及与产业对接方面的管理工作有待加强，为项目配置的96套人才公寓，</w:t>
      </w:r>
      <w:r>
        <w:rPr>
          <w:rFonts w:ascii="仿宋_GB2312" w:hAnsi="仿宋_GB2312" w:eastAsia="仿宋_GB2312" w:cs="仿宋_GB2312"/>
          <w:color w:val="auto"/>
          <w:sz w:val="32"/>
          <w:szCs w:val="40"/>
        </w:rPr>
        <w:t>实际</w:t>
      </w:r>
      <w:r>
        <w:rPr>
          <w:rFonts w:hint="eastAsia" w:ascii="仿宋_GB2312" w:hAnsi="仿宋_GB2312" w:eastAsia="仿宋_GB2312" w:cs="仿宋_GB2312"/>
          <w:color w:val="auto"/>
          <w:sz w:val="32"/>
          <w:szCs w:val="40"/>
        </w:rPr>
        <w:t>仅</w:t>
      </w:r>
      <w:r>
        <w:rPr>
          <w:rFonts w:ascii="仿宋_GB2312" w:hAnsi="仿宋_GB2312" w:eastAsia="仿宋_GB2312" w:cs="仿宋_GB2312"/>
          <w:color w:val="auto"/>
          <w:sz w:val="32"/>
          <w:szCs w:val="40"/>
        </w:rPr>
        <w:t>使用66套，使用率68.75%，存在闲置浪费</w:t>
      </w:r>
      <w:r>
        <w:rPr>
          <w:rFonts w:hint="eastAsia" w:ascii="仿宋_GB2312" w:hAnsi="仿宋_GB2312" w:eastAsia="仿宋_GB2312" w:cs="仿宋_GB2312"/>
          <w:color w:val="auto"/>
          <w:sz w:val="32"/>
          <w:szCs w:val="40"/>
        </w:rPr>
        <w:t>现象</w:t>
      </w:r>
      <w:r>
        <w:rPr>
          <w:rFonts w:ascii="仿宋_GB2312" w:hAnsi="仿宋_GB2312" w:eastAsia="仿宋_GB2312" w:cs="仿宋_GB2312"/>
          <w:color w:val="auto"/>
          <w:sz w:val="32"/>
          <w:szCs w:val="40"/>
        </w:rPr>
        <w:t>。</w:t>
      </w:r>
      <w:r>
        <w:rPr>
          <w:rFonts w:hint="eastAsia" w:ascii="仿宋_GB2312" w:hAnsi="仿宋_GB2312" w:eastAsia="仿宋_GB2312" w:cs="仿宋_GB2312"/>
          <w:color w:val="auto"/>
          <w:sz w:val="32"/>
          <w:szCs w:val="40"/>
        </w:rPr>
        <w:t>同时，根据青科规〔2019〕3号要求，研究院应建立科研、财务、诚信等内部管理制度，实际西电青岛研究院未制定诚信管理制度。</w:t>
      </w:r>
    </w:p>
    <w:p>
      <w:pPr>
        <w:adjustRightInd w:val="0"/>
        <w:snapToGrid w:val="0"/>
        <w:spacing w:line="580"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二是</w:t>
      </w:r>
      <w:r>
        <w:rPr>
          <w:rFonts w:hint="eastAsia" w:ascii="仿宋_GB2312" w:hAnsi="仿宋_GB2312" w:eastAsia="仿宋_GB2312" w:cs="仿宋_GB2312"/>
          <w:color w:val="auto"/>
          <w:sz w:val="32"/>
          <w:szCs w:val="40"/>
        </w:rPr>
        <w:t>认知人工智能研究院项目专项资金使用不规范。</w:t>
      </w:r>
      <w:r>
        <w:rPr>
          <w:rFonts w:hint="eastAsia" w:ascii="仿宋_GB2312" w:hAnsi="仿宋_GB2312" w:eastAsia="仿宋_GB2312" w:cs="仿宋_GB2312"/>
          <w:b/>
          <w:bCs/>
          <w:color w:val="auto"/>
          <w:sz w:val="32"/>
          <w:szCs w:val="40"/>
        </w:rPr>
        <w:t>其一，</w:t>
      </w:r>
      <w:r>
        <w:rPr>
          <w:rFonts w:hint="eastAsia" w:ascii="仿宋_GB2312" w:hAnsi="仿宋_GB2312" w:eastAsia="仿宋_GB2312" w:cs="仿宋_GB2312"/>
          <w:color w:val="auto"/>
          <w:sz w:val="32"/>
          <w:szCs w:val="40"/>
        </w:rPr>
        <w:t>违规支出劳务费。</w:t>
      </w:r>
      <w:r>
        <w:rPr>
          <w:rFonts w:ascii="仿宋_GB2312" w:hAnsi="仿宋_GB2312" w:eastAsia="仿宋_GB2312" w:cs="仿宋_GB2312"/>
          <w:color w:val="auto"/>
          <w:sz w:val="32"/>
          <w:szCs w:val="40"/>
        </w:rPr>
        <w:t>根据《青岛市科学技术专项资金管理办法》（青财科教〔2024〕19号）</w:t>
      </w:r>
      <w:r>
        <w:rPr>
          <w:rFonts w:hint="eastAsia" w:ascii="仿宋_GB2312" w:hAnsi="仿宋_GB2312" w:eastAsia="仿宋_GB2312" w:cs="仿宋_GB2312"/>
          <w:color w:val="auto"/>
          <w:sz w:val="32"/>
          <w:szCs w:val="40"/>
        </w:rPr>
        <w:t>“</w:t>
      </w:r>
      <w:r>
        <w:rPr>
          <w:rFonts w:ascii="仿宋_GB2312" w:hAnsi="仿宋_GB2312" w:eastAsia="仿宋_GB2312" w:cs="仿宋_GB2312"/>
          <w:color w:val="auto"/>
          <w:sz w:val="32"/>
          <w:szCs w:val="40"/>
        </w:rPr>
        <w:t>劳务费用于支付参与项目研究的相关人员及临时聘请专家的费用</w:t>
      </w:r>
      <w:r>
        <w:rPr>
          <w:rFonts w:hint="eastAsia" w:ascii="仿宋_GB2312" w:hAnsi="仿宋_GB2312" w:eastAsia="仿宋_GB2312" w:cs="仿宋_GB2312"/>
          <w:color w:val="auto"/>
          <w:sz w:val="32"/>
          <w:szCs w:val="40"/>
        </w:rPr>
        <w:t>”</w:t>
      </w:r>
      <w:r>
        <w:rPr>
          <w:rFonts w:ascii="仿宋_GB2312" w:hAnsi="仿宋_GB2312" w:eastAsia="仿宋_GB2312" w:cs="仿宋_GB2312"/>
          <w:color w:val="auto"/>
          <w:sz w:val="32"/>
          <w:szCs w:val="40"/>
        </w:rPr>
        <w:t>，而该研究院</w:t>
      </w:r>
      <w:r>
        <w:rPr>
          <w:rFonts w:hint="eastAsia" w:ascii="仿宋_GB2312" w:hAnsi="仿宋_GB2312" w:eastAsia="仿宋_GB2312" w:cs="仿宋_GB2312"/>
          <w:color w:val="auto"/>
          <w:sz w:val="32"/>
          <w:szCs w:val="40"/>
        </w:rPr>
        <w:t>使用</w:t>
      </w:r>
      <w:r>
        <w:rPr>
          <w:rFonts w:ascii="仿宋_GB2312" w:hAnsi="仿宋_GB2312" w:eastAsia="仿宋_GB2312" w:cs="仿宋_GB2312"/>
          <w:color w:val="auto"/>
          <w:sz w:val="32"/>
          <w:szCs w:val="40"/>
        </w:rPr>
        <w:t>专项资金24.43万元支付本项目技术负责人和</w:t>
      </w:r>
      <w:r>
        <w:rPr>
          <w:rFonts w:hint="eastAsia" w:ascii="仿宋_GB2312" w:hAnsi="仿宋_GB2312" w:eastAsia="仿宋_GB2312" w:cs="仿宋_GB2312"/>
          <w:color w:val="auto"/>
          <w:sz w:val="32"/>
          <w:szCs w:val="40"/>
        </w:rPr>
        <w:t>法定代表人</w:t>
      </w:r>
      <w:r>
        <w:rPr>
          <w:rFonts w:ascii="仿宋_GB2312" w:hAnsi="仿宋_GB2312" w:eastAsia="仿宋_GB2312" w:cs="仿宋_GB2312"/>
          <w:color w:val="auto"/>
          <w:sz w:val="32"/>
          <w:szCs w:val="40"/>
        </w:rPr>
        <w:t>的工资，与规定用途不符。</w:t>
      </w:r>
      <w:r>
        <w:rPr>
          <w:rFonts w:hint="eastAsia" w:ascii="仿宋_GB2312" w:hAnsi="仿宋_GB2312" w:eastAsia="仿宋_GB2312" w:cs="仿宋_GB2312"/>
          <w:b/>
          <w:bCs/>
          <w:color w:val="auto"/>
          <w:sz w:val="32"/>
          <w:szCs w:val="40"/>
        </w:rPr>
        <w:t>其二，</w:t>
      </w:r>
      <w:r>
        <w:rPr>
          <w:rFonts w:hint="eastAsia" w:ascii="仿宋_GB2312" w:hAnsi="仿宋_GB2312" w:eastAsia="仿宋_GB2312" w:cs="仿宋_GB2312"/>
          <w:color w:val="auto"/>
          <w:sz w:val="32"/>
          <w:szCs w:val="40"/>
        </w:rPr>
        <w:t>间接费用占比远超规定。根据青财科教〔2024〕19号“间接费用实行总额控制，按照不超过项目经费中直接费用扣除设备费后的一定比例核定，500万以下部分的间接费用不超过30%”，项目专项资金支出总额159.63万元（上期结转59.63万元、本期到位100万元），其中间接费用78.85万元，直接费用扣除设备费后支出75.79万元，比例高达104.04%，远超30%的规定。</w:t>
      </w:r>
      <w:r>
        <w:rPr>
          <w:rFonts w:hint="eastAsia" w:ascii="仿宋_GB2312" w:hAnsi="仿宋_GB2312" w:eastAsia="仿宋_GB2312" w:cs="仿宋_GB2312"/>
          <w:b/>
          <w:bCs/>
          <w:color w:val="auto"/>
          <w:sz w:val="32"/>
          <w:szCs w:val="40"/>
        </w:rPr>
        <w:t>其三，</w:t>
      </w:r>
      <w:r>
        <w:rPr>
          <w:rFonts w:hint="eastAsia" w:ascii="仿宋_GB2312" w:hAnsi="仿宋_GB2312" w:eastAsia="仿宋_GB2312" w:cs="仿宋_GB2312"/>
          <w:color w:val="auto"/>
          <w:sz w:val="32"/>
          <w:szCs w:val="40"/>
        </w:rPr>
        <w:t>项目费用支出结构失衡。该项目直接费用占比50.6%（其中：设备费3.13%、业务费25.04%、劳务费22.44%），间接费用占比49.4%（其中：绩效报酬36.25%、电费1.66%、场地租金等11.49%）两者占比接近。直接费用中与项目执行直接相关的设备费仅占3.13%，而劳务费达22.44%，间接费用中绩效报酬占比高达36.25%，资金更多流向人员报酬类支出，对科研执行的直接投入不足。</w:t>
      </w:r>
    </w:p>
    <w:p>
      <w:pPr>
        <w:adjustRightInd w:val="0"/>
        <w:snapToGrid w:val="0"/>
        <w:spacing w:line="580" w:lineRule="exact"/>
        <w:ind w:firstLine="640" w:firstLineChars="200"/>
        <w:rPr>
          <w:rFonts w:ascii="楷体_GB2312" w:hAnsi="Times New Roman" w:eastAsia="楷体_GB2312" w:cs="Times New Roman"/>
          <w:color w:val="auto"/>
          <w:sz w:val="32"/>
          <w:szCs w:val="32"/>
        </w:rPr>
      </w:pPr>
      <w:r>
        <w:rPr>
          <w:rFonts w:hint="eastAsia" w:ascii="楷体_GB2312" w:hAnsi="Times New Roman" w:eastAsia="楷体_GB2312" w:cs="Times New Roman"/>
          <w:color w:val="auto"/>
          <w:sz w:val="32"/>
          <w:szCs w:val="32"/>
        </w:rPr>
        <w:t>（二）项目投入产出效益较低，资源投入存在闲置浪费与低效使用问题</w:t>
      </w:r>
    </w:p>
    <w:p>
      <w:pPr>
        <w:adjustRightInd w:val="0"/>
        <w:snapToGrid w:val="0"/>
        <w:spacing w:line="580" w:lineRule="exact"/>
        <w:ind w:firstLine="643" w:firstLineChars="200"/>
        <w:rPr>
          <w:rFonts w:ascii="仿宋_GB2312" w:hAnsi="仿宋_GB2312" w:eastAsia="仿宋_GB2312" w:cs="仿宋_GB2312"/>
          <w:b/>
          <w:bCs/>
          <w:color w:val="auto"/>
          <w:sz w:val="32"/>
          <w:szCs w:val="40"/>
        </w:rPr>
      </w:pPr>
      <w:r>
        <w:rPr>
          <w:rFonts w:hint="eastAsia" w:ascii="仿宋_GB2312" w:hAnsi="仿宋_GB2312" w:eastAsia="仿宋_GB2312" w:cs="仿宋_GB2312"/>
          <w:b/>
          <w:bCs/>
          <w:color w:val="auto"/>
          <w:sz w:val="32"/>
          <w:szCs w:val="40"/>
        </w:rPr>
        <w:t>1.西电青岛研究院人才培养投入与效益回报失衡</w:t>
      </w:r>
    </w:p>
    <w:p>
      <w:pPr>
        <w:adjustRightInd w:val="0"/>
        <w:snapToGrid w:val="0"/>
        <w:spacing w:line="580"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培养人才留青率低，而培养成本却由城阳区财政承担。</w:t>
      </w:r>
      <w:r>
        <w:rPr>
          <w:rFonts w:hint="default" w:ascii="仿宋_GB2312" w:hAnsi="仿宋_GB2312" w:eastAsia="仿宋_GB2312" w:cs="仿宋_GB2312"/>
          <w:color w:val="auto"/>
          <w:sz w:val="32"/>
          <w:szCs w:val="40"/>
          <w:highlight w:val="none"/>
          <w:lang w:val="en-US" w:eastAsia="zh-CN"/>
        </w:rPr>
        <w:t>城阳区每年为研究生投入</w:t>
      </w:r>
      <w:r>
        <w:rPr>
          <w:rFonts w:hint="eastAsia" w:ascii="仿宋_GB2312" w:hAnsi="仿宋_GB2312" w:eastAsia="仿宋_GB2312" w:cs="仿宋_GB2312"/>
          <w:color w:val="auto"/>
          <w:sz w:val="32"/>
          <w:szCs w:val="40"/>
          <w:highlight w:val="none"/>
          <w:lang w:val="en-US" w:eastAsia="zh-CN"/>
        </w:rPr>
        <w:t>较高的培养经费，而所培养的研究生留青率低，从所培养人才留青率角度上看，未达到预期</w:t>
      </w:r>
      <w:r>
        <w:rPr>
          <w:rFonts w:ascii="仿宋_GB2312" w:hAnsi="仿宋_GB2312" w:eastAsia="仿宋_GB2312" w:cs="仿宋_GB2312"/>
          <w:color w:val="auto"/>
          <w:sz w:val="32"/>
          <w:szCs w:val="40"/>
        </w:rPr>
        <w:t>。</w:t>
      </w:r>
      <w:r>
        <w:rPr>
          <w:rFonts w:hint="eastAsia" w:ascii="仿宋_GB2312" w:hAnsi="仿宋_GB2312" w:eastAsia="仿宋_GB2312" w:cs="仿宋_GB2312"/>
          <w:color w:val="auto"/>
          <w:sz w:val="32"/>
          <w:szCs w:val="40"/>
        </w:rPr>
        <w:t>西电人才导入效果与预期目标差距较大，未建立起“引进－培养－留用－发展”的完整链条机制，人才引育存在重数量，轻质量的现象</w:t>
      </w:r>
      <w:r>
        <w:rPr>
          <w:rFonts w:ascii="仿宋_GB2312" w:hAnsi="仿宋_GB2312" w:eastAsia="仿宋_GB2312" w:cs="仿宋_GB2312"/>
          <w:color w:val="auto"/>
          <w:sz w:val="32"/>
          <w:szCs w:val="40"/>
        </w:rPr>
        <w:t>。</w:t>
      </w:r>
    </w:p>
    <w:p>
      <w:pPr>
        <w:adjustRightInd w:val="0"/>
        <w:snapToGrid w:val="0"/>
        <w:spacing w:line="580" w:lineRule="exact"/>
        <w:ind w:firstLine="643" w:firstLineChars="200"/>
        <w:rPr>
          <w:rFonts w:ascii="仿宋_GB2312" w:hAnsi="仿宋_GB2312" w:eastAsia="仿宋_GB2312" w:cs="仿宋_GB2312"/>
          <w:b/>
          <w:bCs/>
          <w:color w:val="auto"/>
          <w:sz w:val="32"/>
          <w:szCs w:val="40"/>
        </w:rPr>
      </w:pPr>
      <w:r>
        <w:rPr>
          <w:rFonts w:hint="eastAsia" w:ascii="仿宋_GB2312" w:hAnsi="仿宋_GB2312" w:eastAsia="仿宋_GB2312" w:cs="仿宋_GB2312"/>
          <w:b/>
          <w:bCs/>
          <w:color w:val="auto"/>
          <w:sz w:val="32"/>
          <w:szCs w:val="40"/>
        </w:rPr>
        <w:t>2.认知人工智能研究院项目运营补助投入与项目实施成效不匹配，自筹资金到位率低</w:t>
      </w:r>
    </w:p>
    <w:p>
      <w:pPr>
        <w:adjustRightInd w:val="0"/>
        <w:snapToGrid w:val="0"/>
        <w:spacing w:after="120" w:afterLines="50" w:line="580" w:lineRule="exact"/>
        <w:ind w:firstLine="643" w:firstLineChars="200"/>
        <w:rPr>
          <w:rFonts w:hint="eastAsia" w:ascii="仿宋_GB2312" w:hAnsi="仿宋_GB2312" w:eastAsia="仿宋_GB2312" w:cs="仿宋_GB2312"/>
          <w:color w:val="auto"/>
          <w:sz w:val="32"/>
          <w:szCs w:val="40"/>
          <w:lang w:eastAsia="zh-CN"/>
        </w:rPr>
      </w:pPr>
      <w:r>
        <w:rPr>
          <w:rFonts w:ascii="仿宋_GB2312" w:hAnsi="仿宋_GB2312" w:eastAsia="仿宋_GB2312" w:cs="仿宋_GB2312"/>
          <w:b/>
          <w:bCs/>
          <w:color w:val="auto"/>
          <w:sz w:val="32"/>
          <w:szCs w:val="40"/>
        </w:rPr>
        <w:t>一是</w:t>
      </w:r>
      <w:r>
        <w:rPr>
          <w:rFonts w:hint="eastAsia" w:ascii="仿宋_GB2312" w:hAnsi="仿宋_GB2312" w:eastAsia="仿宋_GB2312" w:cs="仿宋_GB2312"/>
          <w:color w:val="auto"/>
          <w:sz w:val="32"/>
          <w:szCs w:val="40"/>
        </w:rPr>
        <w:t>项目投入</w:t>
      </w:r>
      <w:r>
        <w:rPr>
          <w:rFonts w:ascii="仿宋_GB2312" w:hAnsi="仿宋_GB2312" w:eastAsia="仿宋_GB2312" w:cs="仿宋_GB2312"/>
          <w:color w:val="auto"/>
          <w:sz w:val="32"/>
          <w:szCs w:val="40"/>
        </w:rPr>
        <w:t>产出效率偏低。</w:t>
      </w:r>
      <w:r>
        <w:rPr>
          <w:rFonts w:hint="eastAsia" w:ascii="仿宋_GB2312" w:hAnsi="仿宋_GB2312" w:eastAsia="仿宋_GB2312" w:cs="仿宋_GB2312"/>
          <w:color w:val="auto"/>
          <w:sz w:val="32"/>
          <w:szCs w:val="40"/>
        </w:rPr>
        <w:t>市、区两级累计拨付运营补助2745万元（市级1750万元、市南区995万元），但除“申请及授权发明专利”外，其余约定考核任务均未完成。本项目承担单位为类认知公司，由合作单位山东心法科技负责成果转化。根据与市南区的合伙协议，项目知识产权应归类认知公司所有，但截至2024年底，其累计获得的80项知识产权（含申请专利24项、授权专利37项、软著19项）中，有68项归属山东心法科技，未按协议约定及时转移至类认知公司名下。同时，项目成果转化及相关收益也由山东心法科技主导，未合理归入类认知公司。类认知公司2022年至2024年营业收入从326.46元到258945.22元不等，净利润均为负数，难以实现自我保障。二</w:t>
      </w:r>
      <w:r>
        <w:rPr>
          <w:rFonts w:ascii="仿宋_GB2312" w:hAnsi="仿宋_GB2312" w:eastAsia="仿宋_GB2312" w:cs="仿宋_GB2312"/>
          <w:b/>
          <w:bCs/>
          <w:color w:val="auto"/>
          <w:sz w:val="32"/>
          <w:szCs w:val="40"/>
        </w:rPr>
        <w:t>是</w:t>
      </w:r>
      <w:r>
        <w:rPr>
          <w:rFonts w:ascii="仿宋_GB2312" w:hAnsi="仿宋_GB2312" w:eastAsia="仿宋_GB2312" w:cs="仿宋_GB2312"/>
          <w:color w:val="auto"/>
          <w:sz w:val="32"/>
          <w:szCs w:val="40"/>
        </w:rPr>
        <w:t>自筹资金</w:t>
      </w:r>
      <w:r>
        <w:rPr>
          <w:rFonts w:hint="eastAsia" w:ascii="仿宋_GB2312" w:hAnsi="仿宋_GB2312" w:eastAsia="仿宋_GB2312" w:cs="仿宋_GB2312"/>
          <w:color w:val="auto"/>
          <w:sz w:val="32"/>
          <w:szCs w:val="40"/>
        </w:rPr>
        <w:t>到位</w:t>
      </w:r>
      <w:r>
        <w:rPr>
          <w:rFonts w:ascii="仿宋_GB2312" w:hAnsi="仿宋_GB2312" w:eastAsia="仿宋_GB2312" w:cs="仿宋_GB2312"/>
          <w:color w:val="auto"/>
          <w:sz w:val="32"/>
          <w:szCs w:val="40"/>
        </w:rPr>
        <w:t>率低。</w:t>
      </w:r>
      <w:r>
        <w:rPr>
          <w:rFonts w:hint="eastAsia" w:ascii="仿宋_GB2312" w:hAnsi="仿宋_GB2312" w:eastAsia="仿宋_GB2312" w:cs="仿宋_GB2312"/>
          <w:color w:val="auto"/>
          <w:sz w:val="32"/>
          <w:szCs w:val="40"/>
        </w:rPr>
        <w:t>根据市科技局对该项目一期、二期的专项审计结果，一、二期应到位自有资金5900万元，仅到位59.24万元，到位率仅1%。</w:t>
      </w:r>
      <w:r>
        <w:rPr>
          <w:rFonts w:ascii="仿宋_GB2312" w:hAnsi="仿宋_GB2312" w:eastAsia="仿宋_GB2312" w:cs="仿宋_GB2312"/>
          <w:color w:val="auto"/>
          <w:sz w:val="32"/>
          <w:szCs w:val="40"/>
        </w:rPr>
        <w:t>根据项目《局区（市）会商项目任务书》，</w:t>
      </w:r>
      <w:r>
        <w:rPr>
          <w:rFonts w:hint="eastAsia" w:ascii="仿宋_GB2312" w:hAnsi="仿宋_GB2312" w:eastAsia="仿宋_GB2312" w:cs="仿宋_GB2312"/>
          <w:color w:val="auto"/>
          <w:sz w:val="32"/>
          <w:szCs w:val="40"/>
        </w:rPr>
        <w:t>本次评价涉及的三期任务（2024年8月1日—2025年7月31日）</w:t>
      </w:r>
      <w:r>
        <w:rPr>
          <w:rFonts w:ascii="仿宋_GB2312" w:hAnsi="仿宋_GB2312" w:eastAsia="仿宋_GB2312" w:cs="仿宋_GB2312"/>
          <w:color w:val="auto"/>
          <w:sz w:val="32"/>
          <w:szCs w:val="40"/>
        </w:rPr>
        <w:t>应自筹资金1500万元，</w:t>
      </w:r>
      <w:r>
        <w:rPr>
          <w:rFonts w:hint="eastAsia" w:ascii="仿宋_GB2312" w:hAnsi="仿宋_GB2312" w:eastAsia="仿宋_GB2312" w:cs="仿宋_GB2312"/>
          <w:color w:val="auto"/>
          <w:sz w:val="32"/>
          <w:szCs w:val="40"/>
        </w:rPr>
        <w:t>实际到位金额102万元，到位率6.8%。</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楷体_GB2312" w:hAnsi="Times New Roman" w:eastAsia="楷体_GB2312" w:cs="Times New Roman"/>
          <w:color w:val="auto"/>
          <w:sz w:val="32"/>
          <w:szCs w:val="32"/>
        </w:rPr>
      </w:pPr>
      <w:r>
        <w:rPr>
          <w:rFonts w:hint="eastAsia" w:ascii="楷体_GB2312" w:hAnsi="Times New Roman" w:eastAsia="楷体_GB2312" w:cs="Times New Roman"/>
          <w:color w:val="auto"/>
          <w:sz w:val="32"/>
          <w:szCs w:val="32"/>
        </w:rPr>
        <w:t>（三）部分目标任务未达预期标准，人才储备、企业孵化等核心功能未能落地实现</w:t>
      </w:r>
    </w:p>
    <w:p>
      <w:pPr>
        <w:adjustRightInd w:val="0"/>
        <w:snapToGrid w:val="0"/>
        <w:spacing w:line="580" w:lineRule="exact"/>
        <w:ind w:firstLine="643" w:firstLineChars="200"/>
        <w:rPr>
          <w:rFonts w:ascii="仿宋_GB2312" w:hAnsi="仿宋_GB2312" w:eastAsia="仿宋_GB2312" w:cs="仿宋_GB2312"/>
          <w:b/>
          <w:bCs/>
          <w:color w:val="auto"/>
          <w:sz w:val="32"/>
          <w:szCs w:val="40"/>
        </w:rPr>
      </w:pPr>
      <w:r>
        <w:rPr>
          <w:rFonts w:hint="eastAsia" w:ascii="仿宋_GB2312" w:hAnsi="仿宋_GB2312" w:eastAsia="仿宋_GB2312" w:cs="仿宋_GB2312"/>
          <w:b/>
          <w:bCs/>
          <w:color w:val="auto"/>
          <w:sz w:val="32"/>
          <w:szCs w:val="40"/>
        </w:rPr>
        <w:t>1.西电青岛研究院区域科普服务履约不足，高水平人才蓄水池功能未显现</w:t>
      </w:r>
    </w:p>
    <w:p>
      <w:pPr>
        <w:pStyle w:val="8"/>
        <w:adjustRightInd w:val="0"/>
        <w:spacing w:line="580" w:lineRule="exact"/>
        <w:ind w:firstLine="643" w:firstLineChars="200"/>
        <w:rPr>
          <w:color w:val="auto"/>
        </w:rPr>
      </w:pPr>
      <w:r>
        <w:rPr>
          <w:rFonts w:hint="eastAsia" w:hAnsi="仿宋_GB2312" w:cs="仿宋_GB2312"/>
          <w:b/>
          <w:bCs/>
          <w:color w:val="auto"/>
          <w:sz w:val="32"/>
          <w:szCs w:val="40"/>
        </w:rPr>
        <w:t>一</w:t>
      </w:r>
      <w:r>
        <w:rPr>
          <w:rFonts w:hAnsi="仿宋_GB2312" w:cs="仿宋_GB2312"/>
          <w:b/>
          <w:bCs/>
          <w:color w:val="auto"/>
          <w:sz w:val="32"/>
          <w:szCs w:val="40"/>
        </w:rPr>
        <w:t>是</w:t>
      </w:r>
      <w:r>
        <w:rPr>
          <w:rFonts w:hAnsi="仿宋_GB2312" w:cs="仿宋_GB2312"/>
          <w:color w:val="auto"/>
          <w:sz w:val="32"/>
          <w:szCs w:val="40"/>
        </w:rPr>
        <w:t>科普服务未能按约推进。按照研究生培训协议，</w:t>
      </w:r>
      <w:r>
        <w:rPr>
          <w:rFonts w:hAnsi="仿宋_GB2312" w:cs="仿宋_GB2312"/>
          <w:color w:val="auto"/>
          <w:sz w:val="32"/>
          <w:szCs w:val="40"/>
          <w:highlight w:val="none"/>
        </w:rPr>
        <w:t>西电</w:t>
      </w:r>
      <w:r>
        <w:rPr>
          <w:rFonts w:hint="eastAsia" w:hAnsi="仿宋_GB2312" w:cs="仿宋_GB2312"/>
          <w:color w:val="auto"/>
          <w:sz w:val="32"/>
          <w:szCs w:val="40"/>
          <w:highlight w:val="none"/>
          <w:lang w:val="en-US" w:eastAsia="zh-CN"/>
        </w:rPr>
        <w:t>青岛</w:t>
      </w:r>
      <w:r>
        <w:rPr>
          <w:rFonts w:hAnsi="仿宋_GB2312" w:cs="仿宋_GB2312"/>
          <w:color w:val="auto"/>
          <w:sz w:val="32"/>
          <w:szCs w:val="40"/>
          <w:highlight w:val="none"/>
        </w:rPr>
        <w:t>研究院</w:t>
      </w:r>
      <w:r>
        <w:rPr>
          <w:rFonts w:hAnsi="仿宋_GB2312" w:cs="仿宋_GB2312"/>
          <w:color w:val="auto"/>
          <w:sz w:val="32"/>
          <w:szCs w:val="40"/>
        </w:rPr>
        <w:t>应通过多种形式每年为城阳区免费提供相关学科的社会科普讲座20次，其中每年不少于6次在城阳电视广播节目中免费提供相关科普讲座，以提升区域居民科学素养</w:t>
      </w:r>
      <w:r>
        <w:rPr>
          <w:rFonts w:hint="eastAsia" w:hAnsi="仿宋_GB2312" w:cs="仿宋_GB2312"/>
          <w:color w:val="auto"/>
          <w:sz w:val="32"/>
          <w:szCs w:val="40"/>
        </w:rPr>
        <w:t>，</w:t>
      </w:r>
      <w:r>
        <w:rPr>
          <w:rFonts w:hAnsi="仿宋_GB2312" w:cs="仿宋_GB2312"/>
          <w:color w:val="auto"/>
          <w:sz w:val="32"/>
          <w:szCs w:val="40"/>
        </w:rPr>
        <w:t>实际仅为城阳区提供从幼儿园到大学阶段的教育科普课堂4次，完成率仅20%，相关科普讲座一次未开展。</w:t>
      </w:r>
      <w:r>
        <w:rPr>
          <w:rFonts w:hint="eastAsia" w:hAnsi="仿宋_GB2312" w:cs="仿宋_GB2312"/>
          <w:b/>
          <w:bCs/>
          <w:color w:val="auto"/>
          <w:sz w:val="32"/>
          <w:szCs w:val="40"/>
        </w:rPr>
        <w:t>二</w:t>
      </w:r>
      <w:r>
        <w:rPr>
          <w:rFonts w:hAnsi="仿宋_GB2312" w:cs="仿宋_GB2312"/>
          <w:b/>
          <w:bCs/>
          <w:color w:val="auto"/>
          <w:sz w:val="32"/>
          <w:szCs w:val="40"/>
        </w:rPr>
        <w:t>是</w:t>
      </w:r>
      <w:r>
        <w:rPr>
          <w:rFonts w:hAnsi="仿宋_GB2312" w:cs="仿宋_GB2312"/>
          <w:color w:val="auto"/>
          <w:sz w:val="32"/>
          <w:szCs w:val="40"/>
        </w:rPr>
        <w:t>高层次人才蓄水池功能发挥</w:t>
      </w:r>
      <w:r>
        <w:rPr>
          <w:rFonts w:hint="eastAsia" w:hAnsi="仿宋_GB2312" w:cs="仿宋_GB2312"/>
          <w:color w:val="auto"/>
          <w:sz w:val="32"/>
          <w:szCs w:val="40"/>
        </w:rPr>
        <w:t>欠佳</w:t>
      </w:r>
      <w:r>
        <w:rPr>
          <w:rFonts w:hAnsi="仿宋_GB2312" w:cs="仿宋_GB2312"/>
          <w:color w:val="auto"/>
          <w:sz w:val="32"/>
          <w:szCs w:val="40"/>
        </w:rPr>
        <w:t>。项目设立至今，未引进海外高层次人才；根据</w:t>
      </w:r>
      <w:r>
        <w:rPr>
          <w:rFonts w:hint="eastAsia" w:hAnsi="仿宋_GB2312" w:cs="仿宋_GB2312"/>
          <w:color w:val="auto"/>
          <w:sz w:val="32"/>
          <w:szCs w:val="40"/>
        </w:rPr>
        <w:t>共建</w:t>
      </w:r>
      <w:r>
        <w:rPr>
          <w:rFonts w:hAnsi="仿宋_GB2312" w:cs="仿宋_GB2312"/>
          <w:color w:val="auto"/>
          <w:sz w:val="32"/>
          <w:szCs w:val="40"/>
        </w:rPr>
        <w:t>协议约定</w:t>
      </w:r>
      <w:r>
        <w:rPr>
          <w:rFonts w:hint="eastAsia" w:hAnsi="仿宋_GB2312" w:cs="仿宋_GB2312"/>
          <w:color w:val="auto"/>
          <w:sz w:val="32"/>
          <w:szCs w:val="40"/>
        </w:rPr>
        <w:t>，</w:t>
      </w:r>
      <w:r>
        <w:rPr>
          <w:rFonts w:hAnsi="仿宋_GB2312" w:cs="仿宋_GB2312"/>
          <w:color w:val="auto"/>
          <w:sz w:val="32"/>
          <w:szCs w:val="40"/>
        </w:rPr>
        <w:t>应在青岛设立博士后工作站及院士工作站，截至目前，院士工作站</w:t>
      </w:r>
      <w:r>
        <w:rPr>
          <w:rFonts w:hint="eastAsia" w:hAnsi="仿宋_GB2312" w:cs="仿宋_GB2312"/>
          <w:color w:val="auto"/>
          <w:sz w:val="32"/>
          <w:szCs w:val="40"/>
        </w:rPr>
        <w:t>仍</w:t>
      </w:r>
      <w:r>
        <w:rPr>
          <w:rFonts w:hAnsi="仿宋_GB2312" w:cs="仿宋_GB2312"/>
          <w:color w:val="auto"/>
          <w:sz w:val="32"/>
          <w:szCs w:val="40"/>
        </w:rPr>
        <w:t>未获批，虽于2021年成功获批博士后工作站，但自建站以来仅</w:t>
      </w:r>
      <w:r>
        <w:rPr>
          <w:rFonts w:hint="eastAsia" w:hAnsi="仿宋_GB2312" w:cs="仿宋_GB2312"/>
          <w:color w:val="auto"/>
          <w:sz w:val="32"/>
          <w:szCs w:val="40"/>
        </w:rPr>
        <w:t>1名</w:t>
      </w:r>
      <w:r>
        <w:rPr>
          <w:rFonts w:hAnsi="仿宋_GB2312" w:cs="仿宋_GB2312"/>
          <w:color w:val="auto"/>
          <w:sz w:val="32"/>
          <w:szCs w:val="40"/>
        </w:rPr>
        <w:t>博士后入站，未能实现聚集大量人才、资本、资源、信息</w:t>
      </w:r>
      <w:r>
        <w:rPr>
          <w:rFonts w:hint="eastAsia" w:hAnsi="仿宋_GB2312" w:cs="仿宋_GB2312"/>
          <w:color w:val="auto"/>
          <w:sz w:val="32"/>
          <w:szCs w:val="40"/>
        </w:rPr>
        <w:t>及</w:t>
      </w:r>
      <w:r>
        <w:rPr>
          <w:rFonts w:hAnsi="仿宋_GB2312" w:cs="仿宋_GB2312"/>
          <w:color w:val="auto"/>
          <w:sz w:val="32"/>
          <w:szCs w:val="40"/>
        </w:rPr>
        <w:t>产业的预期效果。</w:t>
      </w:r>
    </w:p>
    <w:p>
      <w:pPr>
        <w:pStyle w:val="8"/>
        <w:adjustRightInd w:val="0"/>
        <w:spacing w:line="580" w:lineRule="exact"/>
        <w:ind w:firstLine="643" w:firstLineChars="200"/>
        <w:rPr>
          <w:rFonts w:hAnsi="仿宋_GB2312" w:cs="仿宋_GB2312"/>
          <w:b/>
          <w:bCs/>
          <w:color w:val="auto"/>
          <w:sz w:val="32"/>
          <w:szCs w:val="40"/>
        </w:rPr>
      </w:pPr>
      <w:r>
        <w:rPr>
          <w:rFonts w:hint="eastAsia" w:hAnsi="仿宋_GB2312" w:cs="仿宋_GB2312"/>
          <w:b/>
          <w:bCs/>
          <w:color w:val="auto"/>
          <w:sz w:val="32"/>
          <w:szCs w:val="40"/>
        </w:rPr>
        <w:t>2.认知人工智能研究院项目目标任务完成度低，孵化运营成效不高</w:t>
      </w:r>
    </w:p>
    <w:p>
      <w:pPr>
        <w:pStyle w:val="8"/>
        <w:adjustRightInd w:val="0"/>
        <w:spacing w:line="580" w:lineRule="exact"/>
        <w:ind w:firstLine="643" w:firstLineChars="200"/>
        <w:rPr>
          <w:rFonts w:hAnsi="仿宋_GB2312" w:cs="仿宋_GB2312"/>
          <w:color w:val="auto"/>
          <w:sz w:val="32"/>
          <w:szCs w:val="40"/>
        </w:rPr>
      </w:pPr>
      <w:r>
        <w:rPr>
          <w:rFonts w:hAnsi="仿宋_GB2312" w:cs="仿宋_GB2312"/>
          <w:b/>
          <w:bCs/>
          <w:color w:val="auto"/>
          <w:sz w:val="32"/>
          <w:szCs w:val="40"/>
        </w:rPr>
        <w:t>一是</w:t>
      </w:r>
      <w:r>
        <w:rPr>
          <w:rFonts w:hAnsi="仿宋_GB2312" w:cs="仿宋_GB2312"/>
          <w:color w:val="auto"/>
          <w:sz w:val="32"/>
          <w:szCs w:val="40"/>
        </w:rPr>
        <w:t>核心目标任务完成率低，成果质量</w:t>
      </w:r>
      <w:r>
        <w:rPr>
          <w:rFonts w:hint="eastAsia" w:hAnsi="仿宋_GB2312" w:cs="仿宋_GB2312"/>
          <w:color w:val="auto"/>
          <w:sz w:val="32"/>
          <w:szCs w:val="40"/>
        </w:rPr>
        <w:t>也</w:t>
      </w:r>
      <w:r>
        <w:rPr>
          <w:rFonts w:hAnsi="仿宋_GB2312" w:cs="仿宋_GB2312"/>
          <w:color w:val="auto"/>
          <w:sz w:val="32"/>
          <w:szCs w:val="40"/>
        </w:rPr>
        <w:t>未达预期。依据《青岛认知人工智能研究院体系考核办法》，至2024年4月15日，研究院应取得重大科技成果10项，</w:t>
      </w:r>
      <w:r>
        <w:rPr>
          <w:rFonts w:hint="eastAsia" w:hAnsi="仿宋_GB2312" w:cs="仿宋_GB2312"/>
          <w:color w:val="auto"/>
          <w:sz w:val="32"/>
          <w:szCs w:val="40"/>
        </w:rPr>
        <w:t>实际</w:t>
      </w:r>
      <w:r>
        <w:rPr>
          <w:rFonts w:hAnsi="仿宋_GB2312" w:cs="仿宋_GB2312"/>
          <w:color w:val="auto"/>
          <w:sz w:val="32"/>
          <w:szCs w:val="40"/>
        </w:rPr>
        <w:t>仅取得4项，完成率40%；应累计引进人才/团队不少于20人</w:t>
      </w:r>
      <w:r>
        <w:rPr>
          <w:rFonts w:hint="eastAsia" w:hAnsi="仿宋_GB2312" w:cs="仿宋_GB2312"/>
          <w:color w:val="auto"/>
          <w:sz w:val="32"/>
          <w:szCs w:val="40"/>
        </w:rPr>
        <w:t>（</w:t>
      </w:r>
      <w:r>
        <w:rPr>
          <w:rFonts w:hAnsi="仿宋_GB2312" w:cs="仿宋_GB2312"/>
          <w:color w:val="auto"/>
          <w:sz w:val="32"/>
          <w:szCs w:val="40"/>
        </w:rPr>
        <w:t>其中任务期引进5人</w:t>
      </w:r>
      <w:r>
        <w:rPr>
          <w:rFonts w:hint="eastAsia" w:hAnsi="仿宋_GB2312" w:cs="仿宋_GB2312"/>
          <w:color w:val="auto"/>
          <w:sz w:val="32"/>
          <w:szCs w:val="40"/>
        </w:rPr>
        <w:t>）</w:t>
      </w:r>
      <w:r>
        <w:rPr>
          <w:rFonts w:hAnsi="仿宋_GB2312" w:cs="仿宋_GB2312"/>
          <w:color w:val="auto"/>
          <w:sz w:val="32"/>
          <w:szCs w:val="40"/>
        </w:rPr>
        <w:t>，实际累计引进</w:t>
      </w:r>
      <w:r>
        <w:rPr>
          <w:rFonts w:hint="eastAsia" w:hAnsi="仿宋_GB2312" w:cs="仿宋_GB2312"/>
          <w:color w:val="auto"/>
          <w:sz w:val="32"/>
          <w:szCs w:val="40"/>
        </w:rPr>
        <w:t>16</w:t>
      </w:r>
      <w:r>
        <w:rPr>
          <w:rFonts w:hAnsi="仿宋_GB2312" w:cs="仿宋_GB2312"/>
          <w:color w:val="auto"/>
          <w:sz w:val="32"/>
          <w:szCs w:val="40"/>
        </w:rPr>
        <w:t>人，任务期引进</w:t>
      </w:r>
      <w:r>
        <w:rPr>
          <w:rFonts w:hint="eastAsia" w:hAnsi="仿宋_GB2312" w:cs="仿宋_GB2312"/>
          <w:color w:val="auto"/>
          <w:sz w:val="32"/>
          <w:szCs w:val="40"/>
        </w:rPr>
        <w:t>1</w:t>
      </w:r>
      <w:r>
        <w:rPr>
          <w:rFonts w:hAnsi="仿宋_GB2312" w:cs="仿宋_GB2312"/>
          <w:color w:val="auto"/>
          <w:sz w:val="32"/>
          <w:szCs w:val="40"/>
        </w:rPr>
        <w:t>人</w:t>
      </w:r>
      <w:r>
        <w:rPr>
          <w:rFonts w:hint="eastAsia" w:hAnsi="仿宋_GB2312" w:cs="仿宋_GB2312"/>
          <w:color w:val="auto"/>
          <w:sz w:val="32"/>
          <w:szCs w:val="40"/>
        </w:rPr>
        <w:t>。而且在获得的37项授权专利中56.76%（21项）来自外部购买，自有专利占比仅43.24%（16项），成果质量存在明显短板。</w:t>
      </w:r>
      <w:r>
        <w:rPr>
          <w:rFonts w:hAnsi="仿宋_GB2312" w:cs="仿宋_GB2312"/>
          <w:b/>
          <w:bCs/>
          <w:color w:val="auto"/>
          <w:sz w:val="32"/>
          <w:szCs w:val="40"/>
        </w:rPr>
        <w:t>二是</w:t>
      </w:r>
      <w:r>
        <w:rPr>
          <w:rFonts w:hint="eastAsia" w:hAnsi="仿宋_GB2312" w:cs="仿宋_GB2312"/>
          <w:color w:val="auto"/>
          <w:sz w:val="32"/>
          <w:szCs w:val="40"/>
        </w:rPr>
        <w:t>项目</w:t>
      </w:r>
      <w:r>
        <w:rPr>
          <w:rFonts w:hAnsi="仿宋_GB2312" w:cs="仿宋_GB2312"/>
          <w:color w:val="auto"/>
          <w:sz w:val="32"/>
          <w:szCs w:val="40"/>
        </w:rPr>
        <w:t>所孵化的5家企业</w:t>
      </w:r>
      <w:r>
        <w:rPr>
          <w:rFonts w:hint="eastAsia" w:hAnsi="仿宋_GB2312" w:cs="仿宋_GB2312"/>
          <w:color w:val="auto"/>
          <w:sz w:val="32"/>
          <w:szCs w:val="40"/>
        </w:rPr>
        <w:t>中，</w:t>
      </w:r>
      <w:r>
        <w:rPr>
          <w:rFonts w:hAnsi="仿宋_GB2312" w:cs="仿宋_GB2312"/>
          <w:color w:val="auto"/>
          <w:sz w:val="32"/>
          <w:szCs w:val="40"/>
        </w:rPr>
        <w:t>有</w:t>
      </w:r>
      <w:r>
        <w:rPr>
          <w:rFonts w:hint="eastAsia" w:hAnsi="仿宋_GB2312" w:cs="仿宋_GB2312"/>
          <w:color w:val="auto"/>
          <w:sz w:val="32"/>
          <w:szCs w:val="40"/>
        </w:rPr>
        <w:t>4</w:t>
      </w:r>
      <w:r>
        <w:rPr>
          <w:rFonts w:hAnsi="仿宋_GB2312" w:cs="仿宋_GB2312"/>
          <w:color w:val="auto"/>
          <w:sz w:val="32"/>
          <w:szCs w:val="40"/>
        </w:rPr>
        <w:t>家存在无经营活动或经营成效不高的问题</w:t>
      </w:r>
      <w:r>
        <w:rPr>
          <w:rFonts w:hint="eastAsia" w:hAnsi="仿宋_GB2312" w:cs="仿宋_GB2312"/>
          <w:color w:val="auto"/>
          <w:sz w:val="32"/>
          <w:szCs w:val="40"/>
        </w:rPr>
        <w:t>。其中，</w:t>
      </w:r>
      <w:r>
        <w:rPr>
          <w:rFonts w:hAnsi="仿宋_GB2312" w:cs="仿宋_GB2312"/>
          <w:color w:val="auto"/>
          <w:sz w:val="32"/>
          <w:szCs w:val="40"/>
        </w:rPr>
        <w:t>青岛清智传媒科技有限公司因业务板块发生变化，目前为存续状态，但未开展</w:t>
      </w:r>
      <w:r>
        <w:rPr>
          <w:rFonts w:hint="eastAsia" w:hAnsi="仿宋_GB2312" w:cs="仿宋_GB2312"/>
          <w:color w:val="auto"/>
          <w:sz w:val="32"/>
          <w:szCs w:val="40"/>
        </w:rPr>
        <w:t>实际经营</w:t>
      </w:r>
      <w:r>
        <w:rPr>
          <w:rFonts w:hAnsi="仿宋_GB2312" w:cs="仿宋_GB2312"/>
          <w:color w:val="auto"/>
          <w:sz w:val="32"/>
          <w:szCs w:val="40"/>
        </w:rPr>
        <w:t>业务；青岛心法智能科技有限公司于2024年4月18日成立，营收为0.92万元</w:t>
      </w:r>
      <w:r>
        <w:rPr>
          <w:rFonts w:hint="eastAsia" w:hAnsi="仿宋_GB2312" w:cs="仿宋_GB2312"/>
          <w:color w:val="auto"/>
          <w:sz w:val="32"/>
          <w:szCs w:val="40"/>
        </w:rPr>
        <w:t>，经营成效不高</w:t>
      </w:r>
      <w:r>
        <w:rPr>
          <w:rFonts w:hAnsi="仿宋_GB2312" w:cs="仿宋_GB2312"/>
          <w:color w:val="auto"/>
          <w:sz w:val="32"/>
          <w:szCs w:val="40"/>
        </w:rPr>
        <w:t>。</w:t>
      </w:r>
    </w:p>
    <w:p>
      <w:pPr>
        <w:pStyle w:val="8"/>
        <w:adjustRightInd w:val="0"/>
        <w:spacing w:line="580" w:lineRule="exact"/>
        <w:ind w:firstLine="640" w:firstLineChars="200"/>
        <w:rPr>
          <w:rFonts w:ascii="楷体_GB2312" w:hAnsi="Times New Roman" w:eastAsia="楷体_GB2312" w:cs="Times New Roman"/>
          <w:color w:val="auto"/>
          <w:sz w:val="32"/>
          <w:szCs w:val="32"/>
        </w:rPr>
      </w:pPr>
      <w:r>
        <w:rPr>
          <w:rFonts w:hint="eastAsia" w:ascii="楷体_GB2312" w:hAnsi="Times New Roman" w:eastAsia="楷体_GB2312" w:cs="Times New Roman"/>
          <w:color w:val="auto"/>
          <w:sz w:val="32"/>
          <w:szCs w:val="32"/>
        </w:rPr>
        <w:t>（四）项目在促进产业转型升级，带动区域产业高质量发展中的实际效能未充分显现</w:t>
      </w:r>
    </w:p>
    <w:p>
      <w:pPr>
        <w:adjustRightInd w:val="0"/>
        <w:snapToGrid w:val="0"/>
        <w:spacing w:line="580" w:lineRule="exact"/>
        <w:ind w:firstLine="643" w:firstLineChars="200"/>
        <w:rPr>
          <w:rFonts w:ascii="楷体_GB2312" w:hAnsi="Times New Roman" w:eastAsia="楷体_GB2312" w:cs="Times New Roman"/>
          <w:color w:val="auto"/>
          <w:sz w:val="32"/>
          <w:szCs w:val="32"/>
        </w:rPr>
      </w:pPr>
      <w:r>
        <w:rPr>
          <w:rFonts w:hint="eastAsia" w:ascii="仿宋_GB2312" w:hAnsi="仿宋_GB2312" w:eastAsia="仿宋_GB2312" w:cs="仿宋_GB2312"/>
          <w:b/>
          <w:bCs/>
          <w:color w:val="auto"/>
          <w:sz w:val="32"/>
          <w:szCs w:val="40"/>
        </w:rPr>
        <w:t>1.西电青岛研究院</w:t>
      </w:r>
      <w:r>
        <w:rPr>
          <w:rFonts w:ascii="仿宋_GB2312" w:hAnsi="仿宋_GB2312" w:eastAsia="仿宋_GB2312" w:cs="仿宋_GB2312"/>
          <w:b/>
          <w:bCs/>
          <w:color w:val="auto"/>
          <w:sz w:val="32"/>
          <w:szCs w:val="40"/>
        </w:rPr>
        <w:t>科研资源协同效应</w:t>
      </w:r>
      <w:r>
        <w:rPr>
          <w:rFonts w:hint="eastAsia" w:ascii="仿宋_GB2312" w:hAnsi="仿宋_GB2312" w:eastAsia="仿宋_GB2312" w:cs="仿宋_GB2312"/>
          <w:b/>
          <w:bCs/>
          <w:color w:val="auto"/>
          <w:sz w:val="32"/>
          <w:szCs w:val="40"/>
        </w:rPr>
        <w:t>释放不足，区域产业协同发展存在短板</w:t>
      </w:r>
    </w:p>
    <w:p>
      <w:pPr>
        <w:pStyle w:val="8"/>
        <w:adjustRightInd w:val="0"/>
        <w:spacing w:line="580" w:lineRule="exact"/>
        <w:ind w:firstLine="643" w:firstLineChars="200"/>
        <w:rPr>
          <w:rFonts w:hAnsi="仿宋_GB2312" w:cs="仿宋_GB2312"/>
          <w:color w:val="auto"/>
          <w:sz w:val="32"/>
          <w:szCs w:val="40"/>
        </w:rPr>
      </w:pPr>
      <w:r>
        <w:rPr>
          <w:rFonts w:hAnsi="仿宋_GB2312" w:cs="仿宋_GB2312"/>
          <w:b/>
          <w:bCs/>
          <w:color w:val="auto"/>
          <w:sz w:val="32"/>
          <w:szCs w:val="40"/>
        </w:rPr>
        <w:t>一是</w:t>
      </w:r>
      <w:r>
        <w:rPr>
          <w:rFonts w:hint="eastAsia" w:hAnsi="仿宋_GB2312" w:cs="仿宋_GB2312"/>
          <w:color w:val="auto"/>
          <w:sz w:val="32"/>
          <w:szCs w:val="40"/>
        </w:rPr>
        <w:t>未充分发挥</w:t>
      </w:r>
      <w:r>
        <w:rPr>
          <w:rFonts w:hAnsi="仿宋_GB2312" w:cs="仿宋_GB2312"/>
          <w:color w:val="auto"/>
          <w:sz w:val="32"/>
          <w:szCs w:val="40"/>
        </w:rPr>
        <w:t>科研资源协同联动</w:t>
      </w:r>
      <w:r>
        <w:rPr>
          <w:rFonts w:hint="eastAsia" w:hAnsi="仿宋_GB2312" w:cs="仿宋_GB2312"/>
          <w:color w:val="auto"/>
          <w:sz w:val="32"/>
          <w:szCs w:val="40"/>
        </w:rPr>
        <w:t>效应。西电创新</w:t>
      </w:r>
      <w:r>
        <w:rPr>
          <w:rFonts w:hAnsi="仿宋_GB2312" w:cs="仿宋_GB2312"/>
          <w:color w:val="auto"/>
          <w:sz w:val="32"/>
          <w:szCs w:val="40"/>
        </w:rPr>
        <w:t>基地虽已建成20余个省市级创新平台，具备一定科研资源储备，但资源整合与协同运用的效能未充分发挥。部分平台如“山东省工业互联网ICT服务平台”其核心目标是“整合西电校本部科研力量与青岛本地企业技术需求”，但实际运作中尚未形成高效协同机制。例如，研究院虽与海尔、中车等企业共建联合实验室，但平台作为纽带的统筹作用未充分体现。对比省内标杆平台如卡奥斯COSMOPlat通过</w:t>
      </w:r>
      <w:r>
        <w:rPr>
          <w:rFonts w:hint="eastAsia" w:hAnsi="仿宋_GB2312" w:cs="仿宋_GB2312"/>
          <w:color w:val="auto"/>
          <w:sz w:val="32"/>
          <w:szCs w:val="40"/>
        </w:rPr>
        <w:t>“</w:t>
      </w:r>
      <w:r>
        <w:rPr>
          <w:rFonts w:hAnsi="仿宋_GB2312" w:cs="仿宋_GB2312"/>
          <w:color w:val="auto"/>
          <w:sz w:val="32"/>
          <w:szCs w:val="40"/>
        </w:rPr>
        <w:t>大企业共建、中小企业共享”模式实现资源高效配置，ICT服务平台在技术标准统一、数据共享机制等方面仍存在短板。未能有效承担起西电校本部科研力量与青岛本地企业技术需求的对接纽带职能，科研资源供给与市场实际需求出现结构性脱节。</w:t>
      </w:r>
      <w:r>
        <w:rPr>
          <w:rFonts w:hAnsi="仿宋_GB2312" w:cs="仿宋_GB2312"/>
          <w:b/>
          <w:bCs/>
          <w:color w:val="auto"/>
          <w:sz w:val="32"/>
          <w:szCs w:val="40"/>
        </w:rPr>
        <w:t>二是</w:t>
      </w:r>
      <w:r>
        <w:rPr>
          <w:rFonts w:hAnsi="仿宋_GB2312" w:cs="仿宋_GB2312"/>
          <w:color w:val="auto"/>
          <w:sz w:val="32"/>
          <w:szCs w:val="40"/>
        </w:rPr>
        <w:t>区域产业协同深度不足，尚未形成系统性支撑格局。基地与青岛市新一代信息技术产业链的联动仍停留在浅层次，合作模式以单一项目合作为主，呈现零散化特征，缺乏对产业链上下游的整体性布局与贯穿式服务。难以针对青岛市新一代信息技术产业的全局性发展需求，提供系统性的产业升级解决方案。在核心技术攻关、产品迭代升级、产业生态构建等产业链关键环节，未能充分释放科研优势与资源整合能力，与本地企业的协同创新机制尚未有效形成。</w:t>
      </w:r>
    </w:p>
    <w:p>
      <w:pPr>
        <w:pStyle w:val="8"/>
        <w:adjustRightInd w:val="0"/>
        <w:spacing w:line="580" w:lineRule="exact"/>
        <w:ind w:firstLine="643" w:firstLineChars="200"/>
        <w:rPr>
          <w:rFonts w:hAnsi="仿宋_GB2312" w:cs="仿宋_GB2312"/>
          <w:b/>
          <w:bCs/>
          <w:color w:val="auto"/>
          <w:sz w:val="32"/>
          <w:szCs w:val="40"/>
        </w:rPr>
      </w:pPr>
      <w:r>
        <w:rPr>
          <w:rFonts w:hint="eastAsia" w:hAnsi="仿宋_GB2312" w:cs="仿宋_GB2312"/>
          <w:b/>
          <w:bCs/>
          <w:color w:val="auto"/>
          <w:sz w:val="32"/>
          <w:szCs w:val="40"/>
        </w:rPr>
        <w:t>2.认知人工智能研究院项目研发方向的覆盖面与深度存在局限，对青岛市相关产业发展未形成实质性支撑</w:t>
      </w:r>
    </w:p>
    <w:p>
      <w:pPr>
        <w:pStyle w:val="8"/>
        <w:adjustRightInd w:val="0"/>
        <w:spacing w:line="580" w:lineRule="exact"/>
        <w:ind w:firstLine="643" w:firstLineChars="200"/>
        <w:rPr>
          <w:rFonts w:hAnsi="仿宋_GB2312" w:cs="仿宋_GB2312"/>
          <w:color w:val="auto"/>
          <w:sz w:val="32"/>
          <w:szCs w:val="40"/>
        </w:rPr>
      </w:pPr>
      <w:r>
        <w:rPr>
          <w:rFonts w:hAnsi="仿宋_GB2312" w:cs="仿宋_GB2312"/>
          <w:b/>
          <w:bCs/>
          <w:color w:val="auto"/>
          <w:sz w:val="32"/>
          <w:szCs w:val="40"/>
        </w:rPr>
        <w:t>一是</w:t>
      </w:r>
      <w:r>
        <w:rPr>
          <w:rFonts w:hint="eastAsia" w:hAnsi="仿宋_GB2312" w:cs="仿宋_GB2312"/>
          <w:color w:val="auto"/>
          <w:sz w:val="32"/>
          <w:szCs w:val="40"/>
        </w:rPr>
        <w:t>项目</w:t>
      </w:r>
      <w:r>
        <w:rPr>
          <w:rFonts w:hAnsi="仿宋_GB2312" w:cs="仿宋_GB2312"/>
          <w:color w:val="auto"/>
          <w:sz w:val="32"/>
          <w:szCs w:val="32"/>
        </w:rPr>
        <w:t>研发方向的覆盖面与深度存在局限</w:t>
      </w:r>
      <w:r>
        <w:rPr>
          <w:rFonts w:hint="eastAsia" w:hAnsi="仿宋_GB2312" w:cs="仿宋_GB2312"/>
          <w:color w:val="auto"/>
          <w:sz w:val="32"/>
          <w:szCs w:val="32"/>
        </w:rPr>
        <w:t>，</w:t>
      </w:r>
      <w:r>
        <w:rPr>
          <w:rFonts w:hAnsi="仿宋_GB2312" w:cs="仿宋_GB2312"/>
          <w:color w:val="auto"/>
          <w:sz w:val="32"/>
          <w:szCs w:val="32"/>
        </w:rPr>
        <w:t>研发成果在人力资源、社会治理等领域的应用较为有限。在人力资源领域，仅为3个政府部门和4家企业提供过服务；在社会治理领域，服务对象仅局限于特殊人群，且服务的相关部门及企业仅2</w:t>
      </w:r>
      <w:r>
        <w:rPr>
          <w:rFonts w:hint="eastAsia" w:hAnsi="仿宋_GB2312" w:cs="仿宋_GB2312"/>
          <w:color w:val="auto"/>
          <w:sz w:val="32"/>
          <w:szCs w:val="32"/>
        </w:rPr>
        <w:t>5</w:t>
      </w:r>
      <w:r>
        <w:rPr>
          <w:rFonts w:hAnsi="仿宋_GB2312" w:cs="仿宋_GB2312"/>
          <w:color w:val="auto"/>
          <w:sz w:val="32"/>
          <w:szCs w:val="32"/>
        </w:rPr>
        <w:t>个。其研发重心多集中于特定领域，如</w:t>
      </w:r>
      <w:r>
        <w:rPr>
          <w:rFonts w:hint="eastAsia" w:hAnsi="仿宋_GB2312" w:cs="仿宋_GB2312"/>
          <w:color w:val="auto"/>
          <w:sz w:val="32"/>
          <w:szCs w:val="32"/>
        </w:rPr>
        <w:t>，</w:t>
      </w:r>
      <w:r>
        <w:rPr>
          <w:rFonts w:hAnsi="仿宋_GB2312" w:cs="仿宋_GB2312"/>
          <w:color w:val="auto"/>
          <w:sz w:val="32"/>
          <w:szCs w:val="32"/>
        </w:rPr>
        <w:t>与犯</w:t>
      </w:r>
      <w:r>
        <w:rPr>
          <w:rFonts w:hAnsi="仿宋_GB2312" w:cs="仿宋_GB2312"/>
          <w:color w:val="auto"/>
          <w:sz w:val="32"/>
          <w:szCs w:val="40"/>
        </w:rPr>
        <w:t>罪心理学结合的“智慧审讯谈话辅助系统”等，在通用人工智能领域的探索广度不足，难以构建具有广泛产业影响力的技术体系。跨学科融合的协同效能有待提升，虽定位为心理科学、脑科学、人工智能三大领域的融合创新，但实际研发</w:t>
      </w:r>
      <w:r>
        <w:rPr>
          <w:rFonts w:hint="eastAsia" w:hAnsi="仿宋_GB2312" w:cs="仿宋_GB2312"/>
          <w:color w:val="auto"/>
          <w:sz w:val="32"/>
          <w:szCs w:val="40"/>
        </w:rPr>
        <w:t>覆盖面和深度不足，</w:t>
      </w:r>
      <w:r>
        <w:rPr>
          <w:rFonts w:hAnsi="仿宋_GB2312" w:cs="仿宋_GB2312"/>
          <w:color w:val="auto"/>
          <w:sz w:val="32"/>
          <w:szCs w:val="40"/>
        </w:rPr>
        <w:t>各学科间的协同机制未完全理顺，制约了研发效率，难以快速突破综合性技术难题。</w:t>
      </w:r>
      <w:r>
        <w:rPr>
          <w:rFonts w:hAnsi="仿宋_GB2312" w:cs="仿宋_GB2312"/>
          <w:b/>
          <w:bCs/>
          <w:color w:val="auto"/>
          <w:sz w:val="32"/>
          <w:szCs w:val="40"/>
        </w:rPr>
        <w:t>二是</w:t>
      </w:r>
      <w:r>
        <w:rPr>
          <w:rFonts w:hAnsi="仿宋_GB2312" w:cs="仿宋_GB2312"/>
          <w:color w:val="auto"/>
          <w:sz w:val="32"/>
          <w:szCs w:val="40"/>
        </w:rPr>
        <w:t>成果产业化规模与市场渗透能力不足。尽管已推出多项市场化产品，但产业化规模偏小，任务期内实现收入</w:t>
      </w:r>
      <w:r>
        <w:rPr>
          <w:rFonts w:hint="eastAsia" w:hAnsi="仿宋_GB2312" w:cs="仿宋_GB2312"/>
          <w:color w:val="auto"/>
          <w:sz w:val="32"/>
          <w:szCs w:val="40"/>
        </w:rPr>
        <w:t>445</w:t>
      </w:r>
      <w:r>
        <w:rPr>
          <w:rFonts w:hAnsi="仿宋_GB2312" w:cs="仿宋_GB2312"/>
          <w:color w:val="auto"/>
          <w:sz w:val="32"/>
          <w:szCs w:val="40"/>
        </w:rPr>
        <w:t>.2万元，与1000万元的既定目标差距显著。目前产品应用局限于监狱等少数特定场景，民用、商用等更广阔市场领域</w:t>
      </w:r>
      <w:r>
        <w:rPr>
          <w:rFonts w:hint="eastAsia" w:hAnsi="仿宋_GB2312" w:cs="仿宋_GB2312"/>
          <w:color w:val="auto"/>
          <w:sz w:val="32"/>
          <w:szCs w:val="40"/>
          <w:lang w:val="en-US" w:eastAsia="zh-CN"/>
        </w:rPr>
        <w:t>拓展不足</w:t>
      </w:r>
      <w:r>
        <w:rPr>
          <w:rFonts w:hAnsi="仿宋_GB2312" w:cs="仿宋_GB2312"/>
          <w:color w:val="auto"/>
          <w:sz w:val="32"/>
          <w:szCs w:val="40"/>
        </w:rPr>
        <w:t>，相关技术成果的市场普及度</w:t>
      </w:r>
      <w:r>
        <w:rPr>
          <w:rFonts w:hint="eastAsia" w:hAnsi="仿宋_GB2312" w:cs="仿宋_GB2312"/>
          <w:color w:val="auto"/>
          <w:sz w:val="32"/>
          <w:szCs w:val="40"/>
        </w:rPr>
        <w:t>较</w:t>
      </w:r>
      <w:r>
        <w:rPr>
          <w:rFonts w:hAnsi="仿宋_GB2312" w:cs="仿宋_GB2312"/>
          <w:color w:val="auto"/>
          <w:sz w:val="32"/>
          <w:szCs w:val="40"/>
        </w:rPr>
        <w:t>低。</w:t>
      </w:r>
      <w:r>
        <w:rPr>
          <w:rFonts w:hint="eastAsia" w:hAnsi="仿宋_GB2312" w:cs="仿宋_GB2312"/>
          <w:color w:val="auto"/>
          <w:sz w:val="32"/>
          <w:szCs w:val="40"/>
        </w:rPr>
        <w:t>同时</w:t>
      </w:r>
      <w:r>
        <w:rPr>
          <w:rFonts w:hAnsi="仿宋_GB2312" w:cs="仿宋_GB2312"/>
          <w:color w:val="auto"/>
          <w:sz w:val="32"/>
          <w:szCs w:val="40"/>
        </w:rPr>
        <w:t>，与企业的合作多为短期项目合作，缺乏长期稳定的产业协作关系，未构建起完整的产业链条，</w:t>
      </w:r>
      <w:r>
        <w:rPr>
          <w:rFonts w:hint="eastAsia" w:hAnsi="仿宋_GB2312" w:cs="仿宋_GB2312"/>
          <w:color w:val="auto"/>
          <w:sz w:val="32"/>
          <w:szCs w:val="40"/>
        </w:rPr>
        <w:t>导致</w:t>
      </w:r>
      <w:r>
        <w:rPr>
          <w:rFonts w:hAnsi="仿宋_GB2312" w:cs="仿宋_GB2312"/>
          <w:color w:val="auto"/>
          <w:sz w:val="32"/>
          <w:szCs w:val="40"/>
        </w:rPr>
        <w:t>成果难以实现规模化推广，</w:t>
      </w:r>
      <w:r>
        <w:rPr>
          <w:rFonts w:hint="eastAsia" w:hAnsi="仿宋_GB2312" w:cs="仿宋_GB2312"/>
          <w:color w:val="auto"/>
          <w:sz w:val="32"/>
          <w:szCs w:val="40"/>
        </w:rPr>
        <w:t>任务书中“</w:t>
      </w:r>
      <w:r>
        <w:rPr>
          <w:rFonts w:hAnsi="仿宋_GB2312" w:cs="仿宋_GB2312"/>
          <w:color w:val="auto"/>
          <w:sz w:val="32"/>
          <w:szCs w:val="40"/>
        </w:rPr>
        <w:t>大幅占领社会公众心理健康服务市场</w:t>
      </w:r>
      <w:r>
        <w:rPr>
          <w:rFonts w:hint="eastAsia" w:hAnsi="仿宋_GB2312" w:cs="仿宋_GB2312"/>
          <w:color w:val="auto"/>
          <w:sz w:val="32"/>
          <w:szCs w:val="40"/>
        </w:rPr>
        <w:t>”的承诺目标</w:t>
      </w:r>
      <w:r>
        <w:rPr>
          <w:rFonts w:hAnsi="仿宋_GB2312" w:cs="仿宋_GB2312"/>
          <w:color w:val="auto"/>
          <w:sz w:val="32"/>
          <w:szCs w:val="40"/>
        </w:rPr>
        <w:t>面临严峻挑战。</w:t>
      </w:r>
      <w:r>
        <w:rPr>
          <w:rFonts w:hAnsi="仿宋_GB2312" w:cs="仿宋_GB2312"/>
          <w:b/>
          <w:bCs/>
          <w:color w:val="auto"/>
          <w:sz w:val="32"/>
          <w:szCs w:val="40"/>
        </w:rPr>
        <w:t>三是</w:t>
      </w:r>
      <w:r>
        <w:rPr>
          <w:rFonts w:hAnsi="仿宋_GB2312" w:cs="仿宋_GB2312"/>
          <w:color w:val="auto"/>
          <w:sz w:val="32"/>
          <w:szCs w:val="40"/>
        </w:rPr>
        <w:t>对本地产业发展的贡献度低。</w:t>
      </w:r>
      <w:r>
        <w:rPr>
          <w:rFonts w:hint="eastAsia" w:hAnsi="仿宋_GB2312" w:cs="仿宋_GB2312"/>
          <w:color w:val="auto"/>
          <w:sz w:val="32"/>
          <w:szCs w:val="40"/>
        </w:rPr>
        <w:t>从服务覆盖与产业带动来看，项目</w:t>
      </w:r>
      <w:r>
        <w:rPr>
          <w:rFonts w:hAnsi="仿宋_GB2312" w:cs="仿宋_GB2312"/>
          <w:color w:val="auto"/>
          <w:sz w:val="32"/>
          <w:szCs w:val="40"/>
        </w:rPr>
        <w:t>仅</w:t>
      </w:r>
      <w:r>
        <w:rPr>
          <w:rFonts w:hint="eastAsia" w:hAnsi="仿宋_GB2312" w:cs="仿宋_GB2312"/>
          <w:color w:val="auto"/>
          <w:sz w:val="32"/>
          <w:szCs w:val="40"/>
        </w:rPr>
        <w:t>在</w:t>
      </w:r>
      <w:r>
        <w:rPr>
          <w:rFonts w:hAnsi="仿宋_GB2312" w:cs="仿宋_GB2312"/>
          <w:color w:val="auto"/>
          <w:sz w:val="32"/>
          <w:szCs w:val="40"/>
        </w:rPr>
        <w:t>2022年为青岛市城阳区、高新区的3个部门提供过服务，对</w:t>
      </w:r>
      <w:r>
        <w:rPr>
          <w:rFonts w:hint="eastAsia" w:hAnsi="仿宋_GB2312" w:cs="仿宋_GB2312"/>
          <w:color w:val="auto"/>
          <w:sz w:val="32"/>
          <w:szCs w:val="40"/>
        </w:rPr>
        <w:t>青岛市及</w:t>
      </w:r>
      <w:r>
        <w:rPr>
          <w:rFonts w:hAnsi="仿宋_GB2312" w:cs="仿宋_GB2312"/>
          <w:color w:val="auto"/>
          <w:sz w:val="32"/>
          <w:szCs w:val="40"/>
        </w:rPr>
        <w:t>市南区</w:t>
      </w:r>
      <w:r>
        <w:rPr>
          <w:rFonts w:hint="eastAsia" w:hAnsi="仿宋_GB2312" w:cs="仿宋_GB2312"/>
          <w:color w:val="auto"/>
          <w:sz w:val="32"/>
          <w:szCs w:val="40"/>
        </w:rPr>
        <w:t>相关</w:t>
      </w:r>
      <w:r>
        <w:rPr>
          <w:rFonts w:hAnsi="仿宋_GB2312" w:cs="仿宋_GB2312"/>
          <w:color w:val="auto"/>
          <w:sz w:val="32"/>
          <w:szCs w:val="40"/>
        </w:rPr>
        <w:t>产业既未形成服务覆盖，也未产生实质性带动效应</w:t>
      </w:r>
      <w:r>
        <w:rPr>
          <w:rFonts w:hint="eastAsia" w:hAnsi="仿宋_GB2312" w:cs="仿宋_GB2312"/>
          <w:color w:val="auto"/>
          <w:sz w:val="32"/>
          <w:szCs w:val="40"/>
        </w:rPr>
        <w:t>。</w:t>
      </w:r>
    </w:p>
    <w:p>
      <w:pPr>
        <w:adjustRightInd w:val="0"/>
        <w:snapToGrid w:val="0"/>
        <w:spacing w:line="580" w:lineRule="exact"/>
        <w:ind w:firstLine="640" w:firstLineChars="200"/>
        <w:rPr>
          <w:rFonts w:ascii="楷体_GB2312" w:hAnsi="Times New Roman" w:eastAsia="楷体_GB2312" w:cs="Times New Roman"/>
          <w:color w:val="auto"/>
          <w:sz w:val="32"/>
          <w:szCs w:val="32"/>
        </w:rPr>
      </w:pPr>
      <w:r>
        <w:rPr>
          <w:rFonts w:hint="eastAsia" w:ascii="楷体_GB2312" w:hAnsi="Times New Roman" w:eastAsia="楷体_GB2312" w:cs="Times New Roman"/>
          <w:color w:val="auto"/>
          <w:sz w:val="32"/>
          <w:szCs w:val="32"/>
        </w:rPr>
        <w:t>（五）财政投入依赖度高，国际交流平台、地方教育协同及产业发展带动方面的可持续支撑能力不足</w:t>
      </w:r>
    </w:p>
    <w:p>
      <w:pPr>
        <w:adjustRightInd w:val="0"/>
        <w:snapToGrid w:val="0"/>
        <w:spacing w:line="580" w:lineRule="exact"/>
        <w:ind w:firstLine="643" w:firstLineChars="200"/>
        <w:rPr>
          <w:rFonts w:ascii="仿宋_GB2312" w:hAnsi="仿宋_GB2312" w:eastAsia="仿宋_GB2312" w:cs="仿宋_GB2312"/>
          <w:b/>
          <w:bCs/>
          <w:color w:val="auto"/>
          <w:sz w:val="32"/>
          <w:szCs w:val="40"/>
        </w:rPr>
      </w:pPr>
      <w:r>
        <w:rPr>
          <w:rFonts w:hint="eastAsia" w:ascii="仿宋_GB2312" w:hAnsi="仿宋_GB2312" w:eastAsia="仿宋_GB2312" w:cs="仿宋_GB2312"/>
          <w:b/>
          <w:bCs/>
          <w:color w:val="auto"/>
          <w:sz w:val="32"/>
          <w:szCs w:val="40"/>
        </w:rPr>
        <w:t>1.西电青岛研究院对财政投入依赖度高，国际交流平台及地方教育协同服务功能缺乏可持续性</w:t>
      </w:r>
    </w:p>
    <w:p>
      <w:pPr>
        <w:adjustRightInd w:val="0"/>
        <w:snapToGrid w:val="0"/>
        <w:spacing w:line="580" w:lineRule="exact"/>
        <w:ind w:firstLine="643" w:firstLineChars="200"/>
        <w:rPr>
          <w:rFonts w:ascii="Segoe UI" w:hAnsi="Segoe UI" w:eastAsia="Segoe UI" w:cs="Segoe UI"/>
          <w:color w:val="auto"/>
          <w:sz w:val="24"/>
          <w:shd w:val="clear" w:color="auto" w:fill="EFF0F1"/>
        </w:rPr>
      </w:pPr>
      <w:r>
        <w:rPr>
          <w:rFonts w:hint="eastAsia" w:ascii="仿宋_GB2312" w:hAnsi="仿宋_GB2312" w:eastAsia="仿宋_GB2312" w:cs="仿宋_GB2312"/>
          <w:b/>
          <w:bCs/>
          <w:color w:val="auto"/>
          <w:sz w:val="32"/>
          <w:szCs w:val="40"/>
        </w:rPr>
        <w:t>一是</w:t>
      </w:r>
      <w:r>
        <w:rPr>
          <w:rFonts w:hint="eastAsia" w:ascii="仿宋_GB2312" w:hAnsi="仿宋_GB2312" w:eastAsia="仿宋_GB2312" w:cs="仿宋_GB2312"/>
          <w:color w:val="auto"/>
          <w:sz w:val="32"/>
          <w:szCs w:val="40"/>
        </w:rPr>
        <w:t>西电青岛研究院虽在信息化领域有部分成果转化，但收费普遍不高，收入不足以覆盖基本支出，未能形成成果转化自我保障的良性机制，可持续发展能力不足。</w:t>
      </w:r>
      <w:r>
        <w:rPr>
          <w:rFonts w:hint="eastAsia" w:ascii="仿宋_GB2312" w:hAnsi="仿宋_GB2312" w:eastAsia="仿宋_GB2312" w:cs="仿宋_GB2312"/>
          <w:b/>
          <w:bCs/>
          <w:color w:val="auto"/>
          <w:sz w:val="32"/>
          <w:szCs w:val="40"/>
        </w:rPr>
        <w:t>二</w:t>
      </w:r>
      <w:r>
        <w:rPr>
          <w:rFonts w:ascii="仿宋_GB2312" w:hAnsi="仿宋_GB2312" w:eastAsia="仿宋_GB2312" w:cs="仿宋_GB2312"/>
          <w:b/>
          <w:bCs/>
          <w:color w:val="auto"/>
          <w:sz w:val="32"/>
          <w:szCs w:val="40"/>
        </w:rPr>
        <w:t>是</w:t>
      </w:r>
      <w:r>
        <w:rPr>
          <w:rFonts w:hint="eastAsia" w:ascii="仿宋_GB2312" w:hAnsi="仿宋_GB2312" w:eastAsia="仿宋_GB2312" w:cs="仿宋_GB2312"/>
          <w:color w:val="auto"/>
          <w:sz w:val="32"/>
          <w:szCs w:val="40"/>
        </w:rPr>
        <w:t>未形成可持续地方服务功能。一方面，国际交流平台功能未实质性落地，仅于2021年、2023年协助举办过两次会议，未独立承办或主导高端国际论坛及会议，未构建起推动区域人才国际化的长效交流载体，国际交流对人才培育的持续赋能作用无法发挥。另一方面，与地方教育系统协同效应缺失，缺乏常态化合作机制，可持续教育赋能效益不足。未系统性安排教授、研究生开展科普活动；未为相关学科教师提供科研实践机会，未开放场地资源及遴选优秀中小学生参与科研项目，难以形成对地方科普教育与人才启蒙的长期支撑。</w:t>
      </w:r>
    </w:p>
    <w:p>
      <w:pPr>
        <w:adjustRightInd w:val="0"/>
        <w:snapToGrid w:val="0"/>
        <w:spacing w:line="580" w:lineRule="exact"/>
        <w:ind w:firstLine="643" w:firstLineChars="200"/>
        <w:rPr>
          <w:rFonts w:ascii="仿宋_GB2312" w:hAnsi="仿宋_GB2312" w:eastAsia="仿宋_GB2312" w:cs="仿宋_GB2312"/>
          <w:b/>
          <w:bCs/>
          <w:color w:val="auto"/>
          <w:sz w:val="32"/>
          <w:szCs w:val="40"/>
        </w:rPr>
      </w:pPr>
      <w:r>
        <w:rPr>
          <w:rFonts w:hint="eastAsia" w:ascii="仿宋_GB2312" w:hAnsi="仿宋_GB2312" w:eastAsia="仿宋_GB2312" w:cs="仿宋_GB2312"/>
          <w:b/>
          <w:bCs/>
          <w:color w:val="auto"/>
          <w:sz w:val="32"/>
          <w:szCs w:val="40"/>
        </w:rPr>
        <w:t>2.认知人工智能研究院项目可持续发展面临挑战，上市目标短期内难以实现</w:t>
      </w:r>
      <w:r>
        <w:rPr>
          <w:rFonts w:ascii="仿宋_GB2312" w:hAnsi="仿宋_GB2312" w:eastAsia="仿宋_GB2312" w:cs="仿宋_GB2312"/>
          <w:b/>
          <w:bCs/>
          <w:color w:val="auto"/>
          <w:sz w:val="32"/>
          <w:szCs w:val="40"/>
        </w:rPr>
        <w:t>​</w:t>
      </w:r>
    </w:p>
    <w:p>
      <w:pPr>
        <w:adjustRightInd w:val="0"/>
        <w:snapToGrid w:val="0"/>
        <w:spacing w:line="580" w:lineRule="exact"/>
        <w:ind w:firstLine="643" w:firstLineChars="200"/>
        <w:rPr>
          <w:rFonts w:ascii="仿宋_GB2312" w:hAnsi="仿宋_GB2312" w:eastAsia="仿宋_GB2312" w:cs="仿宋_GB2312"/>
          <w:color w:val="auto"/>
          <w:sz w:val="32"/>
          <w:szCs w:val="40"/>
        </w:rPr>
      </w:pPr>
      <w:r>
        <w:rPr>
          <w:rFonts w:ascii="仿宋_GB2312" w:hAnsi="仿宋_GB2312" w:eastAsia="仿宋_GB2312" w:cs="仿宋_GB2312"/>
          <w:b/>
          <w:bCs/>
          <w:color w:val="auto"/>
          <w:sz w:val="32"/>
          <w:szCs w:val="40"/>
        </w:rPr>
        <w:t>一是</w:t>
      </w:r>
      <w:r>
        <w:rPr>
          <w:rFonts w:ascii="仿宋_GB2312" w:hAnsi="仿宋_GB2312" w:eastAsia="仿宋_GB2312" w:cs="仿宋_GB2312"/>
          <w:color w:val="auto"/>
          <w:sz w:val="32"/>
          <w:szCs w:val="40"/>
        </w:rPr>
        <w:t>资金与人才的可持续供给机制存在结构性风险。项目实施以来，累计</w:t>
      </w:r>
      <w:r>
        <w:rPr>
          <w:rFonts w:hint="eastAsia" w:ascii="仿宋_GB2312" w:hAnsi="仿宋_GB2312" w:eastAsia="仿宋_GB2312" w:cs="仿宋_GB2312"/>
          <w:color w:val="auto"/>
          <w:sz w:val="32"/>
          <w:szCs w:val="40"/>
        </w:rPr>
        <w:t>仅</w:t>
      </w:r>
      <w:r>
        <w:rPr>
          <w:rFonts w:ascii="仿宋_GB2312" w:hAnsi="仿宋_GB2312" w:eastAsia="仿宋_GB2312" w:cs="仿宋_GB2312"/>
          <w:color w:val="auto"/>
          <w:sz w:val="32"/>
          <w:szCs w:val="40"/>
        </w:rPr>
        <w:t>签订</w:t>
      </w:r>
      <w:r>
        <w:rPr>
          <w:rFonts w:hint="eastAsia" w:ascii="仿宋_GB2312" w:hAnsi="仿宋_GB2312" w:eastAsia="仿宋_GB2312" w:cs="仿宋_GB2312"/>
          <w:color w:val="auto"/>
          <w:sz w:val="32"/>
          <w:szCs w:val="40"/>
        </w:rPr>
        <w:t>29</w:t>
      </w:r>
      <w:r>
        <w:rPr>
          <w:rFonts w:ascii="仿宋_GB2312" w:hAnsi="仿宋_GB2312" w:eastAsia="仿宋_GB2312" w:cs="仿宋_GB2312"/>
          <w:color w:val="auto"/>
          <w:sz w:val="32"/>
          <w:szCs w:val="40"/>
        </w:rPr>
        <w:t>项服务合同（人力资源8项、特殊人群</w:t>
      </w:r>
      <w:r>
        <w:rPr>
          <w:rFonts w:hint="eastAsia" w:ascii="仿宋_GB2312" w:hAnsi="仿宋_GB2312" w:eastAsia="仿宋_GB2312" w:cs="仿宋_GB2312"/>
          <w:color w:val="auto"/>
          <w:sz w:val="32"/>
          <w:szCs w:val="40"/>
        </w:rPr>
        <w:t>21</w:t>
      </w:r>
      <w:r>
        <w:rPr>
          <w:rFonts w:ascii="仿宋_GB2312" w:hAnsi="仿宋_GB2312" w:eastAsia="仿宋_GB2312" w:cs="仿宋_GB2312"/>
          <w:color w:val="auto"/>
          <w:sz w:val="32"/>
          <w:szCs w:val="40"/>
        </w:rPr>
        <w:t>项），研发投入依赖</w:t>
      </w:r>
      <w:r>
        <w:rPr>
          <w:rFonts w:hint="eastAsia" w:ascii="仿宋_GB2312" w:hAnsi="仿宋_GB2312" w:eastAsia="仿宋_GB2312" w:cs="仿宋_GB2312"/>
          <w:color w:val="auto"/>
          <w:sz w:val="32"/>
          <w:szCs w:val="40"/>
        </w:rPr>
        <w:t>财政资金与</w:t>
      </w:r>
      <w:r>
        <w:rPr>
          <w:rFonts w:ascii="仿宋_GB2312" w:hAnsi="仿宋_GB2312" w:eastAsia="仿宋_GB2312" w:cs="仿宋_GB2312"/>
          <w:color w:val="auto"/>
          <w:sz w:val="32"/>
          <w:szCs w:val="40"/>
        </w:rPr>
        <w:t>短期项目资金，未</w:t>
      </w:r>
      <w:r>
        <w:rPr>
          <w:rFonts w:hint="eastAsia" w:ascii="仿宋_GB2312" w:hAnsi="仿宋_GB2312" w:eastAsia="仿宋_GB2312" w:cs="仿宋_GB2312"/>
          <w:color w:val="auto"/>
          <w:sz w:val="32"/>
          <w:szCs w:val="40"/>
        </w:rPr>
        <w:t>形成</w:t>
      </w:r>
      <w:r>
        <w:rPr>
          <w:rFonts w:ascii="仿宋_GB2312" w:hAnsi="仿宋_GB2312" w:eastAsia="仿宋_GB2312" w:cs="仿宋_GB2312"/>
          <w:color w:val="auto"/>
          <w:sz w:val="32"/>
          <w:szCs w:val="40"/>
        </w:rPr>
        <w:t>“研发</w:t>
      </w:r>
      <w:r>
        <w:rPr>
          <w:rFonts w:hint="eastAsia" w:ascii="仿宋_GB2312" w:hAnsi="仿宋_GB2312" w:eastAsia="仿宋_GB2312" w:cs="仿宋_GB2312"/>
          <w:color w:val="auto"/>
          <w:sz w:val="32"/>
          <w:szCs w:val="40"/>
        </w:rPr>
        <w:t>－</w:t>
      </w:r>
      <w:r>
        <w:rPr>
          <w:rFonts w:ascii="仿宋_GB2312" w:hAnsi="仿宋_GB2312" w:eastAsia="仿宋_GB2312" w:cs="仿宋_GB2312"/>
          <w:color w:val="auto"/>
          <w:sz w:val="32"/>
          <w:szCs w:val="40"/>
        </w:rPr>
        <w:t>产业化</w:t>
      </w:r>
      <w:r>
        <w:rPr>
          <w:rFonts w:hint="eastAsia" w:ascii="仿宋_GB2312" w:hAnsi="仿宋_GB2312" w:eastAsia="仿宋_GB2312" w:cs="仿宋_GB2312"/>
          <w:color w:val="auto"/>
          <w:sz w:val="32"/>
          <w:szCs w:val="40"/>
        </w:rPr>
        <w:t>－</w:t>
      </w:r>
      <w:r>
        <w:rPr>
          <w:rFonts w:ascii="仿宋_GB2312" w:hAnsi="仿宋_GB2312" w:eastAsia="仿宋_GB2312" w:cs="仿宋_GB2312"/>
          <w:color w:val="auto"/>
          <w:sz w:val="32"/>
          <w:szCs w:val="40"/>
        </w:rPr>
        <w:t>收益反哺研发”的良性闭环，</w:t>
      </w:r>
      <w:r>
        <w:rPr>
          <w:rFonts w:hint="eastAsia" w:ascii="仿宋_GB2312" w:hAnsi="仿宋_GB2312" w:eastAsia="仿宋_GB2312" w:cs="仿宋_GB2312"/>
          <w:color w:val="auto"/>
          <w:sz w:val="32"/>
          <w:szCs w:val="40"/>
        </w:rPr>
        <w:t>易</w:t>
      </w:r>
      <w:r>
        <w:rPr>
          <w:rFonts w:ascii="仿宋_GB2312" w:hAnsi="仿宋_GB2312" w:eastAsia="仿宋_GB2312" w:cs="仿宋_GB2312"/>
          <w:color w:val="auto"/>
          <w:sz w:val="32"/>
          <w:szCs w:val="40"/>
        </w:rPr>
        <w:t>引发后续研发资金链断裂。</w:t>
      </w:r>
      <w:r>
        <w:rPr>
          <w:rFonts w:hint="eastAsia" w:ascii="仿宋_GB2312" w:hAnsi="仿宋_GB2312" w:eastAsia="仿宋_GB2312" w:cs="仿宋_GB2312"/>
          <w:color w:val="auto"/>
          <w:sz w:val="32"/>
          <w:szCs w:val="40"/>
        </w:rPr>
        <w:t>同时，由于长期发展前景不明朗，难以吸引和留存顶尖人才，制约可持续发展能力。</w:t>
      </w:r>
      <w:r>
        <w:rPr>
          <w:rFonts w:ascii="仿宋_GB2312" w:hAnsi="仿宋_GB2312" w:eastAsia="仿宋_GB2312" w:cs="仿宋_GB2312"/>
          <w:b/>
          <w:bCs/>
          <w:color w:val="auto"/>
          <w:sz w:val="32"/>
          <w:szCs w:val="40"/>
        </w:rPr>
        <w:t>二是</w:t>
      </w:r>
      <w:r>
        <w:rPr>
          <w:rFonts w:ascii="仿宋_GB2312" w:hAnsi="仿宋_GB2312" w:eastAsia="仿宋_GB2312" w:cs="仿宋_GB2312"/>
          <w:color w:val="auto"/>
          <w:sz w:val="32"/>
          <w:szCs w:val="40"/>
        </w:rPr>
        <w:t>上市目标短期内</w:t>
      </w:r>
      <w:r>
        <w:rPr>
          <w:rFonts w:hint="eastAsia" w:ascii="仿宋_GB2312" w:hAnsi="仿宋_GB2312" w:eastAsia="仿宋_GB2312" w:cs="仿宋_GB2312"/>
          <w:color w:val="auto"/>
          <w:sz w:val="32"/>
          <w:szCs w:val="40"/>
        </w:rPr>
        <w:t>难以实现</w:t>
      </w:r>
      <w:r>
        <w:rPr>
          <w:rFonts w:ascii="仿宋_GB2312" w:hAnsi="仿宋_GB2312" w:eastAsia="仿宋_GB2312" w:cs="仿宋_GB2312"/>
          <w:color w:val="auto"/>
          <w:sz w:val="32"/>
          <w:szCs w:val="40"/>
        </w:rPr>
        <w:t>。根据合伙协议，项目需在2026年4月15日前完成上市</w:t>
      </w:r>
      <w:r>
        <w:rPr>
          <w:rFonts w:hint="eastAsia" w:ascii="仿宋_GB2312" w:hAnsi="仿宋_GB2312" w:eastAsia="仿宋_GB2312" w:cs="仿宋_GB2312"/>
          <w:color w:val="auto"/>
          <w:sz w:val="32"/>
          <w:szCs w:val="40"/>
        </w:rPr>
        <w:t>，但</w:t>
      </w:r>
      <w:r>
        <w:rPr>
          <w:rFonts w:ascii="仿宋_GB2312" w:hAnsi="仿宋_GB2312" w:eastAsia="仿宋_GB2312" w:cs="仿宋_GB2312"/>
          <w:color w:val="auto"/>
          <w:sz w:val="32"/>
          <w:szCs w:val="40"/>
        </w:rPr>
        <w:t>拟上市</w:t>
      </w:r>
      <w:r>
        <w:rPr>
          <w:rFonts w:hint="eastAsia" w:ascii="仿宋_GB2312" w:hAnsi="仿宋_GB2312" w:eastAsia="仿宋_GB2312" w:cs="仿宋_GB2312"/>
          <w:color w:val="auto"/>
          <w:sz w:val="32"/>
          <w:szCs w:val="40"/>
        </w:rPr>
        <w:t>主体</w:t>
      </w:r>
      <w:r>
        <w:rPr>
          <w:rFonts w:ascii="仿宋_GB2312" w:hAnsi="仿宋_GB2312" w:eastAsia="仿宋_GB2312" w:cs="仿宋_GB2312"/>
          <w:color w:val="auto"/>
          <w:sz w:val="32"/>
          <w:szCs w:val="40"/>
        </w:rPr>
        <w:t>山东心法科技2022</w:t>
      </w:r>
      <w:r>
        <w:rPr>
          <w:rFonts w:hint="eastAsia" w:ascii="仿宋_GB2312" w:hAnsi="仿宋_GB2312" w:eastAsia="仿宋_GB2312" w:cs="仿宋_GB2312"/>
          <w:color w:val="auto"/>
          <w:sz w:val="32"/>
          <w:szCs w:val="40"/>
        </w:rPr>
        <w:t>—</w:t>
      </w:r>
      <w:r>
        <w:rPr>
          <w:rFonts w:ascii="仿宋_GB2312" w:hAnsi="仿宋_GB2312" w:eastAsia="仿宋_GB2312" w:cs="仿宋_GB2312"/>
          <w:color w:val="auto"/>
          <w:sz w:val="32"/>
          <w:szCs w:val="40"/>
        </w:rPr>
        <w:t>2024年</w:t>
      </w:r>
      <w:r>
        <w:rPr>
          <w:rFonts w:hint="eastAsia" w:ascii="仿宋_GB2312" w:hAnsi="仿宋_GB2312" w:eastAsia="仿宋_GB2312" w:cs="仿宋_GB2312"/>
          <w:color w:val="auto"/>
          <w:sz w:val="32"/>
          <w:szCs w:val="40"/>
        </w:rPr>
        <w:t>的</w:t>
      </w:r>
      <w:r>
        <w:rPr>
          <w:rFonts w:ascii="仿宋_GB2312" w:hAnsi="仿宋_GB2312" w:eastAsia="仿宋_GB2312" w:cs="仿宋_GB2312"/>
          <w:color w:val="auto"/>
          <w:sz w:val="32"/>
          <w:szCs w:val="40"/>
        </w:rPr>
        <w:t>营业收入呈断崖式下</w:t>
      </w:r>
      <w:r>
        <w:rPr>
          <w:rFonts w:hint="eastAsia" w:ascii="仿宋_GB2312" w:hAnsi="仿宋_GB2312" w:eastAsia="仿宋_GB2312" w:cs="仿宋_GB2312"/>
          <w:color w:val="auto"/>
          <w:sz w:val="32"/>
          <w:szCs w:val="40"/>
        </w:rPr>
        <w:t>降（分别为</w:t>
      </w:r>
      <w:r>
        <w:rPr>
          <w:rFonts w:ascii="仿宋_GB2312" w:hAnsi="仿宋_GB2312" w:eastAsia="仿宋_GB2312" w:cs="仿宋_GB2312"/>
          <w:color w:val="auto"/>
          <w:sz w:val="32"/>
          <w:szCs w:val="40"/>
        </w:rPr>
        <w:t>1062.89万元、962.70万元、183万元</w:t>
      </w:r>
      <w:r>
        <w:rPr>
          <w:rFonts w:hint="eastAsia" w:ascii="仿宋_GB2312" w:hAnsi="仿宋_GB2312" w:eastAsia="仿宋_GB2312" w:cs="仿宋_GB2312"/>
          <w:color w:val="auto"/>
          <w:sz w:val="32"/>
          <w:szCs w:val="40"/>
        </w:rPr>
        <w:t>）。对照</w:t>
      </w:r>
      <w:r>
        <w:rPr>
          <w:rFonts w:ascii="仿宋_GB2312" w:hAnsi="仿宋_GB2312" w:eastAsia="仿宋_GB2312" w:cs="仿宋_GB2312"/>
          <w:color w:val="auto"/>
          <w:sz w:val="32"/>
          <w:szCs w:val="40"/>
        </w:rPr>
        <w:t>《科创属性评价指引</w:t>
      </w:r>
      <w:r>
        <w:rPr>
          <w:rFonts w:hint="eastAsia" w:ascii="仿宋_GB2312" w:hAnsi="仿宋_GB2312" w:eastAsia="仿宋_GB2312" w:cs="仿宋_GB2312"/>
          <w:color w:val="auto"/>
          <w:sz w:val="32"/>
          <w:szCs w:val="40"/>
        </w:rPr>
        <w:t>（</w:t>
      </w:r>
      <w:r>
        <w:rPr>
          <w:rFonts w:ascii="仿宋_GB2312" w:hAnsi="仿宋_GB2312" w:eastAsia="仿宋_GB2312" w:cs="仿宋_GB2312"/>
          <w:color w:val="auto"/>
          <w:sz w:val="32"/>
          <w:szCs w:val="40"/>
        </w:rPr>
        <w:t>试行</w:t>
      </w:r>
      <w:r>
        <w:rPr>
          <w:rFonts w:hint="eastAsia" w:ascii="仿宋_GB2312" w:hAnsi="仿宋_GB2312" w:eastAsia="仿宋_GB2312" w:cs="仿宋_GB2312"/>
          <w:color w:val="auto"/>
          <w:sz w:val="32"/>
          <w:szCs w:val="40"/>
        </w:rPr>
        <w:t>）</w:t>
      </w:r>
      <w:r>
        <w:rPr>
          <w:rFonts w:ascii="仿宋_GB2312" w:hAnsi="仿宋_GB2312" w:eastAsia="仿宋_GB2312" w:cs="仿宋_GB2312"/>
          <w:color w:val="auto"/>
          <w:sz w:val="32"/>
          <w:szCs w:val="40"/>
        </w:rPr>
        <w:t>》</w:t>
      </w:r>
      <w:r>
        <w:rPr>
          <w:rFonts w:hint="eastAsia" w:ascii="仿宋_GB2312" w:hAnsi="仿宋_GB2312" w:eastAsia="仿宋_GB2312" w:cs="仿宋_GB2312"/>
          <w:color w:val="auto"/>
          <w:sz w:val="32"/>
          <w:szCs w:val="40"/>
        </w:rPr>
        <w:t>中</w:t>
      </w:r>
      <w:r>
        <w:rPr>
          <w:rFonts w:ascii="仿宋_GB2312" w:hAnsi="仿宋_GB2312" w:eastAsia="仿宋_GB2312" w:cs="仿宋_GB2312"/>
          <w:color w:val="auto"/>
          <w:sz w:val="32"/>
          <w:szCs w:val="40"/>
        </w:rPr>
        <w:t>科创板</w:t>
      </w:r>
      <w:r>
        <w:rPr>
          <w:rFonts w:hint="eastAsia" w:ascii="仿宋_GB2312" w:hAnsi="仿宋_GB2312" w:eastAsia="仿宋_GB2312" w:cs="仿宋_GB2312"/>
          <w:color w:val="auto"/>
          <w:sz w:val="32"/>
          <w:szCs w:val="40"/>
        </w:rPr>
        <w:t>上市</w:t>
      </w:r>
      <w:r>
        <w:rPr>
          <w:rFonts w:ascii="仿宋_GB2312" w:hAnsi="仿宋_GB2312" w:eastAsia="仿宋_GB2312" w:cs="仿宋_GB2312"/>
          <w:color w:val="auto"/>
          <w:sz w:val="32"/>
          <w:szCs w:val="40"/>
        </w:rPr>
        <w:t>“近三年营收复合增长率25%或年营收3亿元”的核心指标测算，</w:t>
      </w:r>
      <w:r>
        <w:rPr>
          <w:rFonts w:hint="eastAsia" w:ascii="仿宋_GB2312" w:hAnsi="仿宋_GB2312" w:eastAsia="仿宋_GB2312" w:cs="仿宋_GB2312"/>
          <w:color w:val="auto"/>
          <w:sz w:val="32"/>
          <w:szCs w:val="40"/>
        </w:rPr>
        <w:t>项目</w:t>
      </w:r>
      <w:r>
        <w:rPr>
          <w:rFonts w:ascii="仿宋_GB2312" w:hAnsi="仿宋_GB2312" w:eastAsia="仿宋_GB2312" w:cs="仿宋_GB2312"/>
          <w:color w:val="auto"/>
          <w:sz w:val="32"/>
          <w:szCs w:val="40"/>
        </w:rPr>
        <w:t>至2026年无法达标，上市目标短期难以实现。​</w:t>
      </w:r>
    </w:p>
    <w:p>
      <w:pPr>
        <w:adjustRightInd w:val="0"/>
        <w:snapToGrid w:val="0"/>
        <w:spacing w:line="580" w:lineRule="exact"/>
        <w:ind w:firstLine="640" w:firstLineChars="200"/>
        <w:outlineLvl w:val="0"/>
        <w:rPr>
          <w:rFonts w:ascii="黑体" w:hAnsi="黑体" w:eastAsia="黑体" w:cs="黑体"/>
          <w:color w:val="auto"/>
          <w:sz w:val="32"/>
          <w:szCs w:val="40"/>
        </w:rPr>
      </w:pPr>
      <w:bookmarkStart w:id="5" w:name="_Toc4514"/>
      <w:r>
        <w:rPr>
          <w:rFonts w:hint="eastAsia" w:ascii="黑体" w:hAnsi="黑体" w:eastAsia="黑体" w:cs="黑体"/>
          <w:color w:val="auto"/>
          <w:sz w:val="32"/>
          <w:szCs w:val="40"/>
        </w:rPr>
        <w:t>六、相关建议</w:t>
      </w:r>
      <w:bookmarkEnd w:id="5"/>
    </w:p>
    <w:p>
      <w:pPr>
        <w:adjustRightInd w:val="0"/>
        <w:snapToGrid w:val="0"/>
        <w:spacing w:line="580" w:lineRule="exact"/>
        <w:ind w:firstLine="640" w:firstLineChars="200"/>
        <w:rPr>
          <w:rFonts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（一）优化项目资金支持方式，加强市、区联动，强化项目实施的全过程管理</w:t>
      </w:r>
    </w:p>
    <w:p>
      <w:pPr>
        <w:adjustRightInd w:val="0"/>
        <w:snapToGrid w:val="0"/>
        <w:spacing w:line="580" w:lineRule="exact"/>
        <w:ind w:firstLine="643" w:firstLineChars="200"/>
        <w:rPr>
          <w:rFonts w:ascii="仿宋_GB2312" w:hAnsi="仿宋_GB2312" w:eastAsia="仿宋_GB2312" w:cs="仿宋_GB2312"/>
          <w:b/>
          <w:bCs/>
          <w:color w:val="auto"/>
          <w:sz w:val="32"/>
          <w:szCs w:val="40"/>
        </w:rPr>
      </w:pPr>
      <w:r>
        <w:rPr>
          <w:rFonts w:hint="eastAsia" w:ascii="仿宋_GB2312" w:hAnsi="仿宋_GB2312" w:eastAsia="仿宋_GB2312" w:cs="仿宋_GB2312"/>
          <w:b/>
          <w:bCs/>
          <w:color w:val="auto"/>
          <w:sz w:val="32"/>
          <w:szCs w:val="40"/>
        </w:rPr>
        <w:t>1.</w:t>
      </w:r>
      <w:r>
        <w:rPr>
          <w:rFonts w:ascii="仿宋_GB2312" w:hAnsi="仿宋_GB2312" w:eastAsia="仿宋_GB2312" w:cs="仿宋_GB2312"/>
          <w:b/>
          <w:bCs/>
          <w:color w:val="auto"/>
          <w:sz w:val="32"/>
          <w:szCs w:val="40"/>
        </w:rPr>
        <w:t>规范</w:t>
      </w:r>
      <w:r>
        <w:rPr>
          <w:rFonts w:hint="eastAsia" w:ascii="仿宋_GB2312" w:hAnsi="仿宋_GB2312" w:eastAsia="仿宋_GB2312" w:cs="仿宋_GB2312"/>
          <w:b/>
          <w:bCs/>
          <w:color w:val="auto"/>
          <w:sz w:val="32"/>
          <w:szCs w:val="40"/>
        </w:rPr>
        <w:t>开展</w:t>
      </w:r>
      <w:r>
        <w:rPr>
          <w:rFonts w:ascii="仿宋_GB2312" w:hAnsi="仿宋_GB2312" w:eastAsia="仿宋_GB2312" w:cs="仿宋_GB2312"/>
          <w:b/>
          <w:bCs/>
          <w:color w:val="auto"/>
          <w:sz w:val="32"/>
          <w:szCs w:val="40"/>
        </w:rPr>
        <w:t>年度</w:t>
      </w:r>
      <w:r>
        <w:rPr>
          <w:rFonts w:hint="eastAsia" w:ascii="仿宋_GB2312" w:hAnsi="仿宋_GB2312" w:eastAsia="仿宋_GB2312" w:cs="仿宋_GB2312"/>
          <w:b/>
          <w:bCs/>
          <w:color w:val="auto"/>
          <w:sz w:val="32"/>
          <w:szCs w:val="40"/>
        </w:rPr>
        <w:t>任务</w:t>
      </w:r>
      <w:r>
        <w:rPr>
          <w:rFonts w:ascii="仿宋_GB2312" w:hAnsi="仿宋_GB2312" w:eastAsia="仿宋_GB2312" w:cs="仿宋_GB2312"/>
          <w:b/>
          <w:bCs/>
          <w:color w:val="auto"/>
          <w:sz w:val="32"/>
          <w:szCs w:val="40"/>
        </w:rPr>
        <w:t>考核，全</w:t>
      </w:r>
      <w:r>
        <w:rPr>
          <w:rFonts w:hint="eastAsia" w:ascii="仿宋_GB2312" w:hAnsi="仿宋_GB2312" w:eastAsia="仿宋_GB2312" w:cs="仿宋_GB2312"/>
          <w:b/>
          <w:bCs/>
          <w:color w:val="auto"/>
          <w:sz w:val="32"/>
          <w:szCs w:val="40"/>
        </w:rPr>
        <w:t>面核查任务目标完成情况</w:t>
      </w:r>
    </w:p>
    <w:p>
      <w:pPr>
        <w:adjustRightInd w:val="0"/>
        <w:snapToGrid w:val="0"/>
        <w:spacing w:line="580"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一是</w:t>
      </w:r>
      <w:r>
        <w:rPr>
          <w:rFonts w:hint="eastAsia" w:ascii="仿宋_GB2312" w:hAnsi="仿宋_GB2312" w:eastAsia="仿宋_GB2312" w:cs="仿宋_GB2312"/>
          <w:color w:val="auto"/>
          <w:sz w:val="32"/>
          <w:szCs w:val="40"/>
        </w:rPr>
        <w:t>强化</w:t>
      </w:r>
      <w:r>
        <w:rPr>
          <w:rFonts w:ascii="仿宋_GB2312" w:hAnsi="仿宋_GB2312" w:eastAsia="仿宋_GB2312" w:cs="仿宋_GB2312"/>
          <w:color w:val="auto"/>
          <w:sz w:val="32"/>
          <w:szCs w:val="40"/>
        </w:rPr>
        <w:t>年度考核</w:t>
      </w:r>
      <w:r>
        <w:rPr>
          <w:rFonts w:hint="eastAsia" w:ascii="仿宋_GB2312" w:hAnsi="仿宋_GB2312" w:eastAsia="仿宋_GB2312" w:cs="仿宋_GB2312"/>
          <w:color w:val="auto"/>
          <w:sz w:val="32"/>
          <w:szCs w:val="40"/>
        </w:rPr>
        <w:t>实施</w:t>
      </w:r>
      <w:r>
        <w:rPr>
          <w:rFonts w:ascii="仿宋_GB2312" w:hAnsi="仿宋_GB2312" w:eastAsia="仿宋_GB2312" w:cs="仿宋_GB2312"/>
          <w:color w:val="auto"/>
          <w:sz w:val="32"/>
          <w:szCs w:val="40"/>
        </w:rPr>
        <w:t>，</w:t>
      </w:r>
      <w:r>
        <w:rPr>
          <w:rFonts w:hint="eastAsia" w:ascii="仿宋_GB2312" w:hAnsi="仿宋_GB2312" w:eastAsia="仿宋_GB2312" w:cs="仿宋_GB2312"/>
          <w:color w:val="auto"/>
          <w:sz w:val="32"/>
          <w:szCs w:val="40"/>
        </w:rPr>
        <w:t>健</w:t>
      </w:r>
      <w:r>
        <w:rPr>
          <w:rFonts w:ascii="仿宋_GB2312" w:hAnsi="仿宋_GB2312" w:eastAsia="仿宋_GB2312" w:cs="仿宋_GB2312"/>
          <w:color w:val="auto"/>
          <w:sz w:val="32"/>
          <w:szCs w:val="40"/>
        </w:rPr>
        <w:t>全指标核查机制。</w:t>
      </w:r>
      <w:r>
        <w:rPr>
          <w:rFonts w:hint="eastAsia" w:ascii="仿宋_GB2312" w:hAnsi="仿宋_GB2312" w:eastAsia="仿宋_GB2312" w:cs="仿宋_GB2312"/>
          <w:color w:val="auto"/>
          <w:sz w:val="32"/>
          <w:szCs w:val="40"/>
        </w:rPr>
        <w:t>建议对类似项目，按照任务书确定的目标，逐条核实考核指标完成情况，客观出具考核结论，并对</w:t>
      </w:r>
      <w:r>
        <w:rPr>
          <w:rFonts w:ascii="仿宋_GB2312" w:hAnsi="仿宋_GB2312" w:eastAsia="仿宋_GB2312" w:cs="仿宋_GB2312"/>
          <w:color w:val="auto"/>
          <w:sz w:val="32"/>
          <w:szCs w:val="40"/>
        </w:rPr>
        <w:t>考核资料实行“一项一档”管理，留存成果权属证明等原始材料。</w:t>
      </w:r>
      <w:r>
        <w:rPr>
          <w:rFonts w:hint="eastAsia" w:ascii="仿宋_GB2312" w:hAnsi="仿宋_GB2312" w:eastAsia="仿宋_GB2312" w:cs="仿宋_GB2312"/>
          <w:b/>
          <w:bCs/>
          <w:color w:val="auto"/>
          <w:sz w:val="32"/>
          <w:szCs w:val="40"/>
        </w:rPr>
        <w:t>二是</w:t>
      </w:r>
      <w:r>
        <w:rPr>
          <w:rFonts w:hint="eastAsia" w:ascii="仿宋_GB2312" w:hAnsi="仿宋_GB2312" w:eastAsia="仿宋_GB2312" w:cs="仿宋_GB2312"/>
          <w:color w:val="auto"/>
          <w:sz w:val="32"/>
          <w:szCs w:val="40"/>
        </w:rPr>
        <w:t>严格依据合作协议，对认知人工智能研究院项目完成情况开展全面考核评估，系统核实成果真实性、权属关联性及产业贡献，并加强结果应用，将其作为后续是否继续出资的重要依据。</w:t>
      </w:r>
    </w:p>
    <w:p>
      <w:pPr>
        <w:adjustRightInd w:val="0"/>
        <w:snapToGrid w:val="0"/>
        <w:spacing w:line="580" w:lineRule="exact"/>
        <w:ind w:firstLine="643" w:firstLineChars="200"/>
        <w:rPr>
          <w:rFonts w:ascii="仿宋_GB2312" w:hAnsi="仿宋_GB2312" w:eastAsia="仿宋_GB2312" w:cs="仿宋_GB2312"/>
          <w:b/>
          <w:bCs/>
          <w:color w:val="auto"/>
          <w:sz w:val="32"/>
          <w:szCs w:val="40"/>
        </w:rPr>
      </w:pPr>
      <w:r>
        <w:rPr>
          <w:rFonts w:hint="eastAsia" w:ascii="仿宋_GB2312" w:hAnsi="仿宋_GB2312" w:eastAsia="仿宋_GB2312" w:cs="仿宋_GB2312"/>
          <w:b/>
          <w:bCs/>
          <w:color w:val="auto"/>
          <w:sz w:val="32"/>
          <w:szCs w:val="40"/>
        </w:rPr>
        <w:t>2.优化会商项目资金支持方式</w:t>
      </w:r>
    </w:p>
    <w:p>
      <w:pPr>
        <w:adjustRightInd w:val="0"/>
        <w:snapToGrid w:val="0"/>
        <w:spacing w:line="580"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建议市区联动，对前期资金支持方式进行总结分析，对后续支持项目分类制定扶持标准，结合项目特点及阶段特性分类施策。如，对技术研发阶段项目采用“无偿资助+风险补偿”的组合模式，对成果转化阶段项目以“后补助+股权投资”为主（后补助金额与市场营收挂钩）。同时，建立与成效挂钩的动态拨付机制，按项目进度拨付资金，中期评估未达标的项目暂停后续拨付并限期整改。</w:t>
      </w:r>
    </w:p>
    <w:p>
      <w:pPr>
        <w:adjustRightInd w:val="0"/>
        <w:snapToGrid w:val="0"/>
        <w:spacing w:line="580" w:lineRule="exact"/>
        <w:ind w:firstLine="643" w:firstLineChars="200"/>
        <w:rPr>
          <w:rFonts w:ascii="楷体_GB2312" w:hAnsi="楷体_GB2312" w:eastAsia="楷体_GB2312" w:cs="楷体_GB2312"/>
          <w:b/>
          <w:bCs/>
          <w:color w:val="auto"/>
          <w:sz w:val="32"/>
          <w:szCs w:val="40"/>
        </w:rPr>
      </w:pPr>
      <w:r>
        <w:rPr>
          <w:rFonts w:ascii="楷体_GB2312" w:hAnsi="楷体_GB2312" w:eastAsia="楷体_GB2312" w:cs="楷体_GB2312"/>
          <w:b/>
          <w:bCs/>
          <w:color w:val="auto"/>
          <w:sz w:val="32"/>
          <w:szCs w:val="40"/>
        </w:rPr>
        <w:t>3.</w:t>
      </w:r>
      <w:r>
        <w:rPr>
          <w:rFonts w:hint="eastAsia" w:ascii="仿宋_GB2312" w:hAnsi="仿宋_GB2312" w:eastAsia="仿宋_GB2312" w:cs="仿宋_GB2312"/>
          <w:b/>
          <w:bCs/>
          <w:color w:val="auto"/>
          <w:sz w:val="32"/>
          <w:szCs w:val="40"/>
        </w:rPr>
        <w:t>加强市区联动，强化项目实施过程监管及</w:t>
      </w:r>
      <w:r>
        <w:rPr>
          <w:rFonts w:ascii="楷体_GB2312" w:hAnsi="楷体_GB2312" w:eastAsia="楷体_GB2312" w:cs="楷体_GB2312"/>
          <w:b/>
          <w:bCs/>
          <w:color w:val="auto"/>
          <w:sz w:val="32"/>
          <w:szCs w:val="40"/>
        </w:rPr>
        <w:t>资金合规性审查</w:t>
      </w:r>
    </w:p>
    <w:p>
      <w:pPr>
        <w:adjustRightInd w:val="0"/>
        <w:snapToGrid w:val="0"/>
        <w:spacing w:line="580"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一是</w:t>
      </w:r>
      <w:r>
        <w:rPr>
          <w:rFonts w:ascii="仿宋_GB2312" w:hAnsi="仿宋_GB2312" w:eastAsia="仿宋_GB2312" w:cs="仿宋_GB2312"/>
          <w:color w:val="auto"/>
          <w:sz w:val="32"/>
          <w:szCs w:val="40"/>
        </w:rPr>
        <w:t>严格落实会商机制，</w:t>
      </w:r>
      <w:r>
        <w:rPr>
          <w:rFonts w:hint="eastAsia" w:ascii="仿宋_GB2312" w:hAnsi="仿宋_GB2312" w:eastAsia="仿宋_GB2312" w:cs="仿宋_GB2312"/>
          <w:color w:val="auto"/>
          <w:sz w:val="32"/>
          <w:szCs w:val="40"/>
        </w:rPr>
        <w:t>加强项目实施过程管理。建议</w:t>
      </w:r>
      <w:r>
        <w:rPr>
          <w:rFonts w:ascii="仿宋_GB2312" w:hAnsi="仿宋_GB2312" w:eastAsia="仿宋_GB2312" w:cs="仿宋_GB2312"/>
          <w:color w:val="auto"/>
          <w:sz w:val="32"/>
          <w:szCs w:val="40"/>
        </w:rPr>
        <w:t>区（市）</w:t>
      </w:r>
      <w:r>
        <w:rPr>
          <w:rFonts w:hint="eastAsia" w:ascii="仿宋_GB2312" w:hAnsi="仿宋_GB2312" w:eastAsia="仿宋_GB2312" w:cs="仿宋_GB2312"/>
          <w:color w:val="auto"/>
          <w:sz w:val="32"/>
          <w:szCs w:val="40"/>
        </w:rPr>
        <w:t>依据《局区（市）会商专项实施细则》《青岛市科技计划项目实施过程管理办法》，规范开展项目实施过程管理，结合实际优化投入资源，并定期上</w:t>
      </w:r>
      <w:r>
        <w:rPr>
          <w:rFonts w:ascii="仿宋_GB2312" w:hAnsi="仿宋_GB2312" w:eastAsia="仿宋_GB2312" w:cs="仿宋_GB2312"/>
          <w:color w:val="auto"/>
          <w:sz w:val="32"/>
          <w:szCs w:val="40"/>
        </w:rPr>
        <w:t>报</w:t>
      </w:r>
      <w:r>
        <w:rPr>
          <w:rFonts w:hint="eastAsia" w:ascii="仿宋_GB2312" w:hAnsi="仿宋_GB2312" w:eastAsia="仿宋_GB2312" w:cs="仿宋_GB2312"/>
          <w:color w:val="auto"/>
          <w:sz w:val="32"/>
          <w:szCs w:val="40"/>
        </w:rPr>
        <w:t>项目</w:t>
      </w:r>
      <w:r>
        <w:rPr>
          <w:rFonts w:ascii="仿宋_GB2312" w:hAnsi="仿宋_GB2312" w:eastAsia="仿宋_GB2312" w:cs="仿宋_GB2312"/>
          <w:color w:val="auto"/>
          <w:sz w:val="32"/>
          <w:szCs w:val="40"/>
        </w:rPr>
        <w:t>进展</w:t>
      </w:r>
      <w:r>
        <w:rPr>
          <w:rFonts w:hint="eastAsia" w:ascii="仿宋_GB2312" w:hAnsi="仿宋_GB2312" w:eastAsia="仿宋_GB2312" w:cs="仿宋_GB2312"/>
          <w:color w:val="auto"/>
          <w:sz w:val="32"/>
          <w:szCs w:val="40"/>
        </w:rPr>
        <w:t>；</w:t>
      </w:r>
      <w:r>
        <w:rPr>
          <w:rFonts w:ascii="仿宋_GB2312" w:hAnsi="仿宋_GB2312" w:eastAsia="仿宋_GB2312" w:cs="仿宋_GB2312"/>
          <w:color w:val="auto"/>
          <w:sz w:val="32"/>
          <w:szCs w:val="40"/>
        </w:rPr>
        <w:t>市</w:t>
      </w:r>
      <w:r>
        <w:rPr>
          <w:rFonts w:hint="eastAsia" w:ascii="仿宋_GB2312" w:hAnsi="仿宋_GB2312" w:eastAsia="仿宋_GB2312" w:cs="仿宋_GB2312"/>
          <w:color w:val="auto"/>
          <w:sz w:val="32"/>
          <w:szCs w:val="40"/>
        </w:rPr>
        <w:t>科技</w:t>
      </w:r>
      <w:r>
        <w:rPr>
          <w:rFonts w:ascii="仿宋_GB2312" w:hAnsi="仿宋_GB2312" w:eastAsia="仿宋_GB2312" w:cs="仿宋_GB2312"/>
          <w:color w:val="auto"/>
          <w:sz w:val="32"/>
          <w:szCs w:val="40"/>
        </w:rPr>
        <w:t>局对重点项目</w:t>
      </w:r>
      <w:r>
        <w:rPr>
          <w:rFonts w:hint="eastAsia" w:ascii="仿宋_GB2312" w:hAnsi="仿宋_GB2312" w:eastAsia="仿宋_GB2312" w:cs="仿宋_GB2312"/>
          <w:color w:val="auto"/>
          <w:sz w:val="32"/>
          <w:szCs w:val="40"/>
        </w:rPr>
        <w:t>开展不定期</w:t>
      </w:r>
      <w:r>
        <w:rPr>
          <w:rFonts w:ascii="仿宋_GB2312" w:hAnsi="仿宋_GB2312" w:eastAsia="仿宋_GB2312" w:cs="仿宋_GB2312"/>
          <w:color w:val="auto"/>
          <w:sz w:val="32"/>
          <w:szCs w:val="40"/>
        </w:rPr>
        <w:t>督查</w:t>
      </w:r>
      <w:r>
        <w:rPr>
          <w:rFonts w:hint="eastAsia" w:ascii="仿宋_GB2312" w:hAnsi="仿宋_GB2312" w:eastAsia="仿宋_GB2312" w:cs="仿宋_GB2312"/>
          <w:color w:val="auto"/>
          <w:sz w:val="32"/>
          <w:szCs w:val="40"/>
        </w:rPr>
        <w:t>，</w:t>
      </w:r>
      <w:r>
        <w:rPr>
          <w:rFonts w:ascii="仿宋_GB2312" w:hAnsi="仿宋_GB2312" w:eastAsia="仿宋_GB2312" w:cs="仿宋_GB2312"/>
          <w:color w:val="auto"/>
          <w:sz w:val="32"/>
          <w:szCs w:val="40"/>
        </w:rPr>
        <w:t>督促区（市）强化全流程管理，跟踪核心指标</w:t>
      </w:r>
      <w:r>
        <w:rPr>
          <w:rFonts w:hint="eastAsia" w:ascii="仿宋_GB2312" w:hAnsi="仿宋_GB2312" w:eastAsia="仿宋_GB2312" w:cs="仿宋_GB2312"/>
          <w:color w:val="auto"/>
          <w:sz w:val="32"/>
          <w:szCs w:val="40"/>
        </w:rPr>
        <w:t>完成情况</w:t>
      </w:r>
      <w:r>
        <w:rPr>
          <w:rFonts w:ascii="仿宋_GB2312" w:hAnsi="仿宋_GB2312" w:eastAsia="仿宋_GB2312" w:cs="仿宋_GB2312"/>
          <w:color w:val="auto"/>
          <w:sz w:val="32"/>
          <w:szCs w:val="40"/>
        </w:rPr>
        <w:t>，对未履职的</w:t>
      </w:r>
      <w:r>
        <w:rPr>
          <w:rFonts w:hint="eastAsia" w:ascii="仿宋_GB2312" w:hAnsi="仿宋_GB2312" w:eastAsia="仿宋_GB2312" w:cs="仿宋_GB2312"/>
          <w:color w:val="auto"/>
          <w:sz w:val="32"/>
          <w:szCs w:val="40"/>
        </w:rPr>
        <w:t>单位暂缓后续项目安排，同时</w:t>
      </w:r>
      <w:r>
        <w:rPr>
          <w:rFonts w:ascii="仿宋_GB2312" w:hAnsi="仿宋_GB2312" w:eastAsia="仿宋_GB2312" w:cs="仿宋_GB2312"/>
          <w:color w:val="auto"/>
          <w:sz w:val="32"/>
          <w:szCs w:val="40"/>
        </w:rPr>
        <w:t>将结果纳入年度考核，且与资金支持、项目申报配额相挂钩。</w:t>
      </w:r>
      <w:r>
        <w:rPr>
          <w:rFonts w:hint="eastAsia" w:ascii="仿宋_GB2312" w:hAnsi="仿宋_GB2312" w:eastAsia="仿宋_GB2312" w:cs="仿宋_GB2312"/>
          <w:b/>
          <w:bCs/>
          <w:color w:val="auto"/>
          <w:sz w:val="32"/>
          <w:szCs w:val="40"/>
        </w:rPr>
        <w:t>二是</w:t>
      </w:r>
      <w:r>
        <w:rPr>
          <w:rFonts w:hint="eastAsia" w:ascii="仿宋_GB2312" w:hAnsi="仿宋_GB2312" w:eastAsia="仿宋_GB2312" w:cs="仿宋_GB2312"/>
          <w:color w:val="auto"/>
          <w:sz w:val="32"/>
          <w:szCs w:val="40"/>
        </w:rPr>
        <w:t>加强</w:t>
      </w:r>
      <w:r>
        <w:rPr>
          <w:rFonts w:ascii="仿宋_GB2312" w:hAnsi="仿宋_GB2312" w:eastAsia="仿宋_GB2312" w:cs="仿宋_GB2312"/>
          <w:color w:val="auto"/>
          <w:sz w:val="32"/>
          <w:szCs w:val="40"/>
        </w:rPr>
        <w:t>专项资金使用</w:t>
      </w:r>
      <w:r>
        <w:rPr>
          <w:rFonts w:hint="eastAsia" w:ascii="仿宋_GB2312" w:hAnsi="仿宋_GB2312" w:eastAsia="仿宋_GB2312" w:cs="仿宋_GB2312"/>
          <w:color w:val="auto"/>
          <w:sz w:val="32"/>
          <w:szCs w:val="40"/>
        </w:rPr>
        <w:t>合规性审查</w:t>
      </w:r>
      <w:r>
        <w:rPr>
          <w:rFonts w:ascii="仿宋_GB2312" w:hAnsi="仿宋_GB2312" w:eastAsia="仿宋_GB2312" w:cs="仿宋_GB2312"/>
          <w:color w:val="auto"/>
          <w:sz w:val="32"/>
          <w:szCs w:val="40"/>
        </w:rPr>
        <w:t>，确保资金</w:t>
      </w:r>
      <w:r>
        <w:rPr>
          <w:rFonts w:hint="eastAsia" w:ascii="仿宋_GB2312" w:hAnsi="仿宋_GB2312" w:eastAsia="仿宋_GB2312" w:cs="仿宋_GB2312"/>
          <w:color w:val="auto"/>
          <w:sz w:val="32"/>
          <w:szCs w:val="40"/>
        </w:rPr>
        <w:t>规范</w:t>
      </w:r>
      <w:r>
        <w:rPr>
          <w:rFonts w:ascii="仿宋_GB2312" w:hAnsi="仿宋_GB2312" w:eastAsia="仿宋_GB2312" w:cs="仿宋_GB2312"/>
          <w:color w:val="auto"/>
          <w:sz w:val="32"/>
          <w:szCs w:val="40"/>
        </w:rPr>
        <w:t>高效</w:t>
      </w:r>
      <w:r>
        <w:rPr>
          <w:rFonts w:hint="eastAsia" w:ascii="仿宋_GB2312" w:hAnsi="仿宋_GB2312" w:eastAsia="仿宋_GB2312" w:cs="仿宋_GB2312"/>
          <w:color w:val="auto"/>
          <w:sz w:val="32"/>
          <w:szCs w:val="40"/>
        </w:rPr>
        <w:t>使用</w:t>
      </w:r>
      <w:r>
        <w:rPr>
          <w:rFonts w:ascii="仿宋_GB2312" w:hAnsi="仿宋_GB2312" w:eastAsia="仿宋_GB2312" w:cs="仿宋_GB2312"/>
          <w:color w:val="auto"/>
          <w:sz w:val="32"/>
          <w:szCs w:val="40"/>
        </w:rPr>
        <w:t>。</w:t>
      </w:r>
      <w:r>
        <w:rPr>
          <w:rFonts w:hint="eastAsia" w:ascii="仿宋_GB2312" w:hAnsi="仿宋_GB2312" w:eastAsia="仿宋_GB2312" w:cs="仿宋_GB2312"/>
          <w:color w:val="auto"/>
          <w:sz w:val="32"/>
          <w:szCs w:val="40"/>
        </w:rPr>
        <w:t>督促认知人工智能研究院项目严格按照</w:t>
      </w:r>
      <w:r>
        <w:rPr>
          <w:rFonts w:ascii="仿宋_GB2312" w:hAnsi="仿宋_GB2312" w:eastAsia="仿宋_GB2312" w:cs="仿宋_GB2312"/>
          <w:color w:val="auto"/>
          <w:sz w:val="32"/>
          <w:szCs w:val="40"/>
        </w:rPr>
        <w:t>《青岛市科学技术专项资金管理办法》</w:t>
      </w:r>
      <w:r>
        <w:rPr>
          <w:rFonts w:hint="eastAsia" w:ascii="仿宋_GB2312" w:hAnsi="仿宋_GB2312" w:eastAsia="仿宋_GB2312" w:cs="仿宋_GB2312"/>
          <w:color w:val="auto"/>
          <w:sz w:val="32"/>
          <w:szCs w:val="40"/>
        </w:rPr>
        <w:t>中劳务费支出范围及标准，</w:t>
      </w:r>
      <w:r>
        <w:rPr>
          <w:rFonts w:ascii="仿宋_GB2312" w:hAnsi="仿宋_GB2312" w:eastAsia="仿宋_GB2312" w:cs="仿宋_GB2312"/>
          <w:color w:val="auto"/>
          <w:sz w:val="32"/>
          <w:szCs w:val="40"/>
        </w:rPr>
        <w:t>对不合规使用现象进行限期整改，规范和</w:t>
      </w:r>
      <w:r>
        <w:rPr>
          <w:rFonts w:hint="eastAsia" w:ascii="仿宋_GB2312" w:hAnsi="仿宋_GB2312" w:eastAsia="仿宋_GB2312" w:cs="仿宋_GB2312"/>
          <w:color w:val="auto"/>
          <w:sz w:val="32"/>
          <w:szCs w:val="40"/>
        </w:rPr>
        <w:t>加强</w:t>
      </w:r>
      <w:r>
        <w:rPr>
          <w:rFonts w:ascii="仿宋_GB2312" w:hAnsi="仿宋_GB2312" w:eastAsia="仿宋_GB2312" w:cs="仿宋_GB2312"/>
          <w:color w:val="auto"/>
          <w:sz w:val="32"/>
          <w:szCs w:val="40"/>
        </w:rPr>
        <w:t>专项资金的使用管理</w:t>
      </w:r>
      <w:r>
        <w:rPr>
          <w:rFonts w:hint="eastAsia" w:ascii="仿宋_GB2312" w:hAnsi="仿宋_GB2312" w:eastAsia="仿宋_GB2312" w:cs="仿宋_GB2312"/>
          <w:color w:val="auto"/>
          <w:sz w:val="32"/>
          <w:szCs w:val="40"/>
        </w:rPr>
        <w:t>；优化项目资金支出结构，重新核算间接费用，调减超30%规定部分，降低劳务费和绩效报酬占比，优先保障科研直接支出，</w:t>
      </w:r>
      <w:r>
        <w:rPr>
          <w:rFonts w:ascii="仿宋_GB2312" w:hAnsi="仿宋_GB2312" w:eastAsia="仿宋_GB2312" w:cs="仿宋_GB2312"/>
          <w:color w:val="auto"/>
          <w:sz w:val="32"/>
          <w:szCs w:val="40"/>
        </w:rPr>
        <w:t>提</w:t>
      </w:r>
      <w:r>
        <w:rPr>
          <w:rFonts w:hint="eastAsia" w:ascii="仿宋_GB2312" w:hAnsi="仿宋_GB2312" w:eastAsia="仿宋_GB2312" w:cs="仿宋_GB2312"/>
          <w:color w:val="auto"/>
          <w:sz w:val="32"/>
          <w:szCs w:val="40"/>
        </w:rPr>
        <w:t>升</w:t>
      </w:r>
      <w:r>
        <w:rPr>
          <w:rFonts w:ascii="仿宋_GB2312" w:hAnsi="仿宋_GB2312" w:eastAsia="仿宋_GB2312" w:cs="仿宋_GB2312"/>
          <w:color w:val="auto"/>
          <w:sz w:val="32"/>
          <w:szCs w:val="40"/>
        </w:rPr>
        <w:t>资金使用效益。</w:t>
      </w:r>
    </w:p>
    <w:p>
      <w:pPr>
        <w:adjustRightInd w:val="0"/>
        <w:snapToGrid w:val="0"/>
        <w:spacing w:line="580" w:lineRule="exact"/>
        <w:ind w:firstLine="640" w:firstLineChars="200"/>
        <w:rPr>
          <w:rFonts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（二）结合项目实际优化资源投入，提高项目投入产出效益</w:t>
      </w:r>
    </w:p>
    <w:p>
      <w:pPr>
        <w:adjustRightInd w:val="0"/>
        <w:snapToGrid w:val="0"/>
        <w:spacing w:line="580" w:lineRule="exact"/>
        <w:ind w:firstLine="643" w:firstLineChars="200"/>
        <w:rPr>
          <w:rFonts w:ascii="仿宋_GB2312" w:hAnsi="仿宋_GB2312" w:eastAsia="仿宋_GB2312" w:cs="仿宋_GB2312"/>
          <w:b/>
          <w:bCs/>
          <w:color w:val="auto"/>
          <w:sz w:val="32"/>
          <w:szCs w:val="40"/>
        </w:rPr>
      </w:pPr>
      <w:r>
        <w:rPr>
          <w:rFonts w:hint="eastAsia" w:ascii="仿宋_GB2312" w:hAnsi="仿宋_GB2312" w:eastAsia="仿宋_GB2312" w:cs="仿宋_GB2312"/>
          <w:b/>
          <w:bCs/>
          <w:color w:val="auto"/>
          <w:sz w:val="32"/>
          <w:szCs w:val="40"/>
        </w:rPr>
        <w:t>1.对西电青岛研究院人才培养与留用模式进行重新论证</w:t>
      </w:r>
    </w:p>
    <w:p>
      <w:pPr>
        <w:adjustRightInd w:val="0"/>
        <w:snapToGrid w:val="0"/>
        <w:spacing w:line="580" w:lineRule="exact"/>
        <w:ind w:firstLine="640" w:firstLineChars="200"/>
        <w:rPr>
          <w:rFonts w:ascii="仿宋_GB2312" w:hAnsi="仿宋_GB2312" w:eastAsia="仿宋_GB2312" w:cs="仿宋_GB2312"/>
          <w:color w:val="auto"/>
          <w:sz w:val="32"/>
          <w:szCs w:val="40"/>
        </w:rPr>
      </w:pPr>
      <w:r>
        <w:rPr>
          <w:rFonts w:ascii="仿宋_GB2312" w:hAnsi="仿宋_GB2312" w:eastAsia="仿宋_GB2312" w:cs="仿宋_GB2312"/>
          <w:color w:val="auto"/>
          <w:sz w:val="32"/>
          <w:szCs w:val="40"/>
        </w:rPr>
        <w:t>建议</w:t>
      </w:r>
      <w:r>
        <w:rPr>
          <w:rFonts w:hint="eastAsia" w:ascii="仿宋_GB2312" w:hAnsi="仿宋_GB2312" w:eastAsia="仿宋_GB2312" w:cs="仿宋_GB2312"/>
          <w:color w:val="auto"/>
          <w:sz w:val="32"/>
          <w:szCs w:val="40"/>
        </w:rPr>
        <w:t>市区联动，</w:t>
      </w:r>
      <w:r>
        <w:rPr>
          <w:rFonts w:ascii="仿宋_GB2312" w:hAnsi="仿宋_GB2312" w:eastAsia="仿宋_GB2312" w:cs="仿宋_GB2312"/>
          <w:color w:val="auto"/>
          <w:sz w:val="32"/>
          <w:szCs w:val="40"/>
        </w:rPr>
        <w:t>系统梳理</w:t>
      </w:r>
      <w:r>
        <w:rPr>
          <w:rFonts w:hint="eastAsia" w:ascii="仿宋_GB2312" w:hAnsi="仿宋_GB2312" w:eastAsia="仿宋_GB2312" w:cs="仿宋_GB2312"/>
          <w:color w:val="auto"/>
          <w:sz w:val="32"/>
          <w:szCs w:val="40"/>
        </w:rPr>
        <w:t>西电青岛研究院</w:t>
      </w:r>
      <w:r>
        <w:rPr>
          <w:rFonts w:ascii="仿宋_GB2312" w:hAnsi="仿宋_GB2312" w:eastAsia="仿宋_GB2312" w:cs="仿宋_GB2312"/>
          <w:color w:val="auto"/>
          <w:sz w:val="32"/>
          <w:szCs w:val="40"/>
        </w:rPr>
        <w:t>的研究生培养及留青情况，核实财政投入与项目实际人才培养贡献的匹配度；结合研究生学费缴纳及国家补贴发放情况，建立研究生留青率与培养经费拨付的联动机制。鉴于当前培养模式对青岛市人才储备的贡献未达预期，建议重新论证人才培养支持模式</w:t>
      </w:r>
      <w:r>
        <w:rPr>
          <w:rFonts w:hint="eastAsia" w:ascii="仿宋_GB2312" w:hAnsi="仿宋_GB2312" w:eastAsia="仿宋_GB2312" w:cs="仿宋_GB2312"/>
          <w:color w:val="auto"/>
          <w:sz w:val="32"/>
          <w:szCs w:val="40"/>
        </w:rPr>
        <w:t>，重点关注人才留用效果，探索切实可行的人才引育留用路径，真正构建起“引进－培养－留用－发展”的完整链条机制</w:t>
      </w:r>
      <w:r>
        <w:rPr>
          <w:rFonts w:ascii="仿宋_GB2312" w:hAnsi="仿宋_GB2312" w:eastAsia="仿宋_GB2312" w:cs="仿宋_GB2312"/>
          <w:color w:val="auto"/>
          <w:sz w:val="32"/>
          <w:szCs w:val="40"/>
        </w:rPr>
        <w:t>。</w:t>
      </w:r>
    </w:p>
    <w:p>
      <w:pPr>
        <w:adjustRightInd w:val="0"/>
        <w:snapToGrid w:val="0"/>
        <w:spacing w:line="580" w:lineRule="exact"/>
        <w:ind w:firstLine="643" w:firstLineChars="200"/>
        <w:rPr>
          <w:rFonts w:ascii="仿宋_GB2312" w:hAnsi="仿宋_GB2312" w:eastAsia="仿宋_GB2312" w:cs="仿宋_GB2312"/>
          <w:b/>
          <w:bCs/>
          <w:color w:val="auto"/>
          <w:sz w:val="32"/>
          <w:szCs w:val="40"/>
        </w:rPr>
      </w:pPr>
      <w:r>
        <w:rPr>
          <w:rFonts w:hint="eastAsia" w:ascii="仿宋_GB2312" w:hAnsi="仿宋_GB2312" w:eastAsia="仿宋_GB2312" w:cs="仿宋_GB2312"/>
          <w:b/>
          <w:bCs/>
          <w:color w:val="auto"/>
          <w:sz w:val="32"/>
          <w:szCs w:val="40"/>
        </w:rPr>
        <w:t>2.要求认知人工智能研究院项目严格落实任务目标，在未完成整改前暂停资金拨付</w:t>
      </w:r>
    </w:p>
    <w:p>
      <w:pPr>
        <w:adjustRightInd w:val="0"/>
        <w:snapToGrid w:val="0"/>
        <w:spacing w:line="580"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一是</w:t>
      </w:r>
      <w:r>
        <w:rPr>
          <w:rFonts w:ascii="仿宋_GB2312" w:hAnsi="仿宋_GB2312" w:eastAsia="仿宋_GB2312" w:cs="仿宋_GB2312"/>
          <w:color w:val="auto"/>
          <w:sz w:val="32"/>
          <w:szCs w:val="40"/>
        </w:rPr>
        <w:t>建议</w:t>
      </w:r>
      <w:r>
        <w:rPr>
          <w:rFonts w:hint="eastAsia" w:ascii="仿宋_GB2312" w:hAnsi="仿宋_GB2312" w:eastAsia="仿宋_GB2312" w:cs="仿宋_GB2312"/>
          <w:color w:val="auto"/>
          <w:sz w:val="32"/>
          <w:szCs w:val="40"/>
        </w:rPr>
        <w:t>市、区两级联动，督促认知人工智能研究院项目全面落实任务目标，在未完成整改前暂停资金拨付</w:t>
      </w:r>
      <w:r>
        <w:rPr>
          <w:rFonts w:ascii="仿宋_GB2312" w:hAnsi="仿宋_GB2312" w:eastAsia="仿宋_GB2312" w:cs="仿宋_GB2312"/>
          <w:color w:val="auto"/>
          <w:sz w:val="32"/>
          <w:szCs w:val="40"/>
        </w:rPr>
        <w:t>。</w:t>
      </w:r>
      <w:r>
        <w:rPr>
          <w:rFonts w:hint="eastAsia" w:ascii="仿宋_GB2312" w:hAnsi="仿宋_GB2312" w:eastAsia="仿宋_GB2312" w:cs="仿宋_GB2312"/>
          <w:color w:val="auto"/>
          <w:sz w:val="32"/>
          <w:szCs w:val="40"/>
        </w:rPr>
        <w:t>同时，结合考核评估结论</w:t>
      </w:r>
      <w:r>
        <w:rPr>
          <w:rFonts w:ascii="仿宋_GB2312" w:hAnsi="仿宋_GB2312" w:eastAsia="仿宋_GB2312" w:cs="仿宋_GB2312"/>
          <w:color w:val="auto"/>
          <w:sz w:val="32"/>
          <w:szCs w:val="40"/>
        </w:rPr>
        <w:t>，同步清算前期投入</w:t>
      </w:r>
      <w:r>
        <w:rPr>
          <w:rFonts w:hint="eastAsia" w:ascii="仿宋_GB2312" w:hAnsi="仿宋_GB2312" w:eastAsia="仿宋_GB2312" w:cs="仿宋_GB2312"/>
          <w:color w:val="auto"/>
          <w:sz w:val="32"/>
          <w:szCs w:val="40"/>
        </w:rPr>
        <w:t>。并要求山东心法科技</w:t>
      </w:r>
      <w:r>
        <w:rPr>
          <w:rFonts w:ascii="仿宋_GB2312" w:hAnsi="仿宋_GB2312" w:eastAsia="仿宋_GB2312" w:cs="仿宋_GB2312"/>
          <w:color w:val="auto"/>
          <w:sz w:val="32"/>
          <w:szCs w:val="40"/>
        </w:rPr>
        <w:t>对未转移至</w:t>
      </w:r>
      <w:r>
        <w:rPr>
          <w:rFonts w:hint="eastAsia" w:ascii="仿宋_GB2312" w:hAnsi="仿宋_GB2312" w:eastAsia="仿宋_GB2312" w:cs="仿宋_GB2312"/>
          <w:color w:val="auto"/>
          <w:sz w:val="32"/>
          <w:szCs w:val="40"/>
        </w:rPr>
        <w:t>项目承担单位（类认知公司）</w:t>
      </w:r>
      <w:r>
        <w:rPr>
          <w:rFonts w:ascii="仿宋_GB2312" w:hAnsi="仿宋_GB2312" w:eastAsia="仿宋_GB2312" w:cs="仿宋_GB2312"/>
          <w:color w:val="auto"/>
          <w:sz w:val="32"/>
          <w:szCs w:val="40"/>
        </w:rPr>
        <w:t>的知识产权，限期完成权属变更</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lang w:val="en-US" w:eastAsia="zh-CN"/>
        </w:rPr>
        <w:t>同时需与类认知公司建立合理的利润分配机制。</w:t>
      </w:r>
      <w:r>
        <w:rPr>
          <w:rFonts w:hint="eastAsia" w:ascii="仿宋_GB2312" w:hAnsi="仿宋_GB2312" w:eastAsia="仿宋_GB2312" w:cs="仿宋_GB2312"/>
          <w:b/>
          <w:bCs/>
          <w:color w:val="auto"/>
          <w:sz w:val="32"/>
          <w:szCs w:val="40"/>
        </w:rPr>
        <w:t>二是</w:t>
      </w:r>
      <w:r>
        <w:rPr>
          <w:rFonts w:hint="eastAsia" w:ascii="仿宋_GB2312" w:hAnsi="仿宋_GB2312" w:eastAsia="仿宋_GB2312" w:cs="仿宋_GB2312"/>
          <w:color w:val="auto"/>
          <w:sz w:val="32"/>
          <w:szCs w:val="40"/>
        </w:rPr>
        <w:t>要求项目承担单位（类认知公司）按</w:t>
      </w:r>
      <w:r>
        <w:rPr>
          <w:rFonts w:ascii="仿宋_GB2312" w:hAnsi="仿宋_GB2312" w:eastAsia="仿宋_GB2312" w:cs="仿宋_GB2312"/>
          <w:color w:val="auto"/>
          <w:sz w:val="32"/>
          <w:szCs w:val="40"/>
        </w:rPr>
        <w:t>《局区（市）会商项目任务书》</w:t>
      </w:r>
      <w:r>
        <w:rPr>
          <w:rFonts w:hint="eastAsia" w:ascii="仿宋_GB2312" w:hAnsi="仿宋_GB2312" w:eastAsia="仿宋_GB2312" w:cs="仿宋_GB2312"/>
          <w:color w:val="auto"/>
          <w:sz w:val="32"/>
          <w:szCs w:val="40"/>
        </w:rPr>
        <w:t>约定，落实自筹资金，确保项目后续建设有稳定的资金保障，推动任务目标落地。</w:t>
      </w:r>
    </w:p>
    <w:p>
      <w:pPr>
        <w:adjustRightInd w:val="0"/>
        <w:snapToGrid w:val="0"/>
        <w:spacing w:line="580" w:lineRule="exact"/>
        <w:ind w:firstLine="640" w:firstLineChars="200"/>
        <w:rPr>
          <w:rFonts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（三）强化考核目标管理，全面提升任务完成质量与综合效能</w:t>
      </w:r>
    </w:p>
    <w:p>
      <w:pPr>
        <w:adjustRightInd w:val="0"/>
        <w:snapToGrid w:val="0"/>
        <w:spacing w:line="580" w:lineRule="exact"/>
        <w:ind w:firstLine="643" w:firstLineChars="200"/>
        <w:rPr>
          <w:rFonts w:ascii="Segoe UI" w:hAnsi="Segoe UI" w:eastAsia="Segoe UI" w:cs="Segoe UI"/>
          <w:b/>
          <w:bCs/>
          <w:color w:val="auto"/>
          <w:sz w:val="24"/>
          <w:shd w:val="clear" w:color="auto" w:fill="EFF0F1"/>
        </w:rPr>
      </w:pPr>
      <w:r>
        <w:rPr>
          <w:rFonts w:hint="eastAsia" w:ascii="仿宋_GB2312" w:hAnsi="仿宋_GB2312" w:eastAsia="仿宋_GB2312" w:cs="仿宋_GB2312"/>
          <w:b/>
          <w:bCs/>
          <w:color w:val="auto"/>
          <w:sz w:val="32"/>
          <w:szCs w:val="40"/>
        </w:rPr>
        <w:t>1.督促西电青岛研究院按约履行区域科普服务，加强高层次人才引育以筑牢人才蓄水池功能</w:t>
      </w:r>
    </w:p>
    <w:p>
      <w:pPr>
        <w:adjustRightInd w:val="0"/>
        <w:snapToGrid w:val="0"/>
        <w:spacing w:line="580"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建议西电青岛研究院落实社会科普义务，按协议制定科普讲座计划，每年以多种形式免费提供相关学科科普服务，其中通过城阳电视广播节目开展的不少于6次。同时，加快院士工作站申报，提升博士后工作站的吸引力和活跃度，充分发挥工作站在聚集人才、资本、资源、信息及产业方面的聚合作用，强化高层次人才的引进与培育工作。建议城阳区科技局强化对研究院科普服务及人才引育成效的跟踪，把完成情况纳入研究院的年度考核。</w:t>
      </w:r>
    </w:p>
    <w:p>
      <w:pPr>
        <w:pStyle w:val="8"/>
        <w:adjustRightInd w:val="0"/>
        <w:spacing w:line="580" w:lineRule="exact"/>
        <w:ind w:firstLine="643" w:firstLineChars="200"/>
        <w:rPr>
          <w:rFonts w:hAnsi="仿宋_GB2312" w:cs="仿宋_GB2312"/>
          <w:b/>
          <w:bCs/>
          <w:color w:val="auto"/>
          <w:sz w:val="32"/>
          <w:szCs w:val="40"/>
        </w:rPr>
      </w:pPr>
      <w:r>
        <w:rPr>
          <w:rFonts w:hint="eastAsia" w:hAnsi="仿宋_GB2312" w:cs="仿宋_GB2312"/>
          <w:b/>
          <w:bCs/>
          <w:color w:val="auto"/>
          <w:sz w:val="32"/>
          <w:szCs w:val="40"/>
        </w:rPr>
        <w:t>2.督促认知人工智能研究院项目提高企业孵化质量，全面提升目标任务完成质效</w:t>
      </w:r>
    </w:p>
    <w:p>
      <w:pPr>
        <w:adjustRightInd w:val="0"/>
        <w:snapToGrid w:val="0"/>
        <w:spacing w:line="580" w:lineRule="exact"/>
        <w:ind w:firstLine="643" w:firstLineChars="200"/>
        <w:rPr>
          <w:rFonts w:ascii="仿宋_GB2312" w:hAnsi="仿宋_GB2312" w:eastAsia="仿宋_GB2312" w:cs="仿宋_GB2312"/>
          <w:color w:val="auto"/>
          <w:sz w:val="32"/>
          <w:szCs w:val="40"/>
        </w:rPr>
      </w:pPr>
      <w:r>
        <w:rPr>
          <w:rFonts w:ascii="仿宋_GB2312" w:hAnsi="仿宋_GB2312" w:eastAsia="仿宋_GB2312" w:cs="仿宋_GB2312"/>
          <w:b/>
          <w:bCs/>
          <w:color w:val="auto"/>
          <w:sz w:val="32"/>
          <w:szCs w:val="40"/>
        </w:rPr>
        <w:t>一是</w:t>
      </w:r>
      <w:r>
        <w:rPr>
          <w:rFonts w:hint="eastAsia" w:ascii="仿宋_GB2312" w:hAnsi="仿宋_GB2312" w:eastAsia="仿宋_GB2312" w:cs="仿宋_GB2312"/>
          <w:color w:val="auto"/>
          <w:sz w:val="32"/>
          <w:szCs w:val="40"/>
        </w:rPr>
        <w:t>加强目标任务质量考核，</w:t>
      </w:r>
      <w:r>
        <w:rPr>
          <w:rFonts w:ascii="仿宋_GB2312" w:hAnsi="仿宋_GB2312" w:eastAsia="仿宋_GB2312" w:cs="仿宋_GB2312"/>
          <w:color w:val="auto"/>
          <w:sz w:val="32"/>
          <w:szCs w:val="40"/>
        </w:rPr>
        <w:t>提升任务完成质效。</w:t>
      </w:r>
      <w:r>
        <w:rPr>
          <w:rFonts w:hint="eastAsia" w:ascii="仿宋_GB2312" w:hAnsi="仿宋_GB2312" w:eastAsia="仿宋_GB2312" w:cs="仿宋_GB2312"/>
          <w:color w:val="auto"/>
          <w:sz w:val="32"/>
          <w:szCs w:val="40"/>
        </w:rPr>
        <w:t>建议项目主管部门</w:t>
      </w:r>
      <w:r>
        <w:rPr>
          <w:rFonts w:ascii="仿宋_GB2312" w:hAnsi="仿宋_GB2312" w:eastAsia="仿宋_GB2312" w:cs="仿宋_GB2312"/>
          <w:color w:val="auto"/>
          <w:sz w:val="32"/>
          <w:szCs w:val="40"/>
        </w:rPr>
        <w:t>对研究院</w:t>
      </w:r>
      <w:r>
        <w:rPr>
          <w:rFonts w:hint="eastAsia" w:ascii="仿宋_GB2312" w:hAnsi="仿宋_GB2312" w:eastAsia="仿宋_GB2312" w:cs="仿宋_GB2312"/>
          <w:color w:val="auto"/>
          <w:sz w:val="32"/>
          <w:szCs w:val="40"/>
        </w:rPr>
        <w:t>申请及授权专利、</w:t>
      </w:r>
      <w:r>
        <w:rPr>
          <w:rFonts w:ascii="仿宋_GB2312" w:hAnsi="仿宋_GB2312" w:eastAsia="仿宋_GB2312" w:cs="仿宋_GB2312"/>
          <w:color w:val="auto"/>
          <w:sz w:val="32"/>
          <w:szCs w:val="40"/>
        </w:rPr>
        <w:t>人才引进及企业孵化</w:t>
      </w:r>
      <w:r>
        <w:rPr>
          <w:rFonts w:hint="eastAsia" w:ascii="仿宋_GB2312" w:hAnsi="仿宋_GB2312" w:eastAsia="仿宋_GB2312" w:cs="仿宋_GB2312"/>
          <w:color w:val="auto"/>
          <w:sz w:val="32"/>
          <w:szCs w:val="40"/>
        </w:rPr>
        <w:t>等</w:t>
      </w:r>
      <w:r>
        <w:rPr>
          <w:rFonts w:ascii="仿宋_GB2312" w:hAnsi="仿宋_GB2312" w:eastAsia="仿宋_GB2312" w:cs="仿宋_GB2312"/>
          <w:color w:val="auto"/>
          <w:sz w:val="32"/>
          <w:szCs w:val="40"/>
        </w:rPr>
        <w:t>任务</w:t>
      </w:r>
      <w:r>
        <w:rPr>
          <w:rFonts w:hint="eastAsia" w:ascii="仿宋_GB2312" w:hAnsi="仿宋_GB2312" w:eastAsia="仿宋_GB2312" w:cs="仿宋_GB2312"/>
          <w:color w:val="auto"/>
          <w:sz w:val="32"/>
          <w:szCs w:val="40"/>
        </w:rPr>
        <w:t>目标</w:t>
      </w:r>
      <w:r>
        <w:rPr>
          <w:rFonts w:ascii="仿宋_GB2312" w:hAnsi="仿宋_GB2312" w:eastAsia="仿宋_GB2312" w:cs="仿宋_GB2312"/>
          <w:color w:val="auto"/>
          <w:sz w:val="32"/>
          <w:szCs w:val="40"/>
        </w:rPr>
        <w:t>，实行数量与质量双维度评价，重点</w:t>
      </w:r>
      <w:r>
        <w:rPr>
          <w:rFonts w:hint="eastAsia" w:ascii="仿宋_GB2312" w:hAnsi="仿宋_GB2312" w:eastAsia="仿宋_GB2312" w:cs="仿宋_GB2312"/>
          <w:color w:val="auto"/>
          <w:sz w:val="32"/>
          <w:szCs w:val="40"/>
        </w:rPr>
        <w:t>核定</w:t>
      </w:r>
      <w:r>
        <w:rPr>
          <w:rFonts w:ascii="仿宋_GB2312" w:hAnsi="仿宋_GB2312" w:eastAsia="仿宋_GB2312" w:cs="仿宋_GB2312"/>
          <w:color w:val="auto"/>
          <w:sz w:val="32"/>
          <w:szCs w:val="40"/>
        </w:rPr>
        <w:t>质量</w:t>
      </w:r>
      <w:r>
        <w:rPr>
          <w:rFonts w:hint="eastAsia" w:ascii="仿宋_GB2312" w:hAnsi="仿宋_GB2312" w:eastAsia="仿宋_GB2312" w:cs="仿宋_GB2312"/>
          <w:color w:val="auto"/>
          <w:sz w:val="32"/>
          <w:szCs w:val="40"/>
        </w:rPr>
        <w:t>。</w:t>
      </w:r>
      <w:r>
        <w:rPr>
          <w:rFonts w:ascii="仿宋_GB2312" w:hAnsi="仿宋_GB2312" w:eastAsia="仿宋_GB2312" w:cs="仿宋_GB2312"/>
          <w:color w:val="auto"/>
          <w:sz w:val="32"/>
          <w:szCs w:val="40"/>
        </w:rPr>
        <w:t>严格人工智能领域人才引进标准，严控专业匹配度，拓宽对口引才渠道，提升任务完成质效。</w:t>
      </w:r>
      <w:r>
        <w:rPr>
          <w:rFonts w:ascii="仿宋_GB2312" w:hAnsi="仿宋_GB2312" w:eastAsia="仿宋_GB2312" w:cs="仿宋_GB2312"/>
          <w:b/>
          <w:bCs/>
          <w:color w:val="auto"/>
          <w:sz w:val="32"/>
          <w:szCs w:val="40"/>
        </w:rPr>
        <w:t>二是</w:t>
      </w:r>
      <w:r>
        <w:rPr>
          <w:rFonts w:hint="eastAsia" w:ascii="仿宋_GB2312" w:hAnsi="仿宋_GB2312" w:eastAsia="仿宋_GB2312" w:cs="仿宋_GB2312"/>
          <w:color w:val="auto"/>
          <w:sz w:val="32"/>
          <w:szCs w:val="40"/>
        </w:rPr>
        <w:t>提高</w:t>
      </w:r>
      <w:r>
        <w:rPr>
          <w:rFonts w:ascii="仿宋_GB2312" w:hAnsi="仿宋_GB2312" w:eastAsia="仿宋_GB2312" w:cs="仿宋_GB2312"/>
          <w:color w:val="auto"/>
          <w:sz w:val="32"/>
          <w:szCs w:val="40"/>
        </w:rPr>
        <w:t>企业孵化质量。</w:t>
      </w:r>
      <w:r>
        <w:rPr>
          <w:rFonts w:hint="eastAsia" w:ascii="仿宋_GB2312" w:hAnsi="仿宋_GB2312" w:eastAsia="仿宋_GB2312" w:cs="仿宋_GB2312"/>
          <w:color w:val="auto"/>
          <w:sz w:val="32"/>
          <w:szCs w:val="40"/>
        </w:rPr>
        <w:t>建议项目主管部门</w:t>
      </w:r>
      <w:r>
        <w:rPr>
          <w:rFonts w:ascii="仿宋_GB2312" w:hAnsi="仿宋_GB2312" w:eastAsia="仿宋_GB2312" w:cs="仿宋_GB2312"/>
          <w:color w:val="auto"/>
          <w:sz w:val="32"/>
          <w:szCs w:val="40"/>
        </w:rPr>
        <w:t>明确孵化企业与研究方向的契合标准，建立技术、市场等多维度评估机制；</w:t>
      </w:r>
      <w:r>
        <w:rPr>
          <w:rFonts w:hint="eastAsia" w:ascii="仿宋_GB2312" w:hAnsi="仿宋_GB2312" w:eastAsia="仿宋_GB2312" w:cs="仿宋_GB2312"/>
          <w:color w:val="auto"/>
          <w:sz w:val="32"/>
          <w:szCs w:val="40"/>
        </w:rPr>
        <w:t>研究院应</w:t>
      </w:r>
      <w:r>
        <w:rPr>
          <w:rFonts w:ascii="仿宋_GB2312" w:hAnsi="仿宋_GB2312" w:eastAsia="仿宋_GB2312" w:cs="仿宋_GB2312"/>
          <w:color w:val="auto"/>
          <w:sz w:val="32"/>
          <w:szCs w:val="40"/>
        </w:rPr>
        <w:t>强化</w:t>
      </w:r>
      <w:r>
        <w:rPr>
          <w:rFonts w:hint="eastAsia" w:ascii="仿宋_GB2312" w:hAnsi="仿宋_GB2312" w:eastAsia="仿宋_GB2312" w:cs="仿宋_GB2312"/>
          <w:color w:val="auto"/>
          <w:sz w:val="32"/>
          <w:szCs w:val="40"/>
        </w:rPr>
        <w:t>对孵化企业的</w:t>
      </w:r>
      <w:r>
        <w:rPr>
          <w:rFonts w:ascii="仿宋_GB2312" w:hAnsi="仿宋_GB2312" w:eastAsia="仿宋_GB2312" w:cs="仿宋_GB2312"/>
          <w:color w:val="auto"/>
          <w:sz w:val="32"/>
          <w:szCs w:val="40"/>
        </w:rPr>
        <w:t>培育支持，</w:t>
      </w:r>
      <w:r>
        <w:rPr>
          <w:rFonts w:hint="eastAsia" w:ascii="仿宋_GB2312" w:hAnsi="仿宋_GB2312" w:eastAsia="仿宋_GB2312" w:cs="仿宋_GB2312"/>
          <w:color w:val="auto"/>
          <w:sz w:val="32"/>
          <w:szCs w:val="40"/>
        </w:rPr>
        <w:t>助力企业解决技术落地与市场拓展难题，推进企业健康发展。</w:t>
      </w:r>
    </w:p>
    <w:p>
      <w:pPr>
        <w:adjustRightInd w:val="0"/>
        <w:snapToGrid w:val="0"/>
        <w:spacing w:line="580" w:lineRule="exact"/>
        <w:ind w:firstLine="640" w:firstLineChars="200"/>
        <w:rPr>
          <w:rFonts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（四）增强项目对产业升级的带动效能，推动区域产业高质量发展</w:t>
      </w:r>
    </w:p>
    <w:p>
      <w:pPr>
        <w:adjustRightInd w:val="0"/>
        <w:snapToGrid w:val="0"/>
        <w:spacing w:line="580" w:lineRule="exact"/>
        <w:ind w:firstLine="643" w:firstLineChars="200"/>
        <w:rPr>
          <w:rFonts w:ascii="仿宋_GB2312" w:hAnsi="仿宋_GB2312" w:eastAsia="仿宋_GB2312" w:cs="仿宋_GB2312"/>
          <w:b/>
          <w:bCs/>
          <w:color w:val="auto"/>
          <w:sz w:val="32"/>
          <w:szCs w:val="40"/>
        </w:rPr>
      </w:pPr>
      <w:r>
        <w:rPr>
          <w:rFonts w:hint="eastAsia" w:ascii="仿宋_GB2312" w:hAnsi="仿宋_GB2312" w:eastAsia="仿宋_GB2312" w:cs="仿宋_GB2312"/>
          <w:b/>
          <w:bCs/>
          <w:color w:val="auto"/>
          <w:sz w:val="32"/>
          <w:szCs w:val="40"/>
        </w:rPr>
        <w:t>1.强化科研资源整合与产业链协同，为区域产业发展提供支撑</w:t>
      </w:r>
    </w:p>
    <w:p>
      <w:pPr>
        <w:pStyle w:val="8"/>
        <w:adjustRightInd w:val="0"/>
        <w:spacing w:line="580" w:lineRule="exact"/>
        <w:ind w:firstLine="640" w:firstLineChars="200"/>
        <w:rPr>
          <w:rFonts w:hint="eastAsia" w:hAnsi="仿宋_GB2312" w:eastAsia="仿宋_GB2312" w:cs="仿宋_GB2312"/>
          <w:color w:val="auto"/>
          <w:sz w:val="32"/>
          <w:szCs w:val="40"/>
          <w:lang w:eastAsia="zh-CN"/>
        </w:rPr>
      </w:pPr>
      <w:r>
        <w:rPr>
          <w:rFonts w:hint="eastAsia" w:hAnsi="仿宋_GB2312" w:cs="仿宋_GB2312"/>
          <w:color w:val="auto"/>
          <w:sz w:val="32"/>
          <w:szCs w:val="40"/>
        </w:rPr>
        <w:t>市区联动，督促西电青岛研究院不断提升资源整合与区域产业协同方面的服务效能：</w:t>
      </w:r>
      <w:r>
        <w:rPr>
          <w:rFonts w:hAnsi="仿宋_GB2312" w:cs="仿宋_GB2312"/>
          <w:b/>
          <w:bCs/>
          <w:color w:val="auto"/>
          <w:sz w:val="32"/>
          <w:szCs w:val="40"/>
        </w:rPr>
        <w:t>一是</w:t>
      </w:r>
      <w:r>
        <w:rPr>
          <w:rFonts w:hAnsi="仿宋_GB2312" w:cs="仿宋_GB2312"/>
          <w:color w:val="auto"/>
          <w:sz w:val="32"/>
          <w:szCs w:val="40"/>
        </w:rPr>
        <w:t>强化平台资源整合能力。梳理校本部科研力量、基地平台资源和本地企业需求，建立</w:t>
      </w:r>
      <w:r>
        <w:rPr>
          <w:rFonts w:hint="eastAsia" w:hAnsi="仿宋_GB2312" w:cs="仿宋_GB2312"/>
          <w:color w:val="auto"/>
          <w:sz w:val="32"/>
          <w:szCs w:val="40"/>
        </w:rPr>
        <w:t>可动态</w:t>
      </w:r>
      <w:r>
        <w:rPr>
          <w:rFonts w:hAnsi="仿宋_GB2312" w:cs="仿宋_GB2312"/>
          <w:color w:val="auto"/>
          <w:sz w:val="32"/>
          <w:szCs w:val="40"/>
        </w:rPr>
        <w:t>更新的资源信息库。定期组织企业需求对接会，</w:t>
      </w:r>
      <w:r>
        <w:rPr>
          <w:rFonts w:hint="eastAsia" w:hAnsi="仿宋_GB2312" w:cs="仿宋_GB2312"/>
          <w:color w:val="auto"/>
          <w:sz w:val="32"/>
          <w:szCs w:val="40"/>
        </w:rPr>
        <w:t>促进</w:t>
      </w:r>
      <w:r>
        <w:rPr>
          <w:rFonts w:hAnsi="仿宋_GB2312" w:cs="仿宋_GB2312"/>
          <w:color w:val="auto"/>
          <w:sz w:val="32"/>
          <w:szCs w:val="40"/>
        </w:rPr>
        <w:t>西电校本部的技术成果与青岛企业的实际需求精准匹配，同时推动基地内部科研设备共享。</w:t>
      </w:r>
      <w:r>
        <w:rPr>
          <w:rFonts w:hint="eastAsia" w:hAnsi="仿宋_GB2312" w:cs="仿宋_GB2312"/>
          <w:b/>
          <w:bCs/>
          <w:color w:val="auto"/>
          <w:sz w:val="32"/>
          <w:szCs w:val="40"/>
        </w:rPr>
        <w:t>二</w:t>
      </w:r>
      <w:r>
        <w:rPr>
          <w:rFonts w:hAnsi="仿宋_GB2312" w:cs="仿宋_GB2312"/>
          <w:b/>
          <w:bCs/>
          <w:color w:val="auto"/>
          <w:sz w:val="32"/>
          <w:szCs w:val="40"/>
        </w:rPr>
        <w:t>是</w:t>
      </w:r>
      <w:r>
        <w:rPr>
          <w:rFonts w:hAnsi="仿宋_GB2312" w:cs="仿宋_GB2312"/>
          <w:color w:val="auto"/>
          <w:sz w:val="32"/>
          <w:szCs w:val="40"/>
          <w:highlight w:val="none"/>
        </w:rPr>
        <w:t>深化</w:t>
      </w:r>
      <w:r>
        <w:rPr>
          <w:rFonts w:hint="eastAsia" w:hAnsi="仿宋_GB2312" w:cs="仿宋_GB2312"/>
          <w:color w:val="auto"/>
          <w:sz w:val="32"/>
          <w:szCs w:val="40"/>
          <w:highlight w:val="none"/>
          <w:lang w:val="en-US" w:eastAsia="zh-CN"/>
        </w:rPr>
        <w:t>与区域</w:t>
      </w:r>
      <w:r>
        <w:rPr>
          <w:rFonts w:hAnsi="仿宋_GB2312" w:cs="仿宋_GB2312"/>
          <w:color w:val="auto"/>
          <w:sz w:val="32"/>
          <w:szCs w:val="40"/>
          <w:highlight w:val="none"/>
        </w:rPr>
        <w:t>产业</w:t>
      </w:r>
      <w:r>
        <w:rPr>
          <w:rFonts w:hint="eastAsia" w:hAnsi="仿宋_GB2312" w:cs="仿宋_GB2312"/>
          <w:color w:val="auto"/>
          <w:sz w:val="32"/>
          <w:szCs w:val="40"/>
          <w:highlight w:val="none"/>
          <w:lang w:val="en-US" w:eastAsia="zh-CN"/>
        </w:rPr>
        <w:t>的</w:t>
      </w:r>
      <w:r>
        <w:rPr>
          <w:rFonts w:hAnsi="仿宋_GB2312" w:cs="仿宋_GB2312"/>
          <w:color w:val="auto"/>
          <w:sz w:val="32"/>
          <w:szCs w:val="40"/>
          <w:highlight w:val="none"/>
        </w:rPr>
        <w:t>协同</w:t>
      </w:r>
      <w:r>
        <w:rPr>
          <w:rFonts w:hint="eastAsia" w:hAnsi="仿宋_GB2312" w:cs="仿宋_GB2312"/>
          <w:color w:val="auto"/>
          <w:sz w:val="32"/>
          <w:szCs w:val="40"/>
          <w:highlight w:val="none"/>
          <w:lang w:val="en-US" w:eastAsia="zh-CN"/>
        </w:rPr>
        <w:t>合作。针对</w:t>
      </w:r>
      <w:r>
        <w:rPr>
          <w:rFonts w:hAnsi="仿宋_GB2312" w:cs="仿宋_GB2312"/>
          <w:color w:val="auto"/>
          <w:sz w:val="32"/>
          <w:szCs w:val="40"/>
        </w:rPr>
        <w:t>青岛市新一代信息技术产业的发展需求，提供系统性的产业升级解决方案</w:t>
      </w:r>
      <w:r>
        <w:rPr>
          <w:rFonts w:hint="eastAsia" w:hAnsi="仿宋_GB2312" w:cs="仿宋_GB2312"/>
          <w:color w:val="auto"/>
          <w:sz w:val="32"/>
          <w:szCs w:val="40"/>
          <w:lang w:eastAsia="zh-CN"/>
        </w:rPr>
        <w:t>。</w:t>
      </w:r>
      <w:r>
        <w:rPr>
          <w:rFonts w:hAnsi="仿宋_GB2312" w:cs="仿宋_GB2312"/>
          <w:color w:val="auto"/>
          <w:sz w:val="32"/>
          <w:szCs w:val="40"/>
        </w:rPr>
        <w:t>拓展与企业的合作模式</w:t>
      </w:r>
      <w:r>
        <w:rPr>
          <w:rFonts w:hint="eastAsia" w:hAnsi="仿宋_GB2312" w:cs="仿宋_GB2312"/>
          <w:color w:val="auto"/>
          <w:sz w:val="32"/>
          <w:szCs w:val="40"/>
        </w:rPr>
        <w:t>，</w:t>
      </w:r>
      <w:r>
        <w:rPr>
          <w:rFonts w:hAnsi="仿宋_GB2312" w:cs="仿宋_GB2312"/>
          <w:color w:val="auto"/>
          <w:sz w:val="32"/>
          <w:szCs w:val="40"/>
        </w:rPr>
        <w:t>充分释放科研优势与资源整合能力，与本地企业形成高效协同创新机制。</w:t>
      </w:r>
    </w:p>
    <w:p>
      <w:pPr>
        <w:adjustRightInd w:val="0"/>
        <w:snapToGrid w:val="0"/>
        <w:spacing w:line="580" w:lineRule="exact"/>
        <w:ind w:firstLine="643" w:firstLineChars="200"/>
        <w:rPr>
          <w:rFonts w:ascii="仿宋_GB2312" w:hAnsi="仿宋_GB2312" w:eastAsia="仿宋_GB2312" w:cs="仿宋_GB2312"/>
          <w:b/>
          <w:bCs/>
          <w:color w:val="auto"/>
          <w:sz w:val="32"/>
          <w:szCs w:val="40"/>
        </w:rPr>
      </w:pPr>
      <w:r>
        <w:rPr>
          <w:rFonts w:hint="eastAsia" w:ascii="仿宋_GB2312" w:hAnsi="仿宋_GB2312" w:eastAsia="仿宋_GB2312" w:cs="仿宋_GB2312"/>
          <w:b/>
          <w:bCs/>
          <w:color w:val="auto"/>
          <w:sz w:val="32"/>
          <w:szCs w:val="40"/>
        </w:rPr>
        <w:t>2.</w:t>
      </w:r>
      <w:r>
        <w:rPr>
          <w:rFonts w:ascii="仿宋_GB2312" w:hAnsi="仿宋_GB2312" w:eastAsia="仿宋_GB2312" w:cs="仿宋_GB2312"/>
          <w:b/>
          <w:bCs/>
          <w:color w:val="auto"/>
          <w:sz w:val="32"/>
          <w:szCs w:val="40"/>
        </w:rPr>
        <w:t>扩大产业化规模并拓展应用市场</w:t>
      </w:r>
      <w:r>
        <w:rPr>
          <w:rFonts w:hint="eastAsia" w:ascii="仿宋_GB2312" w:hAnsi="仿宋_GB2312" w:eastAsia="仿宋_GB2312" w:cs="仿宋_GB2312"/>
          <w:b/>
          <w:bCs/>
          <w:color w:val="auto"/>
          <w:sz w:val="32"/>
          <w:szCs w:val="40"/>
        </w:rPr>
        <w:t>，全面提升对本地发展的贡献度</w:t>
      </w:r>
    </w:p>
    <w:p>
      <w:pPr>
        <w:adjustRightInd w:val="0"/>
        <w:snapToGrid w:val="0"/>
        <w:spacing w:line="580"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督促</w:t>
      </w:r>
      <w:r>
        <w:rPr>
          <w:rFonts w:ascii="仿宋_GB2312" w:hAnsi="仿宋_GB2312" w:eastAsia="仿宋_GB2312" w:cs="仿宋_GB2312"/>
          <w:color w:val="auto"/>
          <w:sz w:val="32"/>
          <w:szCs w:val="40"/>
        </w:rPr>
        <w:t>认知人工智能研究院</w:t>
      </w:r>
      <w:r>
        <w:rPr>
          <w:rFonts w:hint="eastAsia" w:ascii="仿宋_GB2312" w:hAnsi="仿宋_GB2312" w:eastAsia="仿宋_GB2312" w:cs="仿宋_GB2312"/>
          <w:color w:val="auto"/>
          <w:sz w:val="32"/>
          <w:szCs w:val="40"/>
        </w:rPr>
        <w:t>项目不断</w:t>
      </w:r>
      <w:r>
        <w:rPr>
          <w:rFonts w:ascii="仿宋_GB2312" w:hAnsi="仿宋_GB2312" w:eastAsia="仿宋_GB2312" w:cs="仿宋_GB2312"/>
          <w:color w:val="auto"/>
          <w:sz w:val="32"/>
          <w:szCs w:val="40"/>
        </w:rPr>
        <w:t>提升发展质效</w:t>
      </w:r>
      <w:r>
        <w:rPr>
          <w:rFonts w:hint="eastAsia" w:ascii="仿宋_GB2312" w:hAnsi="仿宋_GB2312" w:eastAsia="仿宋_GB2312" w:cs="仿宋_GB2312"/>
          <w:color w:val="auto"/>
          <w:sz w:val="32"/>
          <w:szCs w:val="40"/>
        </w:rPr>
        <w:t>。</w:t>
      </w:r>
      <w:r>
        <w:rPr>
          <w:rFonts w:ascii="仿宋_GB2312" w:hAnsi="仿宋_GB2312" w:eastAsia="仿宋_GB2312" w:cs="仿宋_GB2312"/>
          <w:b/>
          <w:bCs/>
          <w:color w:val="auto"/>
          <w:sz w:val="32"/>
          <w:szCs w:val="40"/>
        </w:rPr>
        <w:t>一是</w:t>
      </w:r>
      <w:r>
        <w:rPr>
          <w:rFonts w:ascii="仿宋_GB2312" w:hAnsi="仿宋_GB2312" w:eastAsia="仿宋_GB2312" w:cs="仿宋_GB2312"/>
          <w:color w:val="auto"/>
          <w:sz w:val="32"/>
          <w:szCs w:val="40"/>
        </w:rPr>
        <w:t>拓宽研发方</w:t>
      </w:r>
      <w:r>
        <w:rPr>
          <w:rFonts w:hint="eastAsia" w:ascii="仿宋_GB2312" w:hAnsi="仿宋_GB2312" w:eastAsia="仿宋_GB2312" w:cs="仿宋_GB2312"/>
          <w:color w:val="auto"/>
          <w:sz w:val="32"/>
          <w:szCs w:val="40"/>
          <w:lang w:val="en-US" w:eastAsia="zh-CN"/>
        </w:rPr>
        <w:t>向，深化研究深度</w:t>
      </w:r>
      <w:r>
        <w:rPr>
          <w:rFonts w:ascii="仿宋_GB2312" w:hAnsi="仿宋_GB2312" w:eastAsia="仿宋_GB2312" w:cs="仿宋_GB2312"/>
          <w:color w:val="auto"/>
          <w:sz w:val="32"/>
          <w:szCs w:val="40"/>
        </w:rPr>
        <w:t>。在巩固现有特定领域研发优势</w:t>
      </w:r>
      <w:r>
        <w:rPr>
          <w:rFonts w:hint="eastAsia" w:ascii="仿宋_GB2312" w:hAnsi="仿宋_GB2312" w:eastAsia="仿宋_GB2312" w:cs="仿宋_GB2312"/>
          <w:color w:val="auto"/>
          <w:sz w:val="32"/>
          <w:szCs w:val="40"/>
        </w:rPr>
        <w:t>的基础上</w:t>
      </w:r>
      <w:r>
        <w:rPr>
          <w:rFonts w:ascii="仿宋_GB2312" w:hAnsi="仿宋_GB2312" w:eastAsia="仿宋_GB2312" w:cs="仿宋_GB2312"/>
          <w:color w:val="auto"/>
          <w:sz w:val="32"/>
          <w:szCs w:val="40"/>
        </w:rPr>
        <w:t>，</w:t>
      </w:r>
      <w:r>
        <w:rPr>
          <w:rFonts w:hint="eastAsia" w:ascii="仿宋_GB2312" w:hAnsi="仿宋_GB2312" w:eastAsia="仿宋_GB2312" w:cs="仿宋_GB2312"/>
          <w:color w:val="auto"/>
          <w:sz w:val="32"/>
          <w:szCs w:val="40"/>
          <w:lang w:val="en-US" w:eastAsia="zh-CN"/>
        </w:rPr>
        <w:t>提高</w:t>
      </w:r>
      <w:r>
        <w:rPr>
          <w:rFonts w:ascii="仿宋_GB2312" w:hAnsi="仿宋_GB2312" w:eastAsia="仿宋_GB2312" w:cs="仿宋_GB2312"/>
          <w:color w:val="auto"/>
          <w:sz w:val="32"/>
          <w:szCs w:val="40"/>
        </w:rPr>
        <w:t>研发</w:t>
      </w:r>
      <w:r>
        <w:rPr>
          <w:rFonts w:hint="eastAsia" w:ascii="仿宋_GB2312" w:hAnsi="仿宋_GB2312" w:eastAsia="仿宋_GB2312" w:cs="仿宋_GB2312"/>
          <w:color w:val="auto"/>
          <w:sz w:val="32"/>
          <w:szCs w:val="40"/>
        </w:rPr>
        <w:t>覆盖面</w:t>
      </w:r>
      <w:r>
        <w:rPr>
          <w:rFonts w:hint="eastAsia" w:ascii="仿宋_GB2312" w:hAnsi="仿宋_GB2312" w:eastAsia="仿宋_GB2312" w:cs="仿宋_GB2312"/>
          <w:color w:val="auto"/>
          <w:sz w:val="32"/>
          <w:szCs w:val="40"/>
          <w:lang w:val="en-US" w:eastAsia="zh-CN"/>
        </w:rPr>
        <w:t>及研发</w:t>
      </w:r>
      <w:r>
        <w:rPr>
          <w:rFonts w:hint="eastAsia" w:ascii="仿宋_GB2312" w:hAnsi="仿宋_GB2312" w:eastAsia="仿宋_GB2312" w:cs="仿宋_GB2312"/>
          <w:color w:val="auto"/>
          <w:sz w:val="32"/>
          <w:szCs w:val="40"/>
        </w:rPr>
        <w:t>深度</w:t>
      </w:r>
      <w:r>
        <w:rPr>
          <w:rFonts w:hint="eastAsia" w:ascii="仿宋_GB2312" w:hAnsi="仿宋_GB2312" w:eastAsia="仿宋_GB2312" w:cs="仿宋_GB2312"/>
          <w:color w:val="auto"/>
          <w:sz w:val="32"/>
          <w:szCs w:val="40"/>
          <w:lang w:val="en-US" w:eastAsia="zh-CN"/>
        </w:rPr>
        <w:t>，</w:t>
      </w:r>
      <w:r>
        <w:rPr>
          <w:rFonts w:ascii="仿宋_GB2312" w:hAnsi="仿宋_GB2312" w:eastAsia="仿宋_GB2312" w:cs="仿宋_GB2312"/>
          <w:color w:val="auto"/>
          <w:sz w:val="32"/>
          <w:szCs w:val="40"/>
        </w:rPr>
        <w:t>构建具有广泛产业影响力的技术体系</w:t>
      </w:r>
      <w:r>
        <w:rPr>
          <w:rFonts w:hint="eastAsia" w:ascii="仿宋_GB2312" w:hAnsi="仿宋_GB2312" w:eastAsia="仿宋_GB2312" w:cs="仿宋_GB2312"/>
          <w:color w:val="auto"/>
          <w:sz w:val="32"/>
          <w:szCs w:val="40"/>
        </w:rPr>
        <w:t>。</w:t>
      </w:r>
      <w:r>
        <w:rPr>
          <w:rFonts w:ascii="仿宋_GB2312" w:hAnsi="仿宋_GB2312" w:eastAsia="仿宋_GB2312" w:cs="仿宋_GB2312"/>
          <w:b/>
          <w:bCs/>
          <w:color w:val="auto"/>
          <w:sz w:val="32"/>
          <w:szCs w:val="40"/>
        </w:rPr>
        <w:t>二是</w:t>
      </w:r>
      <w:r>
        <w:rPr>
          <w:rFonts w:ascii="仿宋_GB2312" w:hAnsi="仿宋_GB2312" w:eastAsia="仿宋_GB2312" w:cs="仿宋_GB2312"/>
          <w:color w:val="auto"/>
          <w:sz w:val="32"/>
          <w:szCs w:val="40"/>
        </w:rPr>
        <w:t>扩大产业化规模并拓展应用市场。制定</w:t>
      </w:r>
      <w:r>
        <w:rPr>
          <w:rFonts w:hint="eastAsia" w:ascii="仿宋_GB2312" w:hAnsi="仿宋_GB2312" w:eastAsia="仿宋_GB2312" w:cs="仿宋_GB2312"/>
          <w:color w:val="auto"/>
          <w:sz w:val="32"/>
          <w:szCs w:val="40"/>
          <w:lang w:val="en-US" w:eastAsia="zh-CN"/>
        </w:rPr>
        <w:t>合理的</w:t>
      </w:r>
      <w:r>
        <w:rPr>
          <w:rFonts w:ascii="仿宋_GB2312" w:hAnsi="仿宋_GB2312" w:eastAsia="仿宋_GB2312" w:cs="仿宋_GB2312"/>
          <w:color w:val="auto"/>
          <w:sz w:val="32"/>
          <w:szCs w:val="40"/>
        </w:rPr>
        <w:t>市场拓展计划，逐步提高市场普及度。</w:t>
      </w:r>
      <w:r>
        <w:rPr>
          <w:rFonts w:hint="eastAsia" w:ascii="仿宋_GB2312" w:hAnsi="仿宋_GB2312" w:eastAsia="仿宋_GB2312" w:cs="仿宋_GB2312"/>
          <w:color w:val="auto"/>
          <w:sz w:val="32"/>
          <w:szCs w:val="40"/>
          <w:lang w:val="en-US" w:eastAsia="zh-CN"/>
        </w:rPr>
        <w:t>同时，</w:t>
      </w:r>
      <w:r>
        <w:rPr>
          <w:rFonts w:ascii="仿宋_GB2312" w:hAnsi="仿宋_GB2312" w:eastAsia="仿宋_GB2312" w:cs="仿宋_GB2312"/>
          <w:color w:val="auto"/>
          <w:sz w:val="32"/>
          <w:szCs w:val="40"/>
        </w:rPr>
        <w:t>与企业建立长期稳定的合作关系，助力实现社会公众心理健康服务市场的拓展目标。</w:t>
      </w:r>
      <w:r>
        <w:rPr>
          <w:rFonts w:ascii="仿宋_GB2312" w:hAnsi="仿宋_GB2312" w:eastAsia="仿宋_GB2312" w:cs="仿宋_GB2312"/>
          <w:b/>
          <w:bCs/>
          <w:color w:val="auto"/>
          <w:sz w:val="32"/>
          <w:szCs w:val="40"/>
        </w:rPr>
        <w:t>三是</w:t>
      </w:r>
      <w:r>
        <w:rPr>
          <w:rFonts w:ascii="仿宋_GB2312" w:hAnsi="仿宋_GB2312" w:eastAsia="仿宋_GB2312" w:cs="仿宋_GB2312"/>
          <w:color w:val="auto"/>
          <w:sz w:val="32"/>
          <w:szCs w:val="40"/>
        </w:rPr>
        <w:t>提升对本地发展的贡献度。</w:t>
      </w:r>
      <w:r>
        <w:rPr>
          <w:rFonts w:hint="eastAsia" w:ascii="仿宋_GB2312" w:hAnsi="仿宋_GB2312" w:eastAsia="仿宋_GB2312" w:cs="仿宋_GB2312"/>
          <w:color w:val="auto"/>
          <w:sz w:val="32"/>
          <w:szCs w:val="40"/>
        </w:rPr>
        <w:t>通过建立与青岛市相关产业的常态化对接机制</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了解技术需求，提高区域服务覆盖率，</w:t>
      </w:r>
      <w:r>
        <w:rPr>
          <w:rFonts w:hint="eastAsia" w:ascii="仿宋_GB2312" w:hAnsi="仿宋_GB2312" w:eastAsia="仿宋_GB2312" w:cs="仿宋_GB2312"/>
          <w:color w:val="auto"/>
          <w:sz w:val="32"/>
          <w:szCs w:val="40"/>
          <w:lang w:val="en-US" w:eastAsia="zh-CN"/>
        </w:rPr>
        <w:t>带动相关产业发展</w:t>
      </w:r>
      <w:r>
        <w:rPr>
          <w:rFonts w:ascii="仿宋_GB2312" w:hAnsi="仿宋_GB2312" w:eastAsia="仿宋_GB2312" w:cs="仿宋_GB2312"/>
          <w:color w:val="auto"/>
          <w:sz w:val="32"/>
          <w:szCs w:val="40"/>
        </w:rPr>
        <w:t>；制定高新技术企业培育专项计划，筛选具有发展潜力的本地企业，组建专业团队提供技术支持、资源对接等全流程服务，力争培育出更多符合</w:t>
      </w:r>
      <w:r>
        <w:rPr>
          <w:rFonts w:hint="eastAsia" w:ascii="仿宋_GB2312" w:hAnsi="仿宋_GB2312" w:eastAsia="仿宋_GB2312" w:cs="仿宋_GB2312"/>
          <w:color w:val="auto"/>
          <w:sz w:val="32"/>
          <w:szCs w:val="40"/>
        </w:rPr>
        <w:t>标准</w:t>
      </w:r>
      <w:r>
        <w:rPr>
          <w:rFonts w:ascii="仿宋_GB2312" w:hAnsi="仿宋_GB2312" w:eastAsia="仿宋_GB2312" w:cs="仿宋_GB2312"/>
          <w:color w:val="auto"/>
          <w:sz w:val="32"/>
          <w:szCs w:val="40"/>
        </w:rPr>
        <w:t>的高新技术企业，切实为</w:t>
      </w:r>
      <w:r>
        <w:rPr>
          <w:rFonts w:hint="eastAsia" w:ascii="仿宋_GB2312" w:hAnsi="仿宋_GB2312" w:eastAsia="仿宋_GB2312" w:cs="仿宋_GB2312"/>
          <w:color w:val="auto"/>
          <w:sz w:val="32"/>
          <w:szCs w:val="40"/>
        </w:rPr>
        <w:t>本地</w:t>
      </w:r>
      <w:r>
        <w:rPr>
          <w:rFonts w:ascii="仿宋_GB2312" w:hAnsi="仿宋_GB2312" w:eastAsia="仿宋_GB2312" w:cs="仿宋_GB2312"/>
          <w:color w:val="auto"/>
          <w:sz w:val="32"/>
          <w:szCs w:val="40"/>
        </w:rPr>
        <w:t>产业高质量发展注入动能。</w:t>
      </w:r>
    </w:p>
    <w:p>
      <w:pPr>
        <w:adjustRightInd w:val="0"/>
        <w:snapToGrid w:val="0"/>
        <w:spacing w:line="580" w:lineRule="exact"/>
        <w:ind w:firstLine="640" w:firstLineChars="200"/>
        <w:rPr>
          <w:rFonts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（五）强化国际交流平台与地方服务功能，提升研发</w:t>
      </w:r>
      <w:r>
        <w:rPr>
          <w:rFonts w:ascii="楷体_GB2312" w:hAnsi="楷体_GB2312" w:eastAsia="楷体_GB2312" w:cs="楷体_GB2312"/>
          <w:color w:val="auto"/>
          <w:sz w:val="32"/>
          <w:szCs w:val="40"/>
        </w:rPr>
        <w:t>成果</w:t>
      </w:r>
      <w:r>
        <w:rPr>
          <w:rFonts w:hint="eastAsia" w:ascii="楷体_GB2312" w:hAnsi="楷体_GB2312" w:eastAsia="楷体_GB2312" w:cs="楷体_GB2312"/>
          <w:color w:val="auto"/>
          <w:sz w:val="32"/>
          <w:szCs w:val="40"/>
        </w:rPr>
        <w:t>产业化动能与可持续发展能力</w:t>
      </w:r>
    </w:p>
    <w:p>
      <w:pPr>
        <w:adjustRightInd w:val="0"/>
        <w:snapToGrid w:val="0"/>
        <w:spacing w:line="580" w:lineRule="exact"/>
        <w:ind w:firstLine="643" w:firstLineChars="200"/>
        <w:rPr>
          <w:rFonts w:ascii="仿宋_GB2312" w:hAnsi="仿宋_GB2312" w:eastAsia="仿宋_GB2312" w:cs="仿宋_GB2312"/>
          <w:b/>
          <w:bCs/>
          <w:color w:val="auto"/>
          <w:sz w:val="32"/>
          <w:szCs w:val="40"/>
        </w:rPr>
      </w:pPr>
      <w:r>
        <w:rPr>
          <w:rFonts w:hint="eastAsia" w:ascii="仿宋_GB2312" w:hAnsi="仿宋_GB2312" w:eastAsia="仿宋_GB2312" w:cs="仿宋_GB2312"/>
          <w:b/>
          <w:bCs/>
          <w:color w:val="auto"/>
          <w:sz w:val="32"/>
          <w:szCs w:val="40"/>
        </w:rPr>
        <w:t>1.强化</w:t>
      </w:r>
      <w:r>
        <w:rPr>
          <w:rFonts w:ascii="仿宋_GB2312" w:hAnsi="仿宋_GB2312" w:eastAsia="仿宋_GB2312" w:cs="仿宋_GB2312"/>
          <w:b/>
          <w:bCs/>
          <w:color w:val="auto"/>
          <w:sz w:val="32"/>
          <w:szCs w:val="40"/>
        </w:rPr>
        <w:t>西电</w:t>
      </w:r>
      <w:r>
        <w:rPr>
          <w:rFonts w:hint="eastAsia" w:ascii="仿宋_GB2312" w:hAnsi="仿宋_GB2312" w:eastAsia="仿宋_GB2312" w:cs="仿宋_GB2312"/>
          <w:b/>
          <w:bCs/>
          <w:color w:val="auto"/>
          <w:sz w:val="32"/>
          <w:szCs w:val="40"/>
        </w:rPr>
        <w:t>青岛</w:t>
      </w:r>
      <w:r>
        <w:rPr>
          <w:rFonts w:ascii="仿宋_GB2312" w:hAnsi="仿宋_GB2312" w:eastAsia="仿宋_GB2312" w:cs="仿宋_GB2312"/>
          <w:b/>
          <w:bCs/>
          <w:color w:val="auto"/>
          <w:sz w:val="32"/>
          <w:szCs w:val="40"/>
        </w:rPr>
        <w:t>研究</w:t>
      </w:r>
      <w:r>
        <w:rPr>
          <w:rFonts w:hint="eastAsia" w:ascii="仿宋_GB2312" w:hAnsi="仿宋_GB2312" w:eastAsia="仿宋_GB2312" w:cs="仿宋_GB2312"/>
          <w:b/>
          <w:bCs/>
          <w:color w:val="auto"/>
          <w:sz w:val="32"/>
          <w:szCs w:val="40"/>
        </w:rPr>
        <w:t>院</w:t>
      </w:r>
      <w:r>
        <w:rPr>
          <w:rFonts w:ascii="仿宋_GB2312" w:hAnsi="仿宋_GB2312" w:eastAsia="仿宋_GB2312" w:cs="仿宋_GB2312"/>
          <w:b/>
          <w:bCs/>
          <w:color w:val="auto"/>
          <w:sz w:val="32"/>
          <w:szCs w:val="40"/>
        </w:rPr>
        <w:t>的国际交流</w:t>
      </w:r>
      <w:r>
        <w:rPr>
          <w:rFonts w:hint="eastAsia" w:ascii="仿宋_GB2312" w:hAnsi="仿宋_GB2312" w:eastAsia="仿宋_GB2312" w:cs="仿宋_GB2312"/>
          <w:b/>
          <w:bCs/>
          <w:color w:val="auto"/>
          <w:sz w:val="32"/>
          <w:szCs w:val="40"/>
        </w:rPr>
        <w:t>、</w:t>
      </w:r>
      <w:r>
        <w:rPr>
          <w:rFonts w:ascii="仿宋_GB2312" w:hAnsi="仿宋_GB2312" w:eastAsia="仿宋_GB2312" w:cs="仿宋_GB2312"/>
          <w:b/>
          <w:bCs/>
          <w:color w:val="auto"/>
          <w:sz w:val="32"/>
          <w:szCs w:val="40"/>
        </w:rPr>
        <w:t>地方服务功能</w:t>
      </w:r>
      <w:r>
        <w:rPr>
          <w:rFonts w:hint="eastAsia" w:ascii="仿宋_GB2312" w:hAnsi="仿宋_GB2312" w:eastAsia="仿宋_GB2312" w:cs="仿宋_GB2312"/>
          <w:b/>
          <w:bCs/>
          <w:color w:val="auto"/>
          <w:sz w:val="32"/>
          <w:szCs w:val="40"/>
        </w:rPr>
        <w:t>与自我造血能力</w:t>
      </w:r>
    </w:p>
    <w:p>
      <w:pPr>
        <w:adjustRightInd w:val="0"/>
        <w:snapToGrid w:val="0"/>
        <w:spacing w:line="580" w:lineRule="exact"/>
        <w:ind w:firstLine="643" w:firstLineChars="200"/>
        <w:rPr>
          <w:rFonts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一是</w:t>
      </w:r>
      <w:r>
        <w:rPr>
          <w:rFonts w:ascii="仿宋_GB2312" w:hAnsi="仿宋_GB2312" w:eastAsia="仿宋_GB2312" w:cs="仿宋_GB2312"/>
          <w:color w:val="auto"/>
          <w:sz w:val="32"/>
          <w:szCs w:val="40"/>
        </w:rPr>
        <w:t>以产业需求为导向、技术转化为核心、市场机制为驱动，通过深度融入青岛产业生态、强化技术商业化运营、拓展多元化收入渠道、优化政策利用与内部管理，</w:t>
      </w:r>
      <w:r>
        <w:rPr>
          <w:rFonts w:hint="eastAsia" w:ascii="仿宋_GB2312" w:hAnsi="仿宋_GB2312" w:eastAsia="仿宋_GB2312" w:cs="仿宋_GB2312"/>
          <w:color w:val="auto"/>
          <w:sz w:val="32"/>
          <w:szCs w:val="40"/>
        </w:rPr>
        <w:t>提高</w:t>
      </w:r>
      <w:r>
        <w:rPr>
          <w:rFonts w:ascii="仿宋_GB2312" w:hAnsi="仿宋_GB2312" w:eastAsia="仿宋_GB2312" w:cs="仿宋_GB2312"/>
          <w:color w:val="auto"/>
          <w:sz w:val="32"/>
          <w:szCs w:val="40"/>
        </w:rPr>
        <w:t>“自我造血”</w:t>
      </w:r>
      <w:r>
        <w:rPr>
          <w:rFonts w:hint="eastAsia" w:ascii="仿宋_GB2312" w:hAnsi="仿宋_GB2312" w:eastAsia="仿宋_GB2312" w:cs="仿宋_GB2312"/>
          <w:color w:val="auto"/>
          <w:sz w:val="32"/>
          <w:szCs w:val="40"/>
        </w:rPr>
        <w:t>能力。</w:t>
      </w:r>
      <w:r>
        <w:rPr>
          <w:rFonts w:hint="eastAsia" w:ascii="仿宋_GB2312" w:hAnsi="仿宋_GB2312" w:eastAsia="仿宋_GB2312" w:cs="仿宋_GB2312"/>
          <w:b/>
          <w:bCs/>
          <w:color w:val="auto"/>
          <w:sz w:val="32"/>
          <w:szCs w:val="40"/>
        </w:rPr>
        <w:t>二是</w:t>
      </w:r>
      <w:r>
        <w:rPr>
          <w:rFonts w:ascii="仿宋_GB2312" w:hAnsi="仿宋_GB2312" w:eastAsia="仿宋_GB2312" w:cs="仿宋_GB2312"/>
          <w:color w:val="auto"/>
          <w:sz w:val="32"/>
          <w:szCs w:val="40"/>
        </w:rPr>
        <w:t>搭建</w:t>
      </w:r>
      <w:r>
        <w:rPr>
          <w:rFonts w:hint="eastAsia" w:ascii="仿宋_GB2312" w:hAnsi="仿宋_GB2312" w:eastAsia="仿宋_GB2312" w:cs="仿宋_GB2312"/>
          <w:color w:val="auto"/>
          <w:sz w:val="32"/>
          <w:szCs w:val="40"/>
        </w:rPr>
        <w:t>高水平</w:t>
      </w:r>
      <w:r>
        <w:rPr>
          <w:rFonts w:ascii="仿宋_GB2312" w:hAnsi="仿宋_GB2312" w:eastAsia="仿宋_GB2312" w:cs="仿宋_GB2312"/>
          <w:color w:val="auto"/>
          <w:sz w:val="32"/>
          <w:szCs w:val="40"/>
        </w:rPr>
        <w:t>国际交流平台</w:t>
      </w:r>
      <w:r>
        <w:rPr>
          <w:rFonts w:hint="eastAsia" w:ascii="仿宋_GB2312" w:hAnsi="仿宋_GB2312" w:eastAsia="仿宋_GB2312" w:cs="仿宋_GB2312"/>
          <w:color w:val="auto"/>
          <w:sz w:val="32"/>
          <w:szCs w:val="40"/>
        </w:rPr>
        <w:t>，</w:t>
      </w:r>
      <w:r>
        <w:rPr>
          <w:rFonts w:ascii="仿宋_GB2312" w:hAnsi="仿宋_GB2312" w:eastAsia="仿宋_GB2312" w:cs="仿宋_GB2312"/>
          <w:color w:val="auto"/>
          <w:sz w:val="32"/>
          <w:szCs w:val="40"/>
        </w:rPr>
        <w:t>制定国际会议</w:t>
      </w:r>
      <w:r>
        <w:rPr>
          <w:rFonts w:hint="eastAsia" w:ascii="仿宋_GB2312" w:hAnsi="仿宋_GB2312" w:eastAsia="仿宋_GB2312" w:cs="仿宋_GB2312"/>
          <w:color w:val="auto"/>
          <w:sz w:val="32"/>
          <w:szCs w:val="40"/>
        </w:rPr>
        <w:t>年度</w:t>
      </w:r>
      <w:r>
        <w:rPr>
          <w:rFonts w:ascii="仿宋_GB2312" w:hAnsi="仿宋_GB2312" w:eastAsia="仿宋_GB2312" w:cs="仿宋_GB2312"/>
          <w:color w:val="auto"/>
          <w:sz w:val="32"/>
          <w:szCs w:val="40"/>
        </w:rPr>
        <w:t>举办计划，自主承办聚焦信息技术前沿的国际高端论坛，邀请海外知名专家、企业代表参与</w:t>
      </w:r>
      <w:r>
        <w:rPr>
          <w:rFonts w:hint="eastAsia" w:ascii="仿宋_GB2312" w:hAnsi="仿宋_GB2312" w:eastAsia="仿宋_GB2312" w:cs="仿宋_GB2312"/>
          <w:color w:val="auto"/>
          <w:sz w:val="32"/>
          <w:szCs w:val="40"/>
        </w:rPr>
        <w:t>交流；</w:t>
      </w:r>
      <w:r>
        <w:rPr>
          <w:rFonts w:ascii="仿宋_GB2312" w:hAnsi="仿宋_GB2312" w:eastAsia="仿宋_GB2312" w:cs="仿宋_GB2312"/>
          <w:color w:val="auto"/>
          <w:sz w:val="32"/>
          <w:szCs w:val="40"/>
        </w:rPr>
        <w:t>联</w:t>
      </w:r>
      <w:r>
        <w:rPr>
          <w:rFonts w:hint="eastAsia" w:ascii="仿宋_GB2312" w:hAnsi="仿宋_GB2312" w:eastAsia="仿宋_GB2312" w:cs="仿宋_GB2312"/>
          <w:color w:val="auto"/>
          <w:sz w:val="32"/>
          <w:szCs w:val="40"/>
        </w:rPr>
        <w:t>动</w:t>
      </w:r>
      <w:r>
        <w:rPr>
          <w:rFonts w:ascii="仿宋_GB2312" w:hAnsi="仿宋_GB2312" w:eastAsia="仿宋_GB2312" w:cs="仿宋_GB2312"/>
          <w:color w:val="auto"/>
          <w:sz w:val="32"/>
          <w:szCs w:val="40"/>
        </w:rPr>
        <w:t>校本部资源引入国际学术组织合作项目，逐步</w:t>
      </w:r>
      <w:r>
        <w:rPr>
          <w:rFonts w:hint="eastAsia" w:ascii="仿宋_GB2312" w:hAnsi="仿宋_GB2312" w:eastAsia="仿宋_GB2312" w:cs="仿宋_GB2312"/>
          <w:color w:val="auto"/>
          <w:sz w:val="32"/>
          <w:szCs w:val="40"/>
        </w:rPr>
        <w:t>扩大</w:t>
      </w:r>
      <w:r>
        <w:rPr>
          <w:rFonts w:ascii="仿宋_GB2312" w:hAnsi="仿宋_GB2312" w:eastAsia="仿宋_GB2312" w:cs="仿宋_GB2312"/>
          <w:color w:val="auto"/>
          <w:sz w:val="32"/>
          <w:szCs w:val="40"/>
        </w:rPr>
        <w:t>国际影响力。</w:t>
      </w:r>
      <w:r>
        <w:rPr>
          <w:rFonts w:hint="eastAsia" w:ascii="仿宋_GB2312" w:hAnsi="仿宋_GB2312" w:eastAsia="仿宋_GB2312" w:cs="仿宋_GB2312"/>
          <w:color w:val="auto"/>
          <w:sz w:val="32"/>
          <w:szCs w:val="40"/>
        </w:rPr>
        <w:t>同时，</w:t>
      </w:r>
      <w:r>
        <w:rPr>
          <w:rFonts w:ascii="仿宋_GB2312" w:hAnsi="仿宋_GB2312" w:eastAsia="仿宋_GB2312" w:cs="仿宋_GB2312"/>
          <w:color w:val="auto"/>
          <w:sz w:val="32"/>
          <w:szCs w:val="40"/>
        </w:rPr>
        <w:t>深化与城阳区教育系统的</w:t>
      </w:r>
      <w:r>
        <w:rPr>
          <w:rFonts w:hint="eastAsia" w:ascii="仿宋_GB2312" w:hAnsi="仿宋_GB2312" w:eastAsia="仿宋_GB2312" w:cs="仿宋_GB2312"/>
          <w:color w:val="auto"/>
          <w:sz w:val="32"/>
          <w:szCs w:val="40"/>
        </w:rPr>
        <w:t>常态化</w:t>
      </w:r>
      <w:r>
        <w:rPr>
          <w:rFonts w:ascii="仿宋_GB2312" w:hAnsi="仿宋_GB2312" w:eastAsia="仿宋_GB2312" w:cs="仿宋_GB2312"/>
          <w:color w:val="auto"/>
          <w:sz w:val="32"/>
          <w:szCs w:val="40"/>
        </w:rPr>
        <w:t>合作</w:t>
      </w:r>
      <w:r>
        <w:rPr>
          <w:rFonts w:hint="eastAsia" w:ascii="仿宋_GB2312" w:hAnsi="仿宋_GB2312" w:eastAsia="仿宋_GB2312" w:cs="仿宋_GB2312"/>
          <w:color w:val="auto"/>
          <w:sz w:val="32"/>
          <w:szCs w:val="40"/>
        </w:rPr>
        <w:t>，制定</w:t>
      </w:r>
      <w:r>
        <w:rPr>
          <w:rFonts w:ascii="仿宋_GB2312" w:hAnsi="仿宋_GB2312" w:eastAsia="仿宋_GB2312" w:cs="仿宋_GB2312"/>
          <w:color w:val="auto"/>
          <w:sz w:val="32"/>
          <w:szCs w:val="40"/>
        </w:rPr>
        <w:t>科普</w:t>
      </w:r>
      <w:r>
        <w:rPr>
          <w:rFonts w:hint="eastAsia" w:ascii="仿宋_GB2312" w:hAnsi="仿宋_GB2312" w:eastAsia="仿宋_GB2312" w:cs="仿宋_GB2312"/>
          <w:color w:val="auto"/>
          <w:sz w:val="32"/>
          <w:szCs w:val="40"/>
        </w:rPr>
        <w:t>计划</w:t>
      </w:r>
      <w:r>
        <w:rPr>
          <w:rFonts w:ascii="仿宋_GB2312" w:hAnsi="仿宋_GB2312" w:eastAsia="仿宋_GB2312" w:cs="仿宋_GB2312"/>
          <w:color w:val="auto"/>
          <w:sz w:val="32"/>
          <w:szCs w:val="40"/>
        </w:rPr>
        <w:t>，</w:t>
      </w:r>
      <w:r>
        <w:rPr>
          <w:rFonts w:hint="eastAsia" w:ascii="仿宋_GB2312" w:hAnsi="仿宋_GB2312" w:eastAsia="仿宋_GB2312" w:cs="仿宋_GB2312"/>
          <w:color w:val="auto"/>
          <w:sz w:val="32"/>
          <w:szCs w:val="40"/>
        </w:rPr>
        <w:t>定期</w:t>
      </w:r>
      <w:r>
        <w:rPr>
          <w:rFonts w:ascii="仿宋_GB2312" w:hAnsi="仿宋_GB2312" w:eastAsia="仿宋_GB2312" w:cs="仿宋_GB2312"/>
          <w:color w:val="auto"/>
          <w:sz w:val="32"/>
          <w:szCs w:val="40"/>
        </w:rPr>
        <w:t>安排教授或研究生走进中小学开展科普课堂，每学期至少开放两次基地实验室供学生参观体验；为城阳区相关学科教师提供科研项目参与名额，定期组织教学能力提升研讨会，将基地打造成</w:t>
      </w:r>
      <w:r>
        <w:rPr>
          <w:rFonts w:hint="eastAsia" w:ascii="仿宋_GB2312" w:hAnsi="仿宋_GB2312" w:eastAsia="仿宋_GB2312" w:cs="仿宋_GB2312"/>
          <w:color w:val="auto"/>
          <w:sz w:val="32"/>
          <w:szCs w:val="40"/>
        </w:rPr>
        <w:t>校外科普教育</w:t>
      </w:r>
      <w:r>
        <w:rPr>
          <w:rFonts w:ascii="仿宋_GB2312" w:hAnsi="仿宋_GB2312" w:eastAsia="仿宋_GB2312" w:cs="仿宋_GB2312"/>
          <w:color w:val="auto"/>
          <w:sz w:val="32"/>
          <w:szCs w:val="40"/>
        </w:rPr>
        <w:t>常态化</w:t>
      </w:r>
      <w:r>
        <w:rPr>
          <w:rFonts w:hint="eastAsia" w:ascii="仿宋_GB2312" w:hAnsi="仿宋_GB2312" w:eastAsia="仿宋_GB2312" w:cs="仿宋_GB2312"/>
          <w:color w:val="auto"/>
          <w:sz w:val="32"/>
          <w:szCs w:val="40"/>
        </w:rPr>
        <w:t>阵</w:t>
      </w:r>
      <w:r>
        <w:rPr>
          <w:rFonts w:ascii="仿宋_GB2312" w:hAnsi="仿宋_GB2312" w:eastAsia="仿宋_GB2312" w:cs="仿宋_GB2312"/>
          <w:color w:val="auto"/>
          <w:sz w:val="32"/>
          <w:szCs w:val="40"/>
        </w:rPr>
        <w:t>地。</w:t>
      </w:r>
    </w:p>
    <w:p>
      <w:pPr>
        <w:adjustRightInd w:val="0"/>
        <w:snapToGrid w:val="0"/>
        <w:spacing w:line="580" w:lineRule="exact"/>
        <w:ind w:firstLine="643" w:firstLineChars="200"/>
        <w:rPr>
          <w:rFonts w:ascii="仿宋_GB2312" w:hAnsi="仿宋_GB2312" w:eastAsia="仿宋_GB2312" w:cs="仿宋_GB2312"/>
          <w:b/>
          <w:bCs/>
          <w:color w:val="auto"/>
          <w:sz w:val="32"/>
          <w:szCs w:val="40"/>
        </w:rPr>
      </w:pPr>
      <w:r>
        <w:rPr>
          <w:rFonts w:hint="eastAsia" w:ascii="仿宋_GB2312" w:hAnsi="仿宋_GB2312" w:eastAsia="仿宋_GB2312" w:cs="仿宋_GB2312"/>
          <w:b/>
          <w:bCs/>
          <w:color w:val="auto"/>
          <w:sz w:val="32"/>
          <w:szCs w:val="40"/>
        </w:rPr>
        <w:t>2.提升认知人工智能研究院项目自身经营能力，</w:t>
      </w:r>
      <w:r>
        <w:rPr>
          <w:rFonts w:ascii="仿宋_GB2312" w:hAnsi="仿宋_GB2312" w:eastAsia="仿宋_GB2312" w:cs="仿宋_GB2312"/>
          <w:b/>
          <w:bCs/>
          <w:color w:val="auto"/>
          <w:sz w:val="32"/>
          <w:szCs w:val="40"/>
        </w:rPr>
        <w:t>增强成果</w:t>
      </w:r>
      <w:r>
        <w:rPr>
          <w:rFonts w:hint="eastAsia" w:ascii="仿宋_GB2312" w:hAnsi="仿宋_GB2312" w:eastAsia="仿宋_GB2312" w:cs="仿宋_GB2312"/>
          <w:b/>
          <w:bCs/>
          <w:color w:val="auto"/>
          <w:sz w:val="32"/>
          <w:szCs w:val="40"/>
        </w:rPr>
        <w:t>产业化动能及可持续发展能力</w:t>
      </w:r>
    </w:p>
    <w:p>
      <w:pPr>
        <w:adjustRightInd w:val="0"/>
        <w:snapToGrid w:val="0"/>
        <w:spacing w:line="580"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督促认知人工智能研究院项目构建可持续运营模式，减少对财政投入的依赖，</w:t>
      </w:r>
      <w:r>
        <w:rPr>
          <w:rFonts w:ascii="仿宋_GB2312" w:hAnsi="仿宋_GB2312" w:eastAsia="仿宋_GB2312" w:cs="仿宋_GB2312"/>
          <w:color w:val="auto"/>
          <w:sz w:val="32"/>
          <w:szCs w:val="40"/>
        </w:rPr>
        <w:t>破解资金与人才可持续难题</w:t>
      </w:r>
      <w:r>
        <w:rPr>
          <w:rFonts w:hint="eastAsia" w:ascii="仿宋_GB2312" w:hAnsi="仿宋_GB2312" w:eastAsia="仿宋_GB2312" w:cs="仿宋_GB2312"/>
          <w:color w:val="auto"/>
          <w:sz w:val="32"/>
          <w:szCs w:val="40"/>
        </w:rPr>
        <w:t>。加强与</w:t>
      </w:r>
      <w:r>
        <w:rPr>
          <w:rFonts w:ascii="仿宋_GB2312" w:hAnsi="仿宋_GB2312" w:eastAsia="仿宋_GB2312" w:cs="仿宋_GB2312"/>
          <w:color w:val="auto"/>
          <w:sz w:val="32"/>
          <w:szCs w:val="40"/>
        </w:rPr>
        <w:t>企业和特殊人群服务机构</w:t>
      </w:r>
      <w:r>
        <w:rPr>
          <w:rFonts w:hint="eastAsia" w:ascii="仿宋_GB2312" w:hAnsi="仿宋_GB2312" w:eastAsia="仿宋_GB2312" w:cs="仿宋_GB2312"/>
          <w:color w:val="auto"/>
          <w:sz w:val="32"/>
          <w:szCs w:val="40"/>
        </w:rPr>
        <w:t>的对接</w:t>
      </w:r>
      <w:r>
        <w:rPr>
          <w:rFonts w:ascii="仿宋_GB2312" w:hAnsi="仿宋_GB2312" w:eastAsia="仿宋_GB2312" w:cs="仿宋_GB2312"/>
          <w:color w:val="auto"/>
          <w:sz w:val="32"/>
          <w:szCs w:val="40"/>
        </w:rPr>
        <w:t>，建立“技术服务+成果分成”的盈利模式，将产业化收益</w:t>
      </w:r>
      <w:r>
        <w:rPr>
          <w:rFonts w:hint="eastAsia" w:ascii="仿宋_GB2312" w:hAnsi="仿宋_GB2312" w:eastAsia="仿宋_GB2312" w:cs="仿宋_GB2312"/>
          <w:color w:val="auto"/>
          <w:sz w:val="32"/>
          <w:szCs w:val="40"/>
        </w:rPr>
        <w:t>反哺</w:t>
      </w:r>
      <w:r>
        <w:rPr>
          <w:rFonts w:ascii="仿宋_GB2312" w:hAnsi="仿宋_GB2312" w:eastAsia="仿宋_GB2312" w:cs="仿宋_GB2312"/>
          <w:color w:val="auto"/>
          <w:sz w:val="32"/>
          <w:szCs w:val="40"/>
        </w:rPr>
        <w:t>研发，形成资金良性循环</w:t>
      </w:r>
      <w:r>
        <w:rPr>
          <w:rFonts w:hint="eastAsia" w:ascii="仿宋_GB2312" w:hAnsi="仿宋_GB2312" w:eastAsia="仿宋_GB2312" w:cs="仿宋_GB2312"/>
          <w:color w:val="auto"/>
          <w:sz w:val="32"/>
          <w:szCs w:val="40"/>
        </w:rPr>
        <w:t>；</w:t>
      </w:r>
      <w:r>
        <w:rPr>
          <w:rFonts w:ascii="仿宋_GB2312" w:hAnsi="仿宋_GB2312" w:eastAsia="仿宋_GB2312" w:cs="仿宋_GB2312"/>
          <w:color w:val="auto"/>
          <w:sz w:val="32"/>
          <w:szCs w:val="40"/>
        </w:rPr>
        <w:t>优化人才激励机制，吸引青年人才，稳定团队结构。</w:t>
      </w:r>
      <w:r>
        <w:rPr>
          <w:rFonts w:hint="eastAsia" w:ascii="仿宋_GB2312" w:hAnsi="仿宋_GB2312" w:eastAsia="仿宋_GB2312" w:cs="仿宋_GB2312"/>
          <w:color w:val="auto"/>
          <w:sz w:val="32"/>
          <w:szCs w:val="40"/>
        </w:rPr>
        <w:t>同时，结合自身经营实际完善公司</w:t>
      </w:r>
      <w:r>
        <w:rPr>
          <w:rFonts w:ascii="仿宋_GB2312" w:hAnsi="仿宋_GB2312" w:eastAsia="仿宋_GB2312" w:cs="仿宋_GB2312"/>
          <w:color w:val="auto"/>
          <w:sz w:val="32"/>
          <w:szCs w:val="40"/>
        </w:rPr>
        <w:t>治理</w:t>
      </w:r>
      <w:r>
        <w:rPr>
          <w:rFonts w:hint="eastAsia" w:ascii="仿宋_GB2312" w:hAnsi="仿宋_GB2312" w:eastAsia="仿宋_GB2312" w:cs="仿宋_GB2312"/>
          <w:color w:val="auto"/>
          <w:sz w:val="32"/>
          <w:szCs w:val="40"/>
        </w:rPr>
        <w:t>，提升</w:t>
      </w:r>
      <w:r>
        <w:rPr>
          <w:rFonts w:ascii="仿宋_GB2312" w:hAnsi="仿宋_GB2312" w:eastAsia="仿宋_GB2312" w:cs="仿宋_GB2312"/>
          <w:color w:val="auto"/>
          <w:sz w:val="32"/>
          <w:szCs w:val="40"/>
        </w:rPr>
        <w:t>盈利能力，聚焦</w:t>
      </w:r>
      <w:r>
        <w:rPr>
          <w:rFonts w:hint="eastAsia" w:ascii="仿宋_GB2312" w:hAnsi="仿宋_GB2312" w:eastAsia="仿宋_GB2312" w:cs="仿宋_GB2312"/>
          <w:color w:val="auto"/>
          <w:sz w:val="32"/>
          <w:szCs w:val="40"/>
        </w:rPr>
        <w:t>营收增长与</w:t>
      </w:r>
      <w:r>
        <w:rPr>
          <w:rFonts w:ascii="仿宋_GB2312" w:hAnsi="仿宋_GB2312" w:eastAsia="仿宋_GB2312" w:cs="仿宋_GB2312"/>
          <w:color w:val="auto"/>
          <w:sz w:val="32"/>
          <w:szCs w:val="40"/>
        </w:rPr>
        <w:t>创新能力</w:t>
      </w:r>
      <w:r>
        <w:rPr>
          <w:rFonts w:hint="eastAsia" w:ascii="仿宋_GB2312" w:hAnsi="仿宋_GB2312" w:eastAsia="仿宋_GB2312" w:cs="仿宋_GB2312"/>
          <w:color w:val="auto"/>
          <w:sz w:val="32"/>
          <w:szCs w:val="40"/>
        </w:rPr>
        <w:t>提升</w:t>
      </w:r>
      <w:r>
        <w:rPr>
          <w:rFonts w:ascii="仿宋_GB2312" w:hAnsi="仿宋_GB2312" w:eastAsia="仿宋_GB2312" w:cs="仿宋_GB2312"/>
          <w:color w:val="auto"/>
          <w:sz w:val="32"/>
          <w:szCs w:val="40"/>
          <w:highlight w:val="none"/>
        </w:rPr>
        <w:t>，</w:t>
      </w:r>
      <w:r>
        <w:rPr>
          <w:rFonts w:hint="eastAsia" w:ascii="仿宋_GB2312" w:hAnsi="仿宋_GB2312" w:eastAsia="仿宋_GB2312" w:cs="仿宋_GB2312"/>
          <w:color w:val="auto"/>
          <w:sz w:val="32"/>
          <w:szCs w:val="40"/>
          <w:highlight w:val="none"/>
        </w:rPr>
        <w:t>在此基础上合理规划</w:t>
      </w:r>
      <w:r>
        <w:rPr>
          <w:rFonts w:ascii="仿宋_GB2312" w:hAnsi="仿宋_GB2312" w:eastAsia="仿宋_GB2312" w:cs="仿宋_GB2312"/>
          <w:color w:val="auto"/>
          <w:sz w:val="32"/>
          <w:szCs w:val="40"/>
          <w:highlight w:val="none"/>
        </w:rPr>
        <w:t>上市目标</w:t>
      </w:r>
      <w:r>
        <w:rPr>
          <w:rFonts w:hint="eastAsia" w:ascii="仿宋_GB2312" w:hAnsi="仿宋_GB2312" w:eastAsia="仿宋_GB2312" w:cs="仿宋_GB2312"/>
          <w:color w:val="auto"/>
          <w:sz w:val="32"/>
          <w:szCs w:val="40"/>
        </w:rPr>
        <w:t>。</w:t>
      </w:r>
    </w:p>
    <w:p>
      <w:pPr>
        <w:adjustRightInd w:val="0"/>
        <w:snapToGrid w:val="0"/>
        <w:spacing w:line="580" w:lineRule="exact"/>
        <w:rPr>
          <w:rFonts w:hint="eastAsia" w:ascii="仿宋_GB2312" w:hAnsi="仿宋_GB2312" w:eastAsia="仿宋_GB2312" w:cs="仿宋_GB2312"/>
          <w:color w:val="auto"/>
          <w:sz w:val="32"/>
          <w:szCs w:val="40"/>
          <w:lang w:val="en-US" w:eastAsia="zh-CN"/>
        </w:rPr>
      </w:pPr>
    </w:p>
    <w:sectPr>
      <w:footerReference r:id="rId4" w:type="default"/>
      <w:pgSz w:w="11906" w:h="16838"/>
      <w:pgMar w:top="2098" w:right="1474" w:bottom="1984" w:left="1587" w:header="851" w:footer="1361" w:gutter="0"/>
      <w:pgNumType w:start="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00022FF" w:usb1="C000205B" w:usb2="00000009" w:usb3="00000000" w:csb0="200001DF" w:csb1="2008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  \* MERGEFORMAT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6"/>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  \* MERGEFORMAT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9"/>
        <w:snapToGrid w:val="0"/>
        <w:rPr>
          <w:rFonts w:hint="default"/>
          <w:color w:val="auto"/>
          <w:lang w:val="en-US" w:eastAsia="zh-CN"/>
        </w:rPr>
      </w:pPr>
      <w:r>
        <w:rPr>
          <w:rStyle w:val="17"/>
          <w:color w:val="0000FF"/>
        </w:rPr>
        <w:footnoteRef/>
      </w:r>
      <w:r>
        <w:rPr>
          <w:rFonts w:hint="eastAsia"/>
          <w:color w:val="0000FF"/>
          <w:lang w:val="en-US" w:eastAsia="zh-CN"/>
        </w:rPr>
        <w:t xml:space="preserve"> </w:t>
      </w:r>
      <w:r>
        <w:rPr>
          <w:rFonts w:hint="eastAsia" w:ascii="宋体" w:hAnsi="宋体" w:eastAsia="宋体" w:cs="宋体"/>
          <w:color w:val="auto"/>
          <w:lang w:val="en-US" w:eastAsia="zh-CN"/>
        </w:rPr>
        <w:t>项目设立依据的《青岛市科学技术局局区（市）会商专项实施细则（试行）》（青科规〔2019〕3号）已到期，最新政策文件为《青岛市科学技术局局区（市）会商专项实施细则》（青科规〔2024〕1号）（2024年10月22日起施行，有效期至2026年10月22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MjBmOTNiM2VhZmRjMDJlZjQzMjhjZWVkYmFiMTkifQ=="/>
  </w:docVars>
  <w:rsids>
    <w:rsidRoot w:val="00172A27"/>
    <w:rsid w:val="000E49B2"/>
    <w:rsid w:val="00172A27"/>
    <w:rsid w:val="001C2B96"/>
    <w:rsid w:val="0021272E"/>
    <w:rsid w:val="00243C1C"/>
    <w:rsid w:val="004777C4"/>
    <w:rsid w:val="005A0D87"/>
    <w:rsid w:val="006C6A71"/>
    <w:rsid w:val="008B73C2"/>
    <w:rsid w:val="00AE2DBA"/>
    <w:rsid w:val="00C339C4"/>
    <w:rsid w:val="017240DE"/>
    <w:rsid w:val="024A4D6E"/>
    <w:rsid w:val="029C06D4"/>
    <w:rsid w:val="02BD0B19"/>
    <w:rsid w:val="033E061E"/>
    <w:rsid w:val="03B05CC2"/>
    <w:rsid w:val="04325832"/>
    <w:rsid w:val="044C66E6"/>
    <w:rsid w:val="05052515"/>
    <w:rsid w:val="054C7DEB"/>
    <w:rsid w:val="057904EC"/>
    <w:rsid w:val="0592649C"/>
    <w:rsid w:val="066E1E57"/>
    <w:rsid w:val="067F4DD2"/>
    <w:rsid w:val="06C90C44"/>
    <w:rsid w:val="07487DBA"/>
    <w:rsid w:val="07875D27"/>
    <w:rsid w:val="07AF2552"/>
    <w:rsid w:val="081042BE"/>
    <w:rsid w:val="08122176"/>
    <w:rsid w:val="08AE2FD8"/>
    <w:rsid w:val="08C51929"/>
    <w:rsid w:val="093D1BB3"/>
    <w:rsid w:val="095964BF"/>
    <w:rsid w:val="09B8042A"/>
    <w:rsid w:val="09F805FE"/>
    <w:rsid w:val="0A7F4B24"/>
    <w:rsid w:val="0AD32091"/>
    <w:rsid w:val="0B7A5872"/>
    <w:rsid w:val="0B83481A"/>
    <w:rsid w:val="0BA07177"/>
    <w:rsid w:val="0BA776F6"/>
    <w:rsid w:val="0C49668E"/>
    <w:rsid w:val="0CE455F2"/>
    <w:rsid w:val="0D3350ED"/>
    <w:rsid w:val="0D582A11"/>
    <w:rsid w:val="0DB35BA8"/>
    <w:rsid w:val="0EB03804"/>
    <w:rsid w:val="0EB46C44"/>
    <w:rsid w:val="0ED71A24"/>
    <w:rsid w:val="0EE31A51"/>
    <w:rsid w:val="0EEA75B3"/>
    <w:rsid w:val="0EF557A7"/>
    <w:rsid w:val="0F0A0160"/>
    <w:rsid w:val="100867A3"/>
    <w:rsid w:val="106A3C74"/>
    <w:rsid w:val="11254C0C"/>
    <w:rsid w:val="12406EAF"/>
    <w:rsid w:val="131838E6"/>
    <w:rsid w:val="139D3C46"/>
    <w:rsid w:val="147B758D"/>
    <w:rsid w:val="174E7574"/>
    <w:rsid w:val="17627963"/>
    <w:rsid w:val="17BA1B57"/>
    <w:rsid w:val="181F7418"/>
    <w:rsid w:val="18CB084B"/>
    <w:rsid w:val="1927260B"/>
    <w:rsid w:val="196B7903"/>
    <w:rsid w:val="1AC30CF2"/>
    <w:rsid w:val="1B0442B2"/>
    <w:rsid w:val="1B7961EC"/>
    <w:rsid w:val="1B8E3FD0"/>
    <w:rsid w:val="1C230D08"/>
    <w:rsid w:val="1C4C378F"/>
    <w:rsid w:val="1C5631F7"/>
    <w:rsid w:val="1C9254B2"/>
    <w:rsid w:val="1CE55107"/>
    <w:rsid w:val="1E3C7016"/>
    <w:rsid w:val="1EC26CCB"/>
    <w:rsid w:val="1ED94B85"/>
    <w:rsid w:val="1FB04E73"/>
    <w:rsid w:val="213A031C"/>
    <w:rsid w:val="217B561C"/>
    <w:rsid w:val="21B82BA7"/>
    <w:rsid w:val="229D5769"/>
    <w:rsid w:val="238916A4"/>
    <w:rsid w:val="23E525BE"/>
    <w:rsid w:val="23E70A69"/>
    <w:rsid w:val="24151D5F"/>
    <w:rsid w:val="24316EB8"/>
    <w:rsid w:val="24A01C97"/>
    <w:rsid w:val="24CE6B91"/>
    <w:rsid w:val="24EA3E14"/>
    <w:rsid w:val="26D81F98"/>
    <w:rsid w:val="27971BEF"/>
    <w:rsid w:val="27CE7A10"/>
    <w:rsid w:val="281731DB"/>
    <w:rsid w:val="286B210C"/>
    <w:rsid w:val="290B6505"/>
    <w:rsid w:val="295D45E6"/>
    <w:rsid w:val="299C7DDA"/>
    <w:rsid w:val="2A055A03"/>
    <w:rsid w:val="2AC519B8"/>
    <w:rsid w:val="2B5A51ED"/>
    <w:rsid w:val="2BC87C0C"/>
    <w:rsid w:val="2C667929"/>
    <w:rsid w:val="2CF77A09"/>
    <w:rsid w:val="2DC8748F"/>
    <w:rsid w:val="2DF216C8"/>
    <w:rsid w:val="2E146A13"/>
    <w:rsid w:val="2E297297"/>
    <w:rsid w:val="2E2D686F"/>
    <w:rsid w:val="2E3A5DFF"/>
    <w:rsid w:val="2EA22160"/>
    <w:rsid w:val="2EA83A0D"/>
    <w:rsid w:val="2EB857A7"/>
    <w:rsid w:val="2F0A0127"/>
    <w:rsid w:val="2F1403FE"/>
    <w:rsid w:val="2F373384"/>
    <w:rsid w:val="2F6173BC"/>
    <w:rsid w:val="2F8F217B"/>
    <w:rsid w:val="3041265D"/>
    <w:rsid w:val="307F4548"/>
    <w:rsid w:val="310962B6"/>
    <w:rsid w:val="311968FF"/>
    <w:rsid w:val="312A66BD"/>
    <w:rsid w:val="31444930"/>
    <w:rsid w:val="315C7B72"/>
    <w:rsid w:val="318A3499"/>
    <w:rsid w:val="319D6E9C"/>
    <w:rsid w:val="31FD7291"/>
    <w:rsid w:val="32AE0B6A"/>
    <w:rsid w:val="3308367A"/>
    <w:rsid w:val="339E5591"/>
    <w:rsid w:val="33BA5870"/>
    <w:rsid w:val="342854F0"/>
    <w:rsid w:val="34E74F36"/>
    <w:rsid w:val="34FE3CD8"/>
    <w:rsid w:val="351C6AC4"/>
    <w:rsid w:val="355A0FF4"/>
    <w:rsid w:val="35627A6C"/>
    <w:rsid w:val="35794D49"/>
    <w:rsid w:val="3584630C"/>
    <w:rsid w:val="35D02E94"/>
    <w:rsid w:val="367A5AEE"/>
    <w:rsid w:val="36B44275"/>
    <w:rsid w:val="371141C3"/>
    <w:rsid w:val="3769794D"/>
    <w:rsid w:val="37B9413F"/>
    <w:rsid w:val="37C745B3"/>
    <w:rsid w:val="384D025B"/>
    <w:rsid w:val="3854001A"/>
    <w:rsid w:val="38DB3237"/>
    <w:rsid w:val="39823DEF"/>
    <w:rsid w:val="39B00FBE"/>
    <w:rsid w:val="39D63EB2"/>
    <w:rsid w:val="39DD6E89"/>
    <w:rsid w:val="3AD9419B"/>
    <w:rsid w:val="3AE01D98"/>
    <w:rsid w:val="3BBD1E1E"/>
    <w:rsid w:val="3C5E715D"/>
    <w:rsid w:val="3C915C78"/>
    <w:rsid w:val="3CB24ABD"/>
    <w:rsid w:val="3CB90837"/>
    <w:rsid w:val="3DD86A9B"/>
    <w:rsid w:val="3E9C662C"/>
    <w:rsid w:val="3EAC0674"/>
    <w:rsid w:val="3F00274D"/>
    <w:rsid w:val="3F6F1FDE"/>
    <w:rsid w:val="3F7C70FE"/>
    <w:rsid w:val="3F89114F"/>
    <w:rsid w:val="405119D4"/>
    <w:rsid w:val="40896772"/>
    <w:rsid w:val="40AD664C"/>
    <w:rsid w:val="40C805EB"/>
    <w:rsid w:val="41185F63"/>
    <w:rsid w:val="422F41F3"/>
    <w:rsid w:val="427D58B5"/>
    <w:rsid w:val="429A12D7"/>
    <w:rsid w:val="43200B19"/>
    <w:rsid w:val="4451348A"/>
    <w:rsid w:val="44A8428C"/>
    <w:rsid w:val="4541644A"/>
    <w:rsid w:val="457F11B2"/>
    <w:rsid w:val="45B567A8"/>
    <w:rsid w:val="45CE2E4F"/>
    <w:rsid w:val="4612161E"/>
    <w:rsid w:val="466459B4"/>
    <w:rsid w:val="46904FB9"/>
    <w:rsid w:val="46AC18DC"/>
    <w:rsid w:val="46B12F19"/>
    <w:rsid w:val="47764D4B"/>
    <w:rsid w:val="477B705C"/>
    <w:rsid w:val="47E36652"/>
    <w:rsid w:val="48C447EC"/>
    <w:rsid w:val="48CE06C3"/>
    <w:rsid w:val="494D7D18"/>
    <w:rsid w:val="498600B8"/>
    <w:rsid w:val="49DB56B1"/>
    <w:rsid w:val="4ACF7478"/>
    <w:rsid w:val="4AF57CD3"/>
    <w:rsid w:val="4B440114"/>
    <w:rsid w:val="4B4C11F4"/>
    <w:rsid w:val="4B886A78"/>
    <w:rsid w:val="4BD25F5F"/>
    <w:rsid w:val="4BFD0243"/>
    <w:rsid w:val="4CD95604"/>
    <w:rsid w:val="4D115B26"/>
    <w:rsid w:val="4D1E4CFA"/>
    <w:rsid w:val="4D315955"/>
    <w:rsid w:val="4D590BF1"/>
    <w:rsid w:val="4D9724CF"/>
    <w:rsid w:val="4DD55402"/>
    <w:rsid w:val="4E574EE8"/>
    <w:rsid w:val="4F7C06E2"/>
    <w:rsid w:val="503600CC"/>
    <w:rsid w:val="503F7586"/>
    <w:rsid w:val="504C47E8"/>
    <w:rsid w:val="50B84491"/>
    <w:rsid w:val="539C1D40"/>
    <w:rsid w:val="53C02053"/>
    <w:rsid w:val="53CB0622"/>
    <w:rsid w:val="53CF7082"/>
    <w:rsid w:val="53DC309A"/>
    <w:rsid w:val="53E816D9"/>
    <w:rsid w:val="54240834"/>
    <w:rsid w:val="543A2395"/>
    <w:rsid w:val="55507897"/>
    <w:rsid w:val="556A2CC8"/>
    <w:rsid w:val="556B68E0"/>
    <w:rsid w:val="55FD4C24"/>
    <w:rsid w:val="56236D75"/>
    <w:rsid w:val="56913E4E"/>
    <w:rsid w:val="575C0BF2"/>
    <w:rsid w:val="583A3935"/>
    <w:rsid w:val="583B54DD"/>
    <w:rsid w:val="58443197"/>
    <w:rsid w:val="584E2326"/>
    <w:rsid w:val="590A6EF4"/>
    <w:rsid w:val="5A2E20BA"/>
    <w:rsid w:val="5ABA77FD"/>
    <w:rsid w:val="5AC461A2"/>
    <w:rsid w:val="5B34068F"/>
    <w:rsid w:val="5C6A2E80"/>
    <w:rsid w:val="5CDE49FD"/>
    <w:rsid w:val="5DAA09CF"/>
    <w:rsid w:val="5E410961"/>
    <w:rsid w:val="5F035D81"/>
    <w:rsid w:val="5F175A6A"/>
    <w:rsid w:val="6043725C"/>
    <w:rsid w:val="60443049"/>
    <w:rsid w:val="60976915"/>
    <w:rsid w:val="60AE1196"/>
    <w:rsid w:val="60B26375"/>
    <w:rsid w:val="610E08A2"/>
    <w:rsid w:val="611036C6"/>
    <w:rsid w:val="61610FEB"/>
    <w:rsid w:val="626D55FB"/>
    <w:rsid w:val="629E03A4"/>
    <w:rsid w:val="62AE304C"/>
    <w:rsid w:val="63116F1B"/>
    <w:rsid w:val="64676E6B"/>
    <w:rsid w:val="64A90794"/>
    <w:rsid w:val="64ED62C5"/>
    <w:rsid w:val="65613757"/>
    <w:rsid w:val="662B1942"/>
    <w:rsid w:val="66C75FFD"/>
    <w:rsid w:val="67966C6E"/>
    <w:rsid w:val="68002F4B"/>
    <w:rsid w:val="68353756"/>
    <w:rsid w:val="68875D11"/>
    <w:rsid w:val="68F16ADF"/>
    <w:rsid w:val="695F613F"/>
    <w:rsid w:val="6A5F216E"/>
    <w:rsid w:val="6A8219B9"/>
    <w:rsid w:val="6AA70D4B"/>
    <w:rsid w:val="6B102B3F"/>
    <w:rsid w:val="6B303356"/>
    <w:rsid w:val="6BBC1BDE"/>
    <w:rsid w:val="6BF47442"/>
    <w:rsid w:val="6C10477D"/>
    <w:rsid w:val="6C692C46"/>
    <w:rsid w:val="6CA01BDB"/>
    <w:rsid w:val="6CB542C8"/>
    <w:rsid w:val="6CE32BE3"/>
    <w:rsid w:val="6D6E650D"/>
    <w:rsid w:val="6D8B3F9D"/>
    <w:rsid w:val="6E4543D2"/>
    <w:rsid w:val="6FEA072C"/>
    <w:rsid w:val="70341E3E"/>
    <w:rsid w:val="70E3682A"/>
    <w:rsid w:val="710A3A39"/>
    <w:rsid w:val="71D16BF0"/>
    <w:rsid w:val="734603BE"/>
    <w:rsid w:val="74460239"/>
    <w:rsid w:val="75A650F5"/>
    <w:rsid w:val="76FC36E3"/>
    <w:rsid w:val="776C4203"/>
    <w:rsid w:val="77723B16"/>
    <w:rsid w:val="77C717A0"/>
    <w:rsid w:val="78B9331C"/>
    <w:rsid w:val="79966AB8"/>
    <w:rsid w:val="7A395D39"/>
    <w:rsid w:val="7A444833"/>
    <w:rsid w:val="7A594721"/>
    <w:rsid w:val="7A85352B"/>
    <w:rsid w:val="7AB91166"/>
    <w:rsid w:val="7BB15EA8"/>
    <w:rsid w:val="7BE424D4"/>
    <w:rsid w:val="7D732CB8"/>
    <w:rsid w:val="7E231C99"/>
    <w:rsid w:val="7ECD6310"/>
    <w:rsid w:val="7EE30F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autoSpaceDE w:val="0"/>
      <w:autoSpaceDN w:val="0"/>
      <w:jc w:val="left"/>
    </w:pPr>
    <w:rPr>
      <w:rFonts w:ascii="仿宋_GB2312" w:hAnsi="仿宋_GB2312" w:eastAsia="仿宋_GB2312" w:cs="仿宋_GB2312"/>
      <w:kern w:val="0"/>
      <w:sz w:val="32"/>
      <w:szCs w:val="32"/>
      <w:lang w:val="zh-CN" w:bidi="zh-CN"/>
    </w:rPr>
  </w:style>
  <w:style w:type="paragraph" w:styleId="5">
    <w:name w:val="Body Text Indent"/>
    <w:basedOn w:val="1"/>
    <w:qFormat/>
    <w:uiPriority w:val="0"/>
    <w:pPr>
      <w:widowControl/>
      <w:spacing w:before="100" w:beforeAutospacing="1" w:after="100" w:afterAutospacing="1"/>
      <w:jc w:val="left"/>
    </w:pPr>
    <w:rPr>
      <w:rFonts w:ascii="宋体" w:hAnsi="宋体" w:eastAsia="宋体"/>
      <w:kern w:val="0"/>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99"/>
    <w:pPr>
      <w:snapToGrid w:val="0"/>
      <w:spacing w:line="640" w:lineRule="exact"/>
      <w:ind w:firstLine="705"/>
    </w:pPr>
    <w:rPr>
      <w:rFonts w:ascii="仿宋_GB2312" w:eastAsia="仿宋_GB2312"/>
      <w:color w:val="000000"/>
      <w:sz w:val="36"/>
      <w:szCs w:val="36"/>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Title"/>
    <w:basedOn w:val="1"/>
    <w:next w:val="1"/>
    <w:qFormat/>
    <w:uiPriority w:val="0"/>
    <w:pPr>
      <w:adjustRightInd w:val="0"/>
      <w:snapToGrid w:val="0"/>
      <w:spacing w:line="360" w:lineRule="auto"/>
      <w:ind w:firstLine="800" w:firstLineChars="200"/>
      <w:jc w:val="left"/>
      <w:outlineLvl w:val="0"/>
    </w:pPr>
    <w:rPr>
      <w:rFonts w:ascii="Arial" w:hAnsi="Arial" w:eastAsia="仿宋"/>
      <w:sz w:val="32"/>
      <w:szCs w:val="32"/>
    </w:rPr>
  </w:style>
  <w:style w:type="paragraph" w:styleId="12">
    <w:name w:val="Body Text First Indent 2"/>
    <w:basedOn w:val="5"/>
    <w:unhideWhenUsed/>
    <w:qFormat/>
    <w:uiPriority w:val="99"/>
    <w:pPr>
      <w:ind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footnote reference"/>
    <w:basedOn w:val="15"/>
    <w:qFormat/>
    <w:uiPriority w:val="0"/>
    <w:rPr>
      <w:vertAlign w:val="superscript"/>
    </w:rPr>
  </w:style>
  <w:style w:type="paragraph" w:customStyle="1" w:styleId="18">
    <w:name w:val="_Style 3"/>
    <w:basedOn w:val="1"/>
    <w:next w:val="19"/>
    <w:unhideWhenUsed/>
    <w:qFormat/>
    <w:uiPriority w:val="99"/>
    <w:pPr>
      <w:spacing w:line="360" w:lineRule="auto"/>
      <w:ind w:firstLine="420" w:firstLineChars="200"/>
      <w:jc w:val="left"/>
    </w:pPr>
    <w:rPr>
      <w:rFonts w:ascii="Times New Roman" w:hAnsi="Times New Roman" w:eastAsia="仿宋"/>
      <w:sz w:val="32"/>
      <w:lang w:eastAsia="zh-TW"/>
    </w:rPr>
  </w:style>
  <w:style w:type="paragraph" w:styleId="19">
    <w:name w:val="List Paragraph"/>
    <w:basedOn w:val="1"/>
    <w:qFormat/>
    <w:uiPriority w:val="34"/>
    <w:pPr>
      <w:ind w:firstLine="420" w:firstLineChars="200"/>
    </w:pPr>
  </w:style>
  <w:style w:type="paragraph" w:customStyle="1" w:styleId="20">
    <w:name w:val="p0"/>
    <w:basedOn w:val="1"/>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F360BE8B-6686-4F3D-AEAF-501FE73E4058-1">
      <extobjdata type="F360BE8B-6686-4F3D-AEAF-501FE73E4058" data="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WRGHO.COM</Company>
  <Pages>37</Pages>
  <Words>9370</Words>
  <Characters>9980</Characters>
  <Lines>178</Lines>
  <Paragraphs>50</Paragraphs>
  <TotalTime>7</TotalTime>
  <ScaleCrop>false</ScaleCrop>
  <LinksUpToDate>false</LinksUpToDate>
  <CharactersWithSpaces>9984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2023-09-14T09:07:00Z</dcterms:created>
  <dc:creator>lenovo</dc:creator>
  <cp:lastModifiedBy>Lenovo</cp:lastModifiedBy>
  <cp:lastPrinted>2025-09-24T11:41:00Z</cp:lastPrinted>
  <dcterms:modified xsi:type="dcterms:W3CDTF">2025-10-24T08:53:47Z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768E1EFBA7924B98B6676C94163D9000</vt:lpwstr>
  </property>
  <property fmtid="{D5CDD505-2E9C-101B-9397-08002B2CF9AE}" pid="4" name="KSOTemplateDocerSaveRecord">
    <vt:lpwstr>eyJoZGlkIjoiNzZhNWU1NjZhN2RhM2YyN2E4YzZmYTE3NTAxNjlkNDkiLCJ1c2VySWQiOiIyMzIxOTYyNDQifQ==</vt:lpwstr>
  </property>
</Properties>
</file>