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55D" w:rsidRDefault="00977B39">
      <w:pPr>
        <w:adjustRightInd w:val="0"/>
        <w:snapToGrid w:val="0"/>
        <w:jc w:val="center"/>
        <w:rPr>
          <w:rFonts w:ascii="方正小标宋简体" w:eastAsia="方正小标宋简体" w:hAnsi="方正小标宋简体" w:cs="方正小标宋简体"/>
          <w:sz w:val="44"/>
          <w:szCs w:val="44"/>
        </w:rPr>
      </w:pPr>
      <w:bookmarkStart w:id="0" w:name="_Toc418087737"/>
      <w:r>
        <w:rPr>
          <w:rFonts w:ascii="方正小标宋简体" w:eastAsia="方正小标宋简体" w:hAnsi="方正小标宋简体" w:cs="方正小标宋简体" w:hint="eastAsia"/>
          <w:sz w:val="44"/>
          <w:szCs w:val="44"/>
        </w:rPr>
        <w:t>2022-2024年影视产业补助资金政策</w:t>
      </w:r>
    </w:p>
    <w:p w:rsidR="009F155D" w:rsidRDefault="00977B39">
      <w:pPr>
        <w:adjustRightInd w:val="0"/>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绩效评价报告</w:t>
      </w:r>
      <w:bookmarkEnd w:id="0"/>
    </w:p>
    <w:p w:rsidR="009F155D" w:rsidRDefault="009F155D">
      <w:bookmarkStart w:id="1" w:name="_Toc20109"/>
      <w:bookmarkStart w:id="2" w:name="_Toc1520748923"/>
    </w:p>
    <w:p w:rsidR="009F155D" w:rsidRDefault="00977B39">
      <w:pPr>
        <w:pStyle w:val="1"/>
        <w:spacing w:before="0" w:after="0" w:line="660" w:lineRule="exact"/>
        <w:ind w:firstLineChars="200" w:firstLine="640"/>
        <w:jc w:val="both"/>
        <w:rPr>
          <w:rFonts w:ascii="Calibri" w:hAnsi="Calibri" w:cs="Times New Roman"/>
          <w:sz w:val="32"/>
          <w:szCs w:val="32"/>
        </w:rPr>
      </w:pPr>
      <w:r>
        <w:rPr>
          <w:rFonts w:ascii="Calibri" w:hAnsi="Calibri" w:cs="Times New Roman" w:hint="eastAsia"/>
          <w:sz w:val="32"/>
          <w:szCs w:val="32"/>
        </w:rPr>
        <w:t>一、政策基本情况</w:t>
      </w:r>
      <w:bookmarkEnd w:id="1"/>
      <w:bookmarkEnd w:id="2"/>
    </w:p>
    <w:p w:rsidR="009F155D" w:rsidRDefault="00977B39">
      <w:pPr>
        <w:pStyle w:val="2"/>
        <w:ind w:firstLine="640"/>
      </w:pPr>
      <w:bookmarkStart w:id="3" w:name="_Toc16797"/>
      <w:bookmarkStart w:id="4" w:name="_Toc2024265914"/>
      <w:r>
        <w:rPr>
          <w:rFonts w:hint="eastAsia"/>
        </w:rPr>
        <w:t>（一）政策概况</w:t>
      </w:r>
      <w:bookmarkEnd w:id="3"/>
      <w:bookmarkEnd w:id="4"/>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1.政策背景</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影视产业作为文化输出的核心载体与现代文化产业体系的关键支柱，在传播中华文明、提升文化</w:t>
      </w:r>
      <w:proofErr w:type="gramStart"/>
      <w:r>
        <w:rPr>
          <w:rFonts w:ascii="仿宋_GB2312" w:eastAsia="仿宋_GB2312" w:hAnsi="仿宋_GB2312" w:cs="仿宋_GB2312" w:hint="eastAsia"/>
          <w:sz w:val="32"/>
          <w:szCs w:val="40"/>
        </w:rPr>
        <w:t>软实力</w:t>
      </w:r>
      <w:proofErr w:type="gramEnd"/>
      <w:r>
        <w:rPr>
          <w:rFonts w:ascii="仿宋_GB2312" w:eastAsia="仿宋_GB2312" w:hAnsi="仿宋_GB2312" w:cs="仿宋_GB2312" w:hint="eastAsia"/>
          <w:sz w:val="32"/>
          <w:szCs w:val="40"/>
        </w:rPr>
        <w:t>中发挥着重要作用。国家“十四五”规划提出推动文化产业高质量发展、增强中华文明传播力影响力的战略目标，为影视产业发展指明方向。</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在此战略指引下，山东省出台《山东省“十四五”电影发展规划》《山东省广播电视和网络视听“十四五”发展规划》等政策文件，围绕优化产业结构、提升产业竞争力、繁荣影视创作生产等核心任务，全面推进影视产业升级发展。</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作为山东省影视产业发展的前沿阵地，青岛市深入贯彻落实国家及省级决策部署，2022年印发《青岛市推动影视业高质量发展若干政策的通知》（青政办字〔2022〕6号），从发展目标、重点工作、补助措施到政策保障体系进行规划，明确提出到2025年，实现影视全产业</w:t>
      </w:r>
      <w:proofErr w:type="gramStart"/>
      <w:r>
        <w:rPr>
          <w:rFonts w:ascii="仿宋_GB2312" w:eastAsia="仿宋_GB2312" w:hAnsi="仿宋_GB2312" w:cs="仿宋_GB2312" w:hint="eastAsia"/>
          <w:sz w:val="32"/>
          <w:szCs w:val="40"/>
        </w:rPr>
        <w:t>链完善</w:t>
      </w:r>
      <w:proofErr w:type="gramEnd"/>
      <w:r>
        <w:rPr>
          <w:rFonts w:ascii="仿宋_GB2312" w:eastAsia="仿宋_GB2312" w:hAnsi="仿宋_GB2312" w:cs="仿宋_GB2312" w:hint="eastAsia"/>
          <w:sz w:val="32"/>
          <w:szCs w:val="40"/>
        </w:rPr>
        <w:t>升级，大幅提升影视制作工业化与信息化水平，增强产业可持续发展能力，使影视创作生产位居全国前列，建成全国领先的影视工业化生产基地。</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同年青岛市文化和旅游局（以下简称“市文旅局”）、</w:t>
      </w:r>
      <w:r>
        <w:rPr>
          <w:rFonts w:ascii="仿宋_GB2312" w:eastAsia="仿宋_GB2312" w:hAnsi="仿宋_GB2312" w:cs="仿宋_GB2312" w:hint="eastAsia"/>
          <w:sz w:val="32"/>
          <w:szCs w:val="40"/>
        </w:rPr>
        <w:lastRenderedPageBreak/>
        <w:t>青岛市财政局联合制定《关于推动影视业高质量发展若干政策实施细则》（青</w:t>
      </w:r>
      <w:proofErr w:type="gramStart"/>
      <w:r>
        <w:rPr>
          <w:rFonts w:ascii="仿宋_GB2312" w:eastAsia="仿宋_GB2312" w:hAnsi="仿宋_GB2312" w:cs="仿宋_GB2312" w:hint="eastAsia"/>
          <w:sz w:val="32"/>
          <w:szCs w:val="40"/>
        </w:rPr>
        <w:t>文旅发</w:t>
      </w:r>
      <w:proofErr w:type="gramEnd"/>
      <w:r>
        <w:rPr>
          <w:rFonts w:ascii="仿宋_GB2312" w:eastAsia="仿宋_GB2312" w:hAnsi="仿宋_GB2312" w:cs="仿宋_GB2312" w:hint="eastAsia"/>
          <w:sz w:val="32"/>
          <w:szCs w:val="40"/>
        </w:rPr>
        <w:t>〔2022〕55号），通过细化申报条件、明确补助标准，对符合持续打造“青岛摄制”品牌、优秀影视项目、做</w:t>
      </w:r>
      <w:proofErr w:type="gramStart"/>
      <w:r>
        <w:rPr>
          <w:rFonts w:ascii="仿宋_GB2312" w:eastAsia="仿宋_GB2312" w:hAnsi="仿宋_GB2312" w:cs="仿宋_GB2312" w:hint="eastAsia"/>
          <w:sz w:val="32"/>
          <w:szCs w:val="40"/>
        </w:rPr>
        <w:t>强做</w:t>
      </w:r>
      <w:proofErr w:type="gramEnd"/>
      <w:r>
        <w:rPr>
          <w:rFonts w:ascii="仿宋_GB2312" w:eastAsia="仿宋_GB2312" w:hAnsi="仿宋_GB2312" w:cs="仿宋_GB2312" w:hint="eastAsia"/>
          <w:sz w:val="32"/>
          <w:szCs w:val="40"/>
        </w:rPr>
        <w:t>优产业链条3个政策措施的项目进行补贴，推动影视产业向高质量发展目标稳步迈进。</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sz w:val="32"/>
          <w:szCs w:val="40"/>
        </w:rPr>
        <w:t>2024</w:t>
      </w:r>
      <w:r>
        <w:rPr>
          <w:rFonts w:ascii="仿宋_GB2312" w:eastAsia="仿宋_GB2312" w:hAnsi="仿宋_GB2312" w:cs="仿宋_GB2312" w:hint="eastAsia"/>
          <w:sz w:val="32"/>
          <w:szCs w:val="40"/>
        </w:rPr>
        <w:t>年4月19日，依据《中共青岛市委机构编制委员会</w:t>
      </w:r>
      <w:r>
        <w:rPr>
          <w:rFonts w:ascii="仿宋_GB2312" w:eastAsia="仿宋_GB2312" w:hAnsi="仿宋_GB2312" w:cs="仿宋_GB2312"/>
          <w:sz w:val="32"/>
          <w:szCs w:val="40"/>
        </w:rPr>
        <w:t>&lt;关于调整市文化和</w:t>
      </w:r>
      <w:r>
        <w:rPr>
          <w:rFonts w:ascii="仿宋_GB2312" w:eastAsia="仿宋_GB2312" w:hAnsi="仿宋_GB2312" w:cs="仿宋_GB2312" w:hint="eastAsia"/>
          <w:sz w:val="32"/>
          <w:szCs w:val="40"/>
        </w:rPr>
        <w:t>旅</w:t>
      </w:r>
      <w:r>
        <w:rPr>
          <w:rFonts w:ascii="仿宋_GB2312" w:eastAsia="仿宋_GB2312" w:hAnsi="仿宋_GB2312" w:cs="仿宋_GB2312"/>
          <w:sz w:val="32"/>
          <w:szCs w:val="40"/>
        </w:rPr>
        <w:t>游局机构编</w:t>
      </w:r>
      <w:r>
        <w:rPr>
          <w:rFonts w:ascii="仿宋_GB2312" w:eastAsia="仿宋_GB2312" w:hAnsi="仿宋_GB2312" w:cs="仿宋_GB2312" w:hint="eastAsia"/>
          <w:sz w:val="32"/>
          <w:szCs w:val="40"/>
        </w:rPr>
        <w:t>制</w:t>
      </w:r>
      <w:r>
        <w:rPr>
          <w:rFonts w:ascii="仿宋_GB2312" w:eastAsia="仿宋_GB2312" w:hAnsi="仿宋_GB2312" w:cs="仿宋_GB2312"/>
          <w:sz w:val="32"/>
          <w:szCs w:val="40"/>
        </w:rPr>
        <w:t>有关事项的批复&gt;</w:t>
      </w:r>
      <w:r>
        <w:rPr>
          <w:rFonts w:ascii="仿宋_GB2312" w:eastAsia="仿宋_GB2312" w:hAnsi="仿宋_GB2312" w:cs="仿宋_GB2312" w:hint="eastAsia"/>
          <w:sz w:val="32"/>
          <w:szCs w:val="40"/>
        </w:rPr>
        <w:t>》</w:t>
      </w:r>
      <w:r>
        <w:rPr>
          <w:rFonts w:ascii="仿宋_GB2312" w:eastAsia="仿宋_GB2312" w:hAnsi="仿宋_GB2312" w:cs="仿宋_GB2312"/>
          <w:sz w:val="32"/>
          <w:szCs w:val="40"/>
        </w:rPr>
        <w:t>(</w:t>
      </w:r>
      <w:proofErr w:type="gramStart"/>
      <w:r>
        <w:rPr>
          <w:rFonts w:ascii="仿宋_GB2312" w:eastAsia="仿宋_GB2312" w:hAnsi="仿宋_GB2312" w:cs="仿宋_GB2312" w:hint="eastAsia"/>
          <w:sz w:val="32"/>
          <w:szCs w:val="40"/>
        </w:rPr>
        <w:t>青编字〔2022〕</w:t>
      </w:r>
      <w:proofErr w:type="gramEnd"/>
      <w:r>
        <w:rPr>
          <w:rFonts w:ascii="仿宋_GB2312" w:eastAsia="仿宋_GB2312" w:hAnsi="仿宋_GB2312" w:cs="仿宋_GB2312" w:hint="eastAsia"/>
          <w:sz w:val="32"/>
          <w:szCs w:val="40"/>
        </w:rPr>
        <w:t>12号</w:t>
      </w:r>
      <w:r>
        <w:rPr>
          <w:rFonts w:ascii="仿宋_GB2312" w:eastAsia="仿宋_GB2312" w:hAnsi="仿宋_GB2312" w:cs="仿宋_GB2312"/>
          <w:sz w:val="32"/>
          <w:szCs w:val="40"/>
        </w:rPr>
        <w:t>)要求，电影管理职能划转至青岛市委宣传部，同步将2024年度450万元相关预算调整至该部门。</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2.政策主要内容</w:t>
      </w:r>
    </w:p>
    <w:p w:rsidR="009F155D" w:rsidRDefault="00977B39">
      <w:pPr>
        <w:spacing w:line="560" w:lineRule="exact"/>
        <w:ind w:firstLineChars="200" w:firstLine="640"/>
        <w:rPr>
          <w:rFonts w:ascii="仿宋_GB2312" w:eastAsia="仿宋_GB2312" w:hAnsi="仿宋_GB2312" w:cs="仿宋_GB2312"/>
          <w:sz w:val="32"/>
          <w:szCs w:val="40"/>
        </w:rPr>
        <w:sectPr w:rsidR="009F155D">
          <w:footerReference w:type="default" r:id="rId8"/>
          <w:pgSz w:w="11906" w:h="16838"/>
          <w:pgMar w:top="1440" w:right="1800" w:bottom="1440" w:left="1800" w:header="851" w:footer="1361" w:gutter="0"/>
          <w:pgNumType w:start="1"/>
          <w:cols w:space="0"/>
          <w:docGrid w:linePitch="312"/>
        </w:sectPr>
      </w:pPr>
      <w:r>
        <w:rPr>
          <w:rFonts w:ascii="仿宋_GB2312" w:eastAsia="仿宋_GB2312" w:hAnsi="仿宋_GB2312" w:cs="仿宋_GB2312" w:hint="eastAsia"/>
          <w:sz w:val="32"/>
          <w:szCs w:val="40"/>
        </w:rPr>
        <w:t>市</w:t>
      </w:r>
      <w:proofErr w:type="gramStart"/>
      <w:r>
        <w:rPr>
          <w:rFonts w:ascii="仿宋_GB2312" w:eastAsia="仿宋_GB2312" w:hAnsi="仿宋_GB2312" w:cs="仿宋_GB2312" w:hint="eastAsia"/>
          <w:sz w:val="32"/>
          <w:szCs w:val="40"/>
        </w:rPr>
        <w:t>文旅局</w:t>
      </w:r>
      <w:proofErr w:type="gramEnd"/>
      <w:r>
        <w:rPr>
          <w:rFonts w:ascii="仿宋_GB2312" w:eastAsia="仿宋_GB2312" w:hAnsi="仿宋_GB2312" w:cs="仿宋_GB2312" w:hint="eastAsia"/>
          <w:sz w:val="32"/>
          <w:szCs w:val="40"/>
        </w:rPr>
        <w:t>根据《关于印发青岛市推动影视业高质量发展若干政策的通知》（青政办字〔2022〕6号），制定《关于推动影视业高质量发展若干政策实施细则》（青</w:t>
      </w:r>
      <w:proofErr w:type="gramStart"/>
      <w:r>
        <w:rPr>
          <w:rFonts w:ascii="仿宋_GB2312" w:eastAsia="仿宋_GB2312" w:hAnsi="仿宋_GB2312" w:cs="仿宋_GB2312" w:hint="eastAsia"/>
          <w:sz w:val="32"/>
          <w:szCs w:val="40"/>
        </w:rPr>
        <w:t>文旅发</w:t>
      </w:r>
      <w:proofErr w:type="gramEnd"/>
      <w:r>
        <w:rPr>
          <w:rFonts w:ascii="仿宋_GB2312" w:eastAsia="仿宋_GB2312" w:hAnsi="仿宋_GB2312" w:cs="仿宋_GB2312" w:hint="eastAsia"/>
          <w:sz w:val="32"/>
          <w:szCs w:val="40"/>
        </w:rPr>
        <w:t>〔2022〕55号），明确各类别申报项目的补助范围及标准，具体明细见表1-1。</w:t>
      </w:r>
    </w:p>
    <w:p w:rsidR="009F155D" w:rsidRDefault="00977B39">
      <w:pPr>
        <w:pStyle w:val="21"/>
        <w:spacing w:before="0" w:beforeAutospacing="0" w:after="0" w:afterAutospacing="0"/>
        <w:ind w:firstLine="482"/>
        <w:jc w:val="center"/>
        <w:rPr>
          <w:rFonts w:ascii="Times New Roman Regular" w:eastAsia="仿宋_GB2312" w:hAnsi="Times New Roman Regular" w:cs="Times New Roman Regular"/>
          <w:sz w:val="32"/>
          <w:szCs w:val="40"/>
        </w:rPr>
      </w:pPr>
      <w:r>
        <w:rPr>
          <w:rFonts w:ascii="黑体" w:eastAsia="黑体" w:hAnsi="黑体" w:cs="黑体" w:hint="eastAsia"/>
        </w:rPr>
        <w:lastRenderedPageBreak/>
        <w:t>表1-1 2022-2024年影</w:t>
      </w:r>
      <w:r>
        <w:rPr>
          <w:rFonts w:ascii="Times New Roman Regular" w:eastAsia="黑体" w:hAnsi="Times New Roman Regular" w:cs="Times New Roman Regular"/>
        </w:rPr>
        <w:t>视产业补助政策实施内容</w:t>
      </w:r>
    </w:p>
    <w:tbl>
      <w:tblPr>
        <w:tblW w:w="4798" w:type="pct"/>
        <w:jc w:val="center"/>
        <w:tblLayout w:type="fixed"/>
        <w:tblLook w:val="04A0" w:firstRow="1" w:lastRow="0" w:firstColumn="1" w:lastColumn="0" w:noHBand="0" w:noVBand="1"/>
      </w:tblPr>
      <w:tblGrid>
        <w:gridCol w:w="721"/>
        <w:gridCol w:w="710"/>
        <w:gridCol w:w="4465"/>
        <w:gridCol w:w="2973"/>
      </w:tblGrid>
      <w:tr w:rsidR="009F155D">
        <w:trPr>
          <w:trHeight w:val="534"/>
          <w:tblHeader/>
          <w:jc w:val="center"/>
        </w:trPr>
        <w:tc>
          <w:tcPr>
            <w:tcW w:w="407"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政策措施</w:t>
            </w:r>
          </w:p>
        </w:tc>
        <w:tc>
          <w:tcPr>
            <w:tcW w:w="400"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类别</w:t>
            </w:r>
          </w:p>
        </w:tc>
        <w:tc>
          <w:tcPr>
            <w:tcW w:w="251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补助范围</w:t>
            </w:r>
          </w:p>
        </w:tc>
        <w:tc>
          <w:tcPr>
            <w:tcW w:w="1676" w:type="pct"/>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补助标准</w:t>
            </w:r>
          </w:p>
        </w:tc>
      </w:tr>
      <w:tr w:rsidR="009F155D">
        <w:trPr>
          <w:trHeight w:val="1924"/>
          <w:jc w:val="center"/>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持续打造“青岛摄制”品牌</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支持优秀</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在青岛摄制</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第一出品方或备案立项方委托的在青岛市注册的影视承制企业或影视服务企业。2.申报条件：（1）本项</w:t>
            </w:r>
            <w:proofErr w:type="gramStart"/>
            <w:r>
              <w:rPr>
                <w:rFonts w:ascii="宋体" w:eastAsia="宋体" w:hAnsi="宋体" w:cs="宋体" w:hint="eastAsia"/>
                <w:color w:val="000000"/>
                <w:kern w:val="0"/>
                <w:sz w:val="24"/>
                <w:lang w:bidi="ar"/>
              </w:rPr>
              <w:t>奖补采取</w:t>
            </w:r>
            <w:proofErr w:type="gramEnd"/>
            <w:r>
              <w:rPr>
                <w:rFonts w:ascii="宋体" w:eastAsia="宋体" w:hAnsi="宋体" w:cs="宋体" w:hint="eastAsia"/>
                <w:color w:val="000000"/>
                <w:kern w:val="0"/>
                <w:sz w:val="24"/>
                <w:lang w:bidi="ar"/>
              </w:rPr>
              <w:t>预申报制，申报主体须在项目剧组来青岛拍摄之前5个工作日内，填写《青岛市影视作品摄制备案登记表》，报青岛市文化和旅游局。（2）</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为电影、电视剧、网络影视剧（网络微短剧）、综艺节目，在青岛摄制期间所发生的住宿及有关摄制投入达到100万元以上。（3）推介青岛元素方面，展现青岛地标建筑、交通设施、公众设施等不同城市形象镜头5次（含）以上、每次时长3秒（含）以上，且在片头或片尾字幕中突</w:t>
            </w:r>
            <w:r>
              <w:rPr>
                <w:rFonts w:ascii="宋体" w:eastAsia="宋体" w:hAnsi="宋体" w:cs="宋体" w:hint="eastAsia"/>
                <w:color w:val="000000"/>
                <w:kern w:val="0"/>
                <w:sz w:val="24"/>
                <w:lang w:bidi="ar"/>
              </w:rPr>
              <w:lastRenderedPageBreak/>
              <w:t>出显示青岛影视基地或取景点名称、展现青岛摄制元素；讲述青岛故事、彰显青岛主题方面，剧本须取材于青岛素材，作品主线反映青岛当下经济、科技、文化、民生等领域内容，反映青岛风土人情、历史文化、历史人物或现当代人物故事，有助于提升青岛知名度，促进旅游产业发展。（4）</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在央视综合频道、综艺频道、电影频道、电视剧频道及北京卫视、东方卫视、浙江卫视、湖南卫视、江苏卫视、山东卫视播映；在城市院线公映；在</w:t>
            </w:r>
            <w:proofErr w:type="gramStart"/>
            <w:r>
              <w:rPr>
                <w:rFonts w:ascii="宋体" w:eastAsia="宋体" w:hAnsi="宋体" w:cs="宋体" w:hint="eastAsia"/>
                <w:color w:val="000000"/>
                <w:kern w:val="0"/>
                <w:sz w:val="24"/>
                <w:lang w:bidi="ar"/>
              </w:rPr>
              <w:t>爱奇艺</w:t>
            </w:r>
            <w:proofErr w:type="gramEnd"/>
            <w:r>
              <w:rPr>
                <w:rFonts w:ascii="宋体" w:eastAsia="宋体" w:hAnsi="宋体" w:cs="宋体" w:hint="eastAsia"/>
                <w:color w:val="000000"/>
                <w:kern w:val="0"/>
                <w:sz w:val="24"/>
                <w:lang w:bidi="ar"/>
              </w:rPr>
              <w:t>、优酷、腾讯、芒果、抖音、快手视频平台播出。本条款“住宿及有关摄制投入”，指项目剧组在青岛摄制期间所发生的住宿费用及采购青岛影视配套企业提供的先进设备应用（视效预览、动作捕捉、虚拟拍摄）或后期制作费用。其中，项目剧组在青岛摄制期间</w:t>
            </w:r>
            <w:proofErr w:type="gramStart"/>
            <w:r>
              <w:rPr>
                <w:rFonts w:ascii="宋体" w:eastAsia="宋体" w:hAnsi="宋体" w:cs="宋体" w:hint="eastAsia"/>
                <w:color w:val="000000"/>
                <w:kern w:val="0"/>
                <w:sz w:val="24"/>
                <w:lang w:bidi="ar"/>
              </w:rPr>
              <w:t>住宿费用须达到</w:t>
            </w:r>
            <w:proofErr w:type="gramEnd"/>
            <w:r>
              <w:rPr>
                <w:rFonts w:ascii="宋体" w:eastAsia="宋体" w:hAnsi="宋体" w:cs="宋体" w:hint="eastAsia"/>
                <w:color w:val="000000"/>
                <w:kern w:val="0"/>
                <w:sz w:val="24"/>
                <w:lang w:bidi="ar"/>
              </w:rPr>
              <w:t>80万元（含）以上。</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项目剧组在青岛住宿及有关摄制投入在100-200万元（含）的，补贴20%。（2）项目剧组在青岛住宿及有关摄制投入在200万元-300万元（含）的，补贴30%。（3）项目剧组在青岛住宿及有关摄制投入在300万元以上的，补贴40%；</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摄制完成后，项目第一出品方或备案立项方向青岛市文化和旅游局提供播映承诺书，申领50%的补贴资金，</w:t>
            </w:r>
            <w:proofErr w:type="gramStart"/>
            <w:r>
              <w:rPr>
                <w:rFonts w:ascii="宋体" w:eastAsia="宋体" w:hAnsi="宋体" w:cs="宋体" w:hint="eastAsia"/>
                <w:color w:val="000000"/>
                <w:kern w:val="0"/>
                <w:sz w:val="24"/>
                <w:lang w:bidi="ar"/>
              </w:rPr>
              <w:lastRenderedPageBreak/>
              <w:t>影视项目</w:t>
            </w:r>
            <w:proofErr w:type="gramEnd"/>
            <w:r>
              <w:rPr>
                <w:rFonts w:ascii="宋体" w:eastAsia="宋体" w:hAnsi="宋体" w:cs="宋体" w:hint="eastAsia"/>
                <w:color w:val="000000"/>
                <w:kern w:val="0"/>
                <w:sz w:val="24"/>
                <w:lang w:bidi="ar"/>
              </w:rPr>
              <w:t>播出后凭播映证明申领剩余50%补贴资金；综艺节目播出后凭播映证明申领补贴资金。</w:t>
            </w:r>
          </w:p>
        </w:tc>
      </w:tr>
      <w:tr w:rsidR="009F155D">
        <w:trPr>
          <w:trHeight w:val="454"/>
          <w:jc w:val="center"/>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规范影视拍摄取景地管理</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拥有影视拍摄取景地产权或运营权的相关单位。2.申报条件：（1）本项奖励采取预申报制，取景地与项目剧组签订拍摄协议后，填写《青岛市影视拍摄基地备案表》，在剧组进驻之前5个工作日内，将备案表报送青岛市文化和旅游局。（2）剧组类别包括电影、电视剧、网络影视剧（网络微短剧）、综艺节目。</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年度内接待剧组数量累计5个（含）以上或拍摄天数累计30天（含）以上，经专家组评审，给予10万元奖励。</w:t>
            </w:r>
          </w:p>
        </w:tc>
      </w:tr>
      <w:tr w:rsidR="009F155D">
        <w:trPr>
          <w:trHeight w:val="454"/>
          <w:jc w:val="center"/>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奖励优秀</w:t>
            </w:r>
            <w:proofErr w:type="gramStart"/>
            <w:r>
              <w:rPr>
                <w:rFonts w:ascii="宋体" w:eastAsia="宋体" w:hAnsi="宋体" w:cs="宋体" w:hint="eastAsia"/>
                <w:color w:val="000000"/>
                <w:kern w:val="0"/>
                <w:sz w:val="24"/>
                <w:lang w:bidi="ar"/>
              </w:rPr>
              <w:t>影视项目</w:t>
            </w:r>
            <w:proofErr w:type="gramEnd"/>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奖励青岛出品的优秀电影项目</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1.申报主体：电影项目第一出品方或备案立项方为在青岛市注册成立的影视企业。2.申报条件：（1）项目通过山东省备案立项。（2）取得《电影公映许可证》。（3）国际A类电影节，指国际电影制片人协会(FIAPF)</w:t>
            </w:r>
            <w:proofErr w:type="gramStart"/>
            <w:r>
              <w:rPr>
                <w:rFonts w:ascii="宋体" w:eastAsia="宋体" w:hAnsi="宋体" w:cs="宋体" w:hint="eastAsia"/>
                <w:color w:val="000000"/>
                <w:kern w:val="0"/>
                <w:sz w:val="24"/>
                <w:lang w:bidi="ar"/>
              </w:rPr>
              <w:t>官网发布</w:t>
            </w:r>
            <w:proofErr w:type="gramEnd"/>
            <w:r>
              <w:rPr>
                <w:rFonts w:ascii="宋体" w:eastAsia="宋体" w:hAnsi="宋体" w:cs="宋体" w:hint="eastAsia"/>
                <w:color w:val="000000"/>
                <w:kern w:val="0"/>
                <w:sz w:val="24"/>
                <w:lang w:bidi="ar"/>
              </w:rPr>
              <w:t>的全球15个国际A类电影节。包括:威尼斯国际电影节、戛纳国际电影节、柏林国际电影节、</w:t>
            </w:r>
            <w:proofErr w:type="gramStart"/>
            <w:r>
              <w:rPr>
                <w:rFonts w:ascii="宋体" w:eastAsia="宋体" w:hAnsi="宋体" w:cs="宋体" w:hint="eastAsia"/>
                <w:color w:val="000000"/>
                <w:kern w:val="0"/>
                <w:sz w:val="24"/>
                <w:lang w:bidi="ar"/>
              </w:rPr>
              <w:t>洛迦</w:t>
            </w:r>
            <w:proofErr w:type="gramEnd"/>
            <w:r>
              <w:rPr>
                <w:rFonts w:ascii="宋体" w:eastAsia="宋体" w:hAnsi="宋体" w:cs="宋体" w:hint="eastAsia"/>
                <w:color w:val="000000"/>
                <w:kern w:val="0"/>
                <w:sz w:val="24"/>
                <w:lang w:bidi="ar"/>
              </w:rPr>
              <w:t>诺国际电影节、圣塞巴斯蒂安国际电影节、卡罗维发利国际电影节、莫斯科国际电影节、华沙国际电影节、塔林黑夜国际电影节、蒙特利尔国际电影节、马塔布拉塔国际电影节、东京国际电影节、上海国</w:t>
            </w:r>
            <w:r>
              <w:rPr>
                <w:rFonts w:ascii="宋体" w:eastAsia="宋体" w:hAnsi="宋体" w:cs="宋体" w:hint="eastAsia"/>
                <w:color w:val="000000"/>
                <w:kern w:val="0"/>
                <w:sz w:val="24"/>
                <w:lang w:bidi="ar"/>
              </w:rPr>
              <w:lastRenderedPageBreak/>
              <w:t>际电影节、印度国际电影节、开罗国际电影节。</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获得威尼斯国际电影节、戛纳国际电影节、柏林国际电影节主竞赛单元奖项及奥斯卡主要奖项的，给予600万元奖励；入围以上电影节主竞赛单元的，给予100万元奖励。获得除上述三大国际电影节及奥斯卡之外的其他国际A类电影节主竞赛单元奖项的，给予200万元奖励；入围以上国际A类电影节主竞赛单元的，给予50万</w:t>
            </w:r>
            <w:r>
              <w:rPr>
                <w:rFonts w:ascii="宋体" w:eastAsia="宋体" w:hAnsi="宋体" w:cs="宋体" w:hint="eastAsia"/>
                <w:color w:val="000000"/>
                <w:kern w:val="0"/>
                <w:sz w:val="24"/>
                <w:lang w:bidi="ar"/>
              </w:rPr>
              <w:lastRenderedPageBreak/>
              <w:t>元奖励。</w:t>
            </w:r>
          </w:p>
        </w:tc>
      </w:tr>
      <w:tr w:rsidR="009F155D">
        <w:trPr>
          <w:trHeight w:val="90"/>
          <w:jc w:val="center"/>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奖励票房500万元以上的电影</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电影项目第一出品方或备案立项方为在青岛市注册成立的影视企业。2.申报条件：（1）项目通过山东省备案立项。（2）取得《电影公映许可证》并在全国公映。首映时间在申报年度内，票房计算截止到申报时间。</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对票房达到500万元以上的电影项目，按票房的3％，每部给予最高不超过500万元的奖励。</w:t>
            </w:r>
          </w:p>
        </w:tc>
      </w:tr>
      <w:tr w:rsidR="009F155D">
        <w:trPr>
          <w:trHeight w:val="454"/>
          <w:jc w:val="center"/>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奖励青岛出品的优秀电视剧（电视动画片）项目</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1.申报主体：电视剧（电视动画片）项目第一出品方或备案立项方为在青岛市注册成立的影视企业。2.申报条件：（1）项目通过山东省备案立项。（2）取得《电视剧发行许可证》或《动画片发行许可证》。</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（1）电视剧在北京卫视、东方卫视、江苏卫视、浙江卫视、湖南卫视、山东卫视黄金时段（18:00-22:00，下同）首播的，</w:t>
            </w:r>
            <w:proofErr w:type="gramStart"/>
            <w:r>
              <w:rPr>
                <w:rFonts w:ascii="宋体" w:eastAsia="宋体" w:hAnsi="宋体" w:cs="宋体" w:hint="eastAsia"/>
                <w:color w:val="000000"/>
                <w:kern w:val="0"/>
                <w:sz w:val="24"/>
                <w:lang w:bidi="ar"/>
              </w:rPr>
              <w:t>按购播交易</w:t>
            </w:r>
            <w:proofErr w:type="gramEnd"/>
            <w:r>
              <w:rPr>
                <w:rFonts w:ascii="宋体" w:eastAsia="宋体" w:hAnsi="宋体" w:cs="宋体" w:hint="eastAsia"/>
                <w:color w:val="000000"/>
                <w:kern w:val="0"/>
                <w:sz w:val="24"/>
                <w:lang w:bidi="ar"/>
              </w:rPr>
              <w:t>金额（不含税）的3%，每部给予最高200万元的奖励。（2）电视动画片在央视少儿频道、湖南金鹰卡通卫视、北京卡酷少儿频道、上海</w:t>
            </w:r>
            <w:proofErr w:type="gramStart"/>
            <w:r>
              <w:rPr>
                <w:rFonts w:ascii="宋体" w:eastAsia="宋体" w:hAnsi="宋体" w:cs="宋体" w:hint="eastAsia"/>
                <w:color w:val="000000"/>
                <w:kern w:val="0"/>
                <w:sz w:val="24"/>
                <w:lang w:bidi="ar"/>
              </w:rPr>
              <w:t>炫</w:t>
            </w:r>
            <w:proofErr w:type="gramEnd"/>
            <w:r>
              <w:rPr>
                <w:rFonts w:ascii="宋体" w:eastAsia="宋体" w:hAnsi="宋体" w:cs="宋体" w:hint="eastAsia"/>
                <w:color w:val="000000"/>
                <w:kern w:val="0"/>
                <w:sz w:val="24"/>
                <w:lang w:bidi="ar"/>
              </w:rPr>
              <w:t>动卡通、广东嘉佳卡通卫视、</w:t>
            </w:r>
            <w:proofErr w:type="gramStart"/>
            <w:r>
              <w:rPr>
                <w:rFonts w:ascii="宋体" w:eastAsia="宋体" w:hAnsi="宋体" w:cs="宋体" w:hint="eastAsia"/>
                <w:color w:val="000000"/>
                <w:kern w:val="0"/>
                <w:sz w:val="24"/>
                <w:lang w:bidi="ar"/>
              </w:rPr>
              <w:t>江苏优漫卡通</w:t>
            </w:r>
            <w:proofErr w:type="gramEnd"/>
            <w:r>
              <w:rPr>
                <w:rFonts w:ascii="宋体" w:eastAsia="宋体" w:hAnsi="宋体" w:cs="宋体" w:hint="eastAsia"/>
                <w:color w:val="000000"/>
                <w:kern w:val="0"/>
                <w:sz w:val="24"/>
                <w:lang w:bidi="ar"/>
              </w:rPr>
              <w:t>卫视及省级卫</w:t>
            </w:r>
            <w:proofErr w:type="gramStart"/>
            <w:r>
              <w:rPr>
                <w:rFonts w:ascii="宋体" w:eastAsia="宋体" w:hAnsi="宋体" w:cs="宋体" w:hint="eastAsia"/>
                <w:color w:val="000000"/>
                <w:kern w:val="0"/>
                <w:sz w:val="24"/>
                <w:lang w:bidi="ar"/>
              </w:rPr>
              <w:t>视综合</w:t>
            </w:r>
            <w:proofErr w:type="gramEnd"/>
            <w:r>
              <w:rPr>
                <w:rFonts w:ascii="宋体" w:eastAsia="宋体" w:hAnsi="宋体" w:cs="宋体" w:hint="eastAsia"/>
                <w:color w:val="000000"/>
                <w:kern w:val="0"/>
                <w:sz w:val="24"/>
                <w:lang w:bidi="ar"/>
              </w:rPr>
              <w:t>频道黄金时段首播的，按照</w:t>
            </w:r>
            <w:proofErr w:type="gramStart"/>
            <w:r>
              <w:rPr>
                <w:rFonts w:ascii="宋体" w:eastAsia="宋体" w:hAnsi="宋体" w:cs="宋体" w:hint="eastAsia"/>
                <w:color w:val="000000"/>
                <w:kern w:val="0"/>
                <w:sz w:val="24"/>
                <w:lang w:bidi="ar"/>
              </w:rPr>
              <w:t>购播交易</w:t>
            </w:r>
            <w:proofErr w:type="gramEnd"/>
            <w:r>
              <w:rPr>
                <w:rFonts w:ascii="宋体" w:eastAsia="宋体" w:hAnsi="宋体" w:cs="宋体" w:hint="eastAsia"/>
                <w:color w:val="000000"/>
                <w:kern w:val="0"/>
                <w:sz w:val="24"/>
                <w:lang w:bidi="ar"/>
              </w:rPr>
              <w:t>金额（不含税）的3%，每部给予最高50万元奖励。电视剧（电视动画片）项目，须在首播结束年度申请奖励。</w:t>
            </w:r>
          </w:p>
        </w:tc>
      </w:tr>
      <w:tr w:rsidR="009F155D">
        <w:trPr>
          <w:trHeight w:val="454"/>
          <w:jc w:val="center"/>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奖励青岛出品的优秀网络视听节目</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1.申报主体：网络视听节目项目第一出品方或备案立项方为在青岛市注册成立的影视企业。2.申报条件：（1）项目通过山东省备案立项。（2）项目取得上线备案号或《网络剧片发行许可证》。（3）在</w:t>
            </w:r>
            <w:proofErr w:type="gramStart"/>
            <w:r>
              <w:rPr>
                <w:rFonts w:ascii="宋体" w:eastAsia="宋体" w:hAnsi="宋体" w:cs="宋体" w:hint="eastAsia"/>
                <w:color w:val="000000"/>
                <w:kern w:val="0"/>
                <w:sz w:val="24"/>
                <w:lang w:bidi="ar"/>
              </w:rPr>
              <w:t>爱奇艺</w:t>
            </w:r>
            <w:proofErr w:type="gramEnd"/>
            <w:r>
              <w:rPr>
                <w:rFonts w:ascii="宋体" w:eastAsia="宋体" w:hAnsi="宋体" w:cs="宋体" w:hint="eastAsia"/>
                <w:color w:val="000000"/>
                <w:kern w:val="0"/>
                <w:sz w:val="24"/>
                <w:lang w:bidi="ar"/>
              </w:rPr>
              <w:t>、优酷、腾讯、芒果、抖音、快手视频平台首次播映。</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（1）网络电影分账收入达到500万（含）以上的，给予分账收入10%奖励，每部最高不超过200万元。（2）网络电视剧分账收入或</w:t>
            </w:r>
            <w:proofErr w:type="gramStart"/>
            <w:r>
              <w:rPr>
                <w:rFonts w:ascii="宋体" w:eastAsia="宋体" w:hAnsi="宋体" w:cs="宋体" w:hint="eastAsia"/>
                <w:color w:val="000000"/>
                <w:kern w:val="0"/>
                <w:sz w:val="24"/>
                <w:lang w:bidi="ar"/>
              </w:rPr>
              <w:t>购播交易</w:t>
            </w:r>
            <w:proofErr w:type="gramEnd"/>
            <w:r>
              <w:rPr>
                <w:rFonts w:ascii="宋体" w:eastAsia="宋体" w:hAnsi="宋体" w:cs="宋体" w:hint="eastAsia"/>
                <w:color w:val="000000"/>
                <w:kern w:val="0"/>
                <w:sz w:val="24"/>
                <w:lang w:bidi="ar"/>
              </w:rPr>
              <w:t>金额达到800万元（含）以上的，给予10%奖励，每部最高不超过200万元。（3）网络动画片、网络纪录片、网络微短剧等分账收入达到50万</w:t>
            </w:r>
            <w:r>
              <w:rPr>
                <w:rFonts w:ascii="宋体" w:eastAsia="宋体" w:hAnsi="宋体" w:cs="宋体" w:hint="eastAsia"/>
                <w:color w:val="000000"/>
                <w:kern w:val="0"/>
                <w:sz w:val="24"/>
                <w:lang w:bidi="ar"/>
              </w:rPr>
              <w:lastRenderedPageBreak/>
              <w:t>以上的，给予10%奖励，每部最高不超过50万元。每家影视企业每年奖励最高不超过200万元。网络视听节目项目，须在首播结束年度申请奖励。</w:t>
            </w:r>
          </w:p>
        </w:tc>
      </w:tr>
      <w:tr w:rsidR="009F155D">
        <w:trPr>
          <w:trHeight w:val="454"/>
          <w:jc w:val="center"/>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做</w:t>
            </w:r>
            <w:proofErr w:type="gramStart"/>
            <w:r>
              <w:rPr>
                <w:rFonts w:ascii="宋体" w:eastAsia="宋体" w:hAnsi="宋体" w:cs="宋体" w:hint="eastAsia"/>
                <w:color w:val="000000"/>
                <w:kern w:val="0"/>
                <w:sz w:val="24"/>
                <w:lang w:bidi="ar"/>
              </w:rPr>
              <w:t>强做</w:t>
            </w:r>
            <w:proofErr w:type="gramEnd"/>
            <w:r>
              <w:rPr>
                <w:rFonts w:ascii="宋体" w:eastAsia="宋体" w:hAnsi="宋体" w:cs="宋体" w:hint="eastAsia"/>
                <w:color w:val="000000"/>
                <w:kern w:val="0"/>
                <w:sz w:val="24"/>
                <w:lang w:bidi="ar"/>
              </w:rPr>
              <w:t>优产业链条</w:t>
            </w: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支持电影发行放映</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1.申报主体：在青岛市依法设立</w:t>
            </w:r>
            <w:proofErr w:type="gramStart"/>
            <w:r>
              <w:rPr>
                <w:rFonts w:ascii="宋体" w:eastAsia="宋体" w:hAnsi="宋体" w:cs="宋体" w:hint="eastAsia"/>
                <w:color w:val="000000"/>
                <w:kern w:val="0"/>
                <w:sz w:val="24"/>
                <w:lang w:bidi="ar"/>
              </w:rPr>
              <w:t>并纳统的</w:t>
            </w:r>
            <w:proofErr w:type="gramEnd"/>
            <w:r>
              <w:rPr>
                <w:rFonts w:ascii="宋体" w:eastAsia="宋体" w:hAnsi="宋体" w:cs="宋体" w:hint="eastAsia"/>
                <w:color w:val="000000"/>
                <w:kern w:val="0"/>
                <w:sz w:val="24"/>
                <w:lang w:bidi="ar"/>
              </w:rPr>
              <w:t>电影发行企业。2.申报条件：（1）取得电影发行经营许可证。（2）年营业收入达到1000万元以上。</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按照年度发行合同交易金额（不含税）的3％给予奖励，最高不超过500万元。</w:t>
            </w:r>
          </w:p>
        </w:tc>
      </w:tr>
      <w:tr w:rsidR="009F155D">
        <w:trPr>
          <w:trHeight w:val="3567"/>
          <w:jc w:val="center"/>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对青岛影视元素进行衍生品市场化开发</w:t>
            </w:r>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基于青岛影视元素IP授权而开发生产图书、服装、玩具、日用品等相关产品的青岛企业。2.申报条件（1）申报企业开发的影视衍生品为政策执行期内公开播映的影视作品中的青岛影视IP。（2）业务收入须以该衍生品为创意开发主体，不包含以影视元素图像、场景等为主题宣传而售卖的其他产品收入。</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影视衍生品业务收入达到100万元以上的，按衍生品业务收入的5%，经专家评审其青岛影视元素体现程度后给予最高不超过100万元的奖励。（2）衍生品专项奖励核算基数须为申报企业在规定年度内的业务收入。在同一法人或同一集团下的两家企业间进行的产品销售额，不列入奖励核算基数。</w:t>
            </w:r>
          </w:p>
        </w:tc>
      </w:tr>
      <w:tr w:rsidR="009F155D">
        <w:trPr>
          <w:trHeight w:val="90"/>
          <w:jc w:val="center"/>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4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加强影视</w:t>
            </w:r>
            <w:proofErr w:type="gramStart"/>
            <w:r>
              <w:rPr>
                <w:rFonts w:ascii="宋体" w:eastAsia="宋体" w:hAnsi="宋体" w:cs="宋体" w:hint="eastAsia"/>
                <w:color w:val="000000"/>
                <w:kern w:val="0"/>
                <w:sz w:val="24"/>
                <w:lang w:bidi="ar"/>
              </w:rPr>
              <w:t>人才引育</w:t>
            </w:r>
            <w:proofErr w:type="gramEnd"/>
          </w:p>
        </w:tc>
        <w:tc>
          <w:tcPr>
            <w:tcW w:w="25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t>1.申报主体：青岛市开展影视人才培育的企事业单位或行业协会。2.申报条件：（1）人才实训项目：支持专业影视教育培训企业运用优秀师资，通过项目拍摄、技术指导、专题培训等方式搭建实训平台，培养和推出一批影视人才。开展实</w:t>
            </w:r>
            <w:proofErr w:type="gramStart"/>
            <w:r>
              <w:rPr>
                <w:rFonts w:ascii="宋体" w:eastAsia="宋体" w:hAnsi="宋体" w:cs="宋体" w:hint="eastAsia"/>
                <w:color w:val="000000"/>
                <w:kern w:val="0"/>
                <w:sz w:val="24"/>
                <w:lang w:bidi="ar"/>
              </w:rPr>
              <w:t>训项目</w:t>
            </w:r>
            <w:proofErr w:type="gramEnd"/>
            <w:r>
              <w:rPr>
                <w:rFonts w:ascii="宋体" w:eastAsia="宋体" w:hAnsi="宋体" w:cs="宋体" w:hint="eastAsia"/>
                <w:color w:val="000000"/>
                <w:kern w:val="0"/>
                <w:sz w:val="24"/>
                <w:lang w:bidi="ar"/>
              </w:rPr>
              <w:t>的主体应具备相应资质；有完善的教育培训设施，一般应有教学、住宿、专业实</w:t>
            </w:r>
            <w:proofErr w:type="gramStart"/>
            <w:r>
              <w:rPr>
                <w:rFonts w:ascii="宋体" w:eastAsia="宋体" w:hAnsi="宋体" w:cs="宋体" w:hint="eastAsia"/>
                <w:color w:val="000000"/>
                <w:kern w:val="0"/>
                <w:sz w:val="24"/>
                <w:lang w:bidi="ar"/>
              </w:rPr>
              <w:t>训空间</w:t>
            </w:r>
            <w:proofErr w:type="gramEnd"/>
            <w:r>
              <w:rPr>
                <w:rFonts w:ascii="宋体" w:eastAsia="宋体" w:hAnsi="宋体" w:cs="宋体" w:hint="eastAsia"/>
                <w:color w:val="000000"/>
                <w:kern w:val="0"/>
                <w:sz w:val="24"/>
                <w:lang w:bidi="ar"/>
              </w:rPr>
              <w:t>等设施，总面积不低于5000平方米；应有独立研发的课程及标准化的项目教学体系；应与5所（含）以上相关院线开展人才实训合作，每年培训学生不少于200人，总课时不少于2000课时。（2）青年影视人才孵化储备项目：支持高校、企业、行业协会等对青年影视人才进行专业选拔和系统指导，通过</w:t>
            </w:r>
            <w:proofErr w:type="gramStart"/>
            <w:r>
              <w:rPr>
                <w:rFonts w:ascii="宋体" w:eastAsia="宋体" w:hAnsi="宋体" w:cs="宋体" w:hint="eastAsia"/>
                <w:color w:val="000000"/>
                <w:kern w:val="0"/>
                <w:sz w:val="24"/>
                <w:lang w:bidi="ar"/>
              </w:rPr>
              <w:t>剧本工</w:t>
            </w:r>
            <w:proofErr w:type="gramEnd"/>
            <w:r>
              <w:rPr>
                <w:rFonts w:ascii="宋体" w:eastAsia="宋体" w:hAnsi="宋体" w:cs="宋体" w:hint="eastAsia"/>
                <w:color w:val="000000"/>
                <w:kern w:val="0"/>
                <w:sz w:val="24"/>
                <w:lang w:bidi="ar"/>
              </w:rPr>
              <w:t>坊、导演训练营、短片拍摄、创</w:t>
            </w:r>
            <w:proofErr w:type="gramStart"/>
            <w:r>
              <w:rPr>
                <w:rFonts w:ascii="宋体" w:eastAsia="宋体" w:hAnsi="宋体" w:cs="宋体" w:hint="eastAsia"/>
                <w:color w:val="000000"/>
                <w:kern w:val="0"/>
                <w:sz w:val="24"/>
                <w:lang w:bidi="ar"/>
              </w:rPr>
              <w:t>投培训</w:t>
            </w:r>
            <w:proofErr w:type="gramEnd"/>
            <w:r>
              <w:rPr>
                <w:rFonts w:ascii="宋体" w:eastAsia="宋体" w:hAnsi="宋体" w:cs="宋体" w:hint="eastAsia"/>
                <w:color w:val="000000"/>
                <w:kern w:val="0"/>
                <w:sz w:val="24"/>
                <w:lang w:bidi="ar"/>
              </w:rPr>
              <w:t>等多个阶段多种方式的交流实践，为入选的青年影视人才</w:t>
            </w:r>
            <w:r>
              <w:rPr>
                <w:rFonts w:ascii="宋体" w:eastAsia="宋体" w:hAnsi="宋体" w:cs="宋体" w:hint="eastAsia"/>
                <w:color w:val="000000"/>
                <w:kern w:val="0"/>
                <w:sz w:val="24"/>
                <w:lang w:bidi="ar"/>
              </w:rPr>
              <w:lastRenderedPageBreak/>
              <w:t>提供包括前期剧本立项、中期拍摄、后期制作与宣发支持。</w:t>
            </w:r>
          </w:p>
        </w:tc>
        <w:tc>
          <w:tcPr>
            <w:tcW w:w="16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通过事前备案、事后评审的方式确定支持资金数额，每个项目最高资助50万元。</w:t>
            </w:r>
          </w:p>
        </w:tc>
      </w:tr>
    </w:tbl>
    <w:p w:rsidR="009F155D" w:rsidRDefault="009F155D">
      <w:pPr>
        <w:spacing w:line="600" w:lineRule="exact"/>
        <w:ind w:firstLineChars="200" w:firstLine="420"/>
        <w:rPr>
          <w:rFonts w:ascii="Times New Roman Regular" w:eastAsia="仿宋_GB2312" w:hAnsi="Times New Roman Regular" w:cs="Times New Roman Regular"/>
          <w:szCs w:val="21"/>
        </w:rPr>
        <w:sectPr w:rsidR="009F155D">
          <w:type w:val="continuous"/>
          <w:pgSz w:w="11906" w:h="16838"/>
          <w:pgMar w:top="1800" w:right="1440" w:bottom="1800" w:left="1440" w:header="851" w:footer="1361" w:gutter="0"/>
          <w:cols w:space="0"/>
          <w:docGrid w:linePitch="312"/>
        </w:sectPr>
      </w:pP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3.政策实施情况</w:t>
      </w:r>
    </w:p>
    <w:p w:rsidR="009F155D" w:rsidRDefault="00977B3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2022-2024年影视产业补助资金政策完成补助类型主要包括支持优秀</w:t>
      </w:r>
      <w:proofErr w:type="gramStart"/>
      <w:r>
        <w:rPr>
          <w:rFonts w:ascii="仿宋_GB2312" w:eastAsia="仿宋_GB2312" w:hAnsi="仿宋_GB2312" w:cs="仿宋_GB2312" w:hint="eastAsia"/>
          <w:sz w:val="32"/>
          <w:szCs w:val="32"/>
        </w:rPr>
        <w:t>影视项目</w:t>
      </w:r>
      <w:proofErr w:type="gramEnd"/>
      <w:r>
        <w:rPr>
          <w:rFonts w:ascii="仿宋_GB2312" w:eastAsia="仿宋_GB2312" w:hAnsi="仿宋_GB2312" w:cs="仿宋_GB2312" w:hint="eastAsia"/>
          <w:sz w:val="32"/>
          <w:szCs w:val="32"/>
        </w:rPr>
        <w:t>在青岛摄制、奖励青岛出品的优秀电影项目、影视拍摄取景基地、奖励青岛出品的优秀网络视听节目等4类，共补助16部影视作品</w:t>
      </w:r>
      <w:r>
        <w:rPr>
          <w:rFonts w:ascii="仿宋_GB2312" w:eastAsia="仿宋_GB2312" w:hAnsi="仿宋_GB2312" w:cs="仿宋_GB2312" w:hint="eastAsia"/>
          <w:color w:val="000000" w:themeColor="text1"/>
          <w:sz w:val="32"/>
          <w:szCs w:val="32"/>
        </w:rPr>
        <w:t>（其中作品《倒数说爱你》涉及2个类别补助）</w:t>
      </w:r>
      <w:r>
        <w:rPr>
          <w:rFonts w:ascii="仿宋_GB2312" w:eastAsia="仿宋_GB2312" w:hAnsi="仿宋_GB2312" w:cs="仿宋_GB2312" w:hint="eastAsia"/>
          <w:sz w:val="32"/>
          <w:szCs w:val="32"/>
        </w:rPr>
        <w:t>、6家影视拍摄取景基地。具体补助项目名称详见表1-2。</w:t>
      </w:r>
    </w:p>
    <w:p w:rsidR="009F155D" w:rsidRDefault="00977B39">
      <w:pPr>
        <w:spacing w:line="560" w:lineRule="exact"/>
        <w:ind w:firstLineChars="200" w:firstLine="480"/>
        <w:jc w:val="center"/>
        <w:rPr>
          <w:rFonts w:ascii="Times New Roman Regular" w:eastAsia="仿宋_GB2312" w:hAnsi="Times New Roman Regular" w:cs="Times New Roman Regular"/>
          <w:sz w:val="32"/>
          <w:szCs w:val="32"/>
        </w:rPr>
      </w:pPr>
      <w:r>
        <w:rPr>
          <w:rFonts w:ascii="黑体" w:eastAsia="黑体" w:hAnsi="黑体" w:cs="黑体" w:hint="eastAsia"/>
          <w:sz w:val="24"/>
        </w:rPr>
        <w:t>表1-2 2022-2024年补</w:t>
      </w:r>
      <w:r>
        <w:rPr>
          <w:rFonts w:ascii="Times New Roman Regular" w:eastAsia="黑体" w:hAnsi="Times New Roman Regular" w:cs="Times New Roman Regular"/>
          <w:sz w:val="24"/>
        </w:rPr>
        <w:t>助项目汇总表</w:t>
      </w:r>
    </w:p>
    <w:tbl>
      <w:tblPr>
        <w:tblW w:w="4998" w:type="pct"/>
        <w:tblLayout w:type="fixed"/>
        <w:tblLook w:val="04A0" w:firstRow="1" w:lastRow="0" w:firstColumn="1" w:lastColumn="0" w:noHBand="0" w:noVBand="1"/>
      </w:tblPr>
      <w:tblGrid>
        <w:gridCol w:w="1141"/>
        <w:gridCol w:w="2217"/>
        <w:gridCol w:w="5161"/>
      </w:tblGrid>
      <w:tr w:rsidR="009F155D">
        <w:trPr>
          <w:trHeight w:val="385"/>
          <w:tblHeader/>
        </w:trPr>
        <w:tc>
          <w:tcPr>
            <w:tcW w:w="67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9F155D" w:rsidRDefault="00977B39">
            <w:pPr>
              <w:widowControl/>
              <w:jc w:val="center"/>
              <w:textAlignment w:val="center"/>
              <w:rPr>
                <w:rFonts w:ascii="黑体" w:eastAsia="黑体" w:hAnsi="黑体" w:cs="黑体"/>
                <w:color w:val="000000"/>
                <w:kern w:val="0"/>
                <w:sz w:val="24"/>
                <w:lang w:bidi="ar"/>
              </w:rPr>
            </w:pPr>
            <w:r>
              <w:rPr>
                <w:rFonts w:ascii="黑体" w:eastAsia="黑体" w:hAnsi="黑体" w:cs="黑体" w:hint="eastAsia"/>
                <w:color w:val="000000"/>
                <w:kern w:val="0"/>
                <w:sz w:val="24"/>
                <w:lang w:bidi="ar"/>
              </w:rPr>
              <w:t>序号</w:t>
            </w:r>
          </w:p>
        </w:tc>
        <w:tc>
          <w:tcPr>
            <w:tcW w:w="130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补助类别</w:t>
            </w:r>
          </w:p>
        </w:tc>
        <w:tc>
          <w:tcPr>
            <w:tcW w:w="3028"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补助项目名称</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w:t>
            </w:r>
          </w:p>
        </w:tc>
        <w:tc>
          <w:tcPr>
            <w:tcW w:w="1300" w:type="pct"/>
            <w:vMerge w:val="restart"/>
            <w:tcBorders>
              <w:top w:val="single" w:sz="4" w:space="0" w:color="000000"/>
              <w:left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支持优秀</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在青岛摄制</w:t>
            </w: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流浪地球2</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2</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莫斯科行动</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3</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倒数说爱你</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4</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老家伙</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5</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赤子之心</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6</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不完美受害人</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7</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好像也没那么热血沸腾</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8</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你比星光美丽</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9</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舞台2023</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10</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三叉戟2</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11</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南来北往</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w:t>
            </w:r>
          </w:p>
        </w:tc>
        <w:tc>
          <w:tcPr>
            <w:tcW w:w="1300" w:type="pct"/>
            <w:vMerge/>
            <w:tcBorders>
              <w:left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抓娃娃</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13</w:t>
            </w:r>
          </w:p>
        </w:tc>
        <w:tc>
          <w:tcPr>
            <w:tcW w:w="1300" w:type="pct"/>
            <w:vMerge/>
            <w:tcBorders>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红海行动2:虎鲸行动</w:t>
            </w:r>
          </w:p>
        </w:tc>
      </w:tr>
      <w:tr w:rsidR="009F155D">
        <w:trPr>
          <w:trHeight w:val="340"/>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14</w:t>
            </w:r>
          </w:p>
        </w:tc>
        <w:tc>
          <w:tcPr>
            <w:tcW w:w="13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奖励青岛出品的优秀电影项目</w:t>
            </w: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世间有她</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15</w:t>
            </w:r>
          </w:p>
        </w:tc>
        <w:tc>
          <w:tcPr>
            <w:tcW w:w="13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倒数说爱你</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16</w:t>
            </w:r>
          </w:p>
        </w:tc>
        <w:tc>
          <w:tcPr>
            <w:tcW w:w="13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奖励青岛出品的优秀网络视听节目</w:t>
            </w:r>
          </w:p>
        </w:tc>
        <w:tc>
          <w:tcPr>
            <w:tcW w:w="30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步步深陷</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17</w:t>
            </w:r>
          </w:p>
        </w:tc>
        <w:tc>
          <w:tcPr>
            <w:tcW w:w="13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婚姻攻略</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18</w:t>
            </w:r>
          </w:p>
        </w:tc>
        <w:tc>
          <w:tcPr>
            <w:tcW w:w="1300"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影视拍摄取景基地项目</w:t>
            </w: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青岛鲁邦国际风情街</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19</w:t>
            </w:r>
          </w:p>
        </w:tc>
        <w:tc>
          <w:tcPr>
            <w:tcW w:w="13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青岛青山湖影视基地</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20</w:t>
            </w:r>
          </w:p>
        </w:tc>
        <w:tc>
          <w:tcPr>
            <w:tcW w:w="13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青岛流亭机场</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lastRenderedPageBreak/>
              <w:t>21</w:t>
            </w:r>
          </w:p>
        </w:tc>
        <w:tc>
          <w:tcPr>
            <w:tcW w:w="13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青岛东方影都影视产业管理有限公司</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22</w:t>
            </w:r>
          </w:p>
        </w:tc>
        <w:tc>
          <w:tcPr>
            <w:tcW w:w="13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青岛胯骨轴胡同影视基地</w:t>
            </w:r>
          </w:p>
        </w:tc>
      </w:tr>
      <w:tr w:rsidR="009F155D">
        <w:trPr>
          <w:trHeight w:val="336"/>
        </w:trPr>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sz w:val="24"/>
              </w:rPr>
              <w:t>23</w:t>
            </w:r>
          </w:p>
        </w:tc>
        <w:tc>
          <w:tcPr>
            <w:tcW w:w="1300"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30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青岛东唐影视</w:t>
            </w:r>
            <w:proofErr w:type="gramStart"/>
            <w:r>
              <w:rPr>
                <w:rFonts w:ascii="宋体" w:eastAsia="宋体" w:hAnsi="宋体" w:cs="宋体" w:hint="eastAsia"/>
                <w:color w:val="000000"/>
                <w:kern w:val="0"/>
                <w:sz w:val="24"/>
                <w:lang w:bidi="ar"/>
              </w:rPr>
              <w:t>创意园</w:t>
            </w:r>
            <w:proofErr w:type="gramEnd"/>
          </w:p>
        </w:tc>
      </w:tr>
    </w:tbl>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4.资金投入及使用情况</w:t>
      </w:r>
    </w:p>
    <w:p w:rsidR="009F155D" w:rsidRDefault="00977B39">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2022-2024年影视产业补助资金政策预算数7718万元，调整</w:t>
      </w:r>
      <w:proofErr w:type="gramStart"/>
      <w:r>
        <w:rPr>
          <w:rFonts w:ascii="仿宋_GB2312" w:eastAsia="仿宋_GB2312" w:hAnsi="仿宋_GB2312" w:cs="仿宋_GB2312" w:hint="eastAsia"/>
          <w:sz w:val="32"/>
          <w:szCs w:val="32"/>
        </w:rPr>
        <w:t>后预算</w:t>
      </w:r>
      <w:proofErr w:type="gramEnd"/>
      <w:r>
        <w:rPr>
          <w:rFonts w:ascii="仿宋_GB2312" w:eastAsia="仿宋_GB2312" w:hAnsi="仿宋_GB2312" w:cs="仿宋_GB2312" w:hint="eastAsia"/>
          <w:sz w:val="32"/>
          <w:szCs w:val="32"/>
        </w:rPr>
        <w:t>数4625万元，执行1861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16万元，预算执行率40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24%。其中2024年因职能划转调整，相关资金450万元划归青岛市委宣传部，补助《抓娃娃》《红海行动2：虎鲸行动》两部青岛摄制电影，执行344.61万元。</w:t>
      </w:r>
    </w:p>
    <w:p w:rsidR="009F155D" w:rsidRDefault="00977B39">
      <w:pPr>
        <w:widowControl/>
        <w:spacing w:line="560" w:lineRule="exact"/>
        <w:ind w:firstLineChars="200" w:firstLine="640"/>
        <w:rPr>
          <w:rFonts w:ascii="Times New Roman Regular" w:eastAsia="仿宋_GB2312" w:hAnsi="Times New Roman Regular" w:cs="Times New Roman Regular"/>
          <w:sz w:val="32"/>
          <w:szCs w:val="32"/>
        </w:rPr>
      </w:pPr>
      <w:r>
        <w:rPr>
          <w:rFonts w:ascii="仿宋_GB2312" w:eastAsia="仿宋_GB2312" w:hAnsi="仿宋_GB2312" w:cs="仿宋_GB2312" w:hint="eastAsia"/>
          <w:sz w:val="32"/>
          <w:szCs w:val="32"/>
        </w:rPr>
        <w:t>对政策资金调整后，单位未及时根据资金调整情况，对2022年项目的实施内容、支出计划等进行调整。2022-2024年预算及支出情况见表1-3、1-4、1-5、1-6。</w:t>
      </w:r>
    </w:p>
    <w:p w:rsidR="009F155D" w:rsidRDefault="00977B39">
      <w:pPr>
        <w:widowControl/>
        <w:spacing w:line="560" w:lineRule="exact"/>
        <w:ind w:firstLineChars="200" w:firstLine="480"/>
        <w:jc w:val="center"/>
        <w:rPr>
          <w:rFonts w:ascii="Times New Roman Regular" w:eastAsia="黑体" w:hAnsi="Times New Roman Regular" w:cs="Times New Roman Regular"/>
          <w:sz w:val="24"/>
        </w:rPr>
      </w:pPr>
      <w:r>
        <w:rPr>
          <w:rFonts w:ascii="黑体" w:eastAsia="黑体" w:hAnsi="黑体" w:cs="黑体" w:hint="eastAsia"/>
          <w:sz w:val="24"/>
        </w:rPr>
        <w:t>表1-3 2022-2024年影视产业补</w:t>
      </w:r>
      <w:r>
        <w:rPr>
          <w:rFonts w:ascii="Times New Roman Regular" w:eastAsia="黑体" w:hAnsi="Times New Roman Regular" w:cs="Times New Roman Regular"/>
          <w:sz w:val="24"/>
        </w:rPr>
        <w:t>助</w:t>
      </w:r>
      <w:r>
        <w:rPr>
          <w:rFonts w:ascii="Times New Roman Regular" w:eastAsia="黑体" w:hAnsi="Times New Roman Regular" w:cs="Times New Roman Regular" w:hint="eastAsia"/>
          <w:sz w:val="24"/>
        </w:rPr>
        <w:t>资金</w:t>
      </w:r>
      <w:r>
        <w:rPr>
          <w:rFonts w:ascii="Times New Roman Regular" w:eastAsia="黑体" w:hAnsi="Times New Roman Regular" w:cs="Times New Roman Regular"/>
          <w:sz w:val="24"/>
        </w:rPr>
        <w:t>政策预算及</w:t>
      </w:r>
      <w:r>
        <w:rPr>
          <w:rFonts w:ascii="Times New Roman Regular" w:eastAsia="黑体" w:hAnsi="Times New Roman Regular" w:cs="Times New Roman Regular" w:hint="eastAsia"/>
          <w:sz w:val="24"/>
        </w:rPr>
        <w:t>支出汇总表</w:t>
      </w:r>
    </w:p>
    <w:tbl>
      <w:tblPr>
        <w:tblW w:w="4994" w:type="pct"/>
        <w:tblLayout w:type="fixed"/>
        <w:tblLook w:val="04A0" w:firstRow="1" w:lastRow="0" w:firstColumn="1" w:lastColumn="0" w:noHBand="0" w:noVBand="1"/>
      </w:tblPr>
      <w:tblGrid>
        <w:gridCol w:w="1677"/>
        <w:gridCol w:w="1889"/>
        <w:gridCol w:w="1820"/>
        <w:gridCol w:w="1650"/>
        <w:gridCol w:w="1476"/>
      </w:tblGrid>
      <w:tr w:rsidR="009F155D">
        <w:trPr>
          <w:trHeight w:val="454"/>
        </w:trPr>
        <w:tc>
          <w:tcPr>
            <w:tcW w:w="1678"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宋体" w:cs="黑体"/>
                <w:color w:val="000000"/>
                <w:kern w:val="0"/>
                <w:sz w:val="24"/>
                <w:lang w:bidi="ar"/>
              </w:rPr>
              <w:t>年度</w:t>
            </w:r>
          </w:p>
        </w:tc>
        <w:tc>
          <w:tcPr>
            <w:tcW w:w="1889"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宋体" w:cs="黑体"/>
                <w:color w:val="000000"/>
                <w:kern w:val="0"/>
                <w:sz w:val="24"/>
                <w:lang w:bidi="ar"/>
              </w:rPr>
              <w:t>预算数</w:t>
            </w:r>
          </w:p>
        </w:tc>
        <w:tc>
          <w:tcPr>
            <w:tcW w:w="182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宋体" w:cs="黑体"/>
                <w:color w:val="000000"/>
                <w:kern w:val="0"/>
                <w:sz w:val="24"/>
                <w:lang w:bidi="ar"/>
              </w:rPr>
              <w:t>调整</w:t>
            </w:r>
            <w:proofErr w:type="gramStart"/>
            <w:r>
              <w:rPr>
                <w:rFonts w:ascii="黑体" w:eastAsia="黑体" w:hAnsi="宋体" w:cs="黑体"/>
                <w:color w:val="000000"/>
                <w:kern w:val="0"/>
                <w:sz w:val="24"/>
                <w:lang w:bidi="ar"/>
              </w:rPr>
              <w:t>后预算</w:t>
            </w:r>
            <w:proofErr w:type="gramEnd"/>
            <w:r>
              <w:rPr>
                <w:rFonts w:ascii="黑体" w:eastAsia="黑体" w:hAnsi="宋体" w:cs="黑体"/>
                <w:color w:val="000000"/>
                <w:kern w:val="0"/>
                <w:sz w:val="24"/>
                <w:lang w:bidi="ar"/>
              </w:rPr>
              <w:t>数</w:t>
            </w:r>
          </w:p>
        </w:tc>
        <w:tc>
          <w:tcPr>
            <w:tcW w:w="165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宋体" w:cs="黑体"/>
                <w:color w:val="000000"/>
                <w:kern w:val="0"/>
                <w:sz w:val="24"/>
                <w:lang w:bidi="ar"/>
              </w:rPr>
              <w:t>执行数</w:t>
            </w:r>
          </w:p>
        </w:tc>
        <w:tc>
          <w:tcPr>
            <w:tcW w:w="147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宋体" w:cs="黑体"/>
                <w:color w:val="000000"/>
                <w:kern w:val="0"/>
                <w:sz w:val="24"/>
                <w:lang w:bidi="ar"/>
              </w:rPr>
              <w:t>执行率</w:t>
            </w:r>
          </w:p>
        </w:tc>
      </w:tr>
      <w:tr w:rsidR="009F155D">
        <w:trPr>
          <w:trHeight w:val="454"/>
        </w:trPr>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2022年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4300</w:t>
            </w:r>
          </w:p>
        </w:tc>
        <w:tc>
          <w:tcPr>
            <w:tcW w:w="1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1207</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479.76</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39.75%</w:t>
            </w:r>
          </w:p>
        </w:tc>
      </w:tr>
      <w:tr w:rsidR="009F155D">
        <w:trPr>
          <w:trHeight w:val="454"/>
        </w:trPr>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2023年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2150</w:t>
            </w:r>
          </w:p>
        </w:tc>
        <w:tc>
          <w:tcPr>
            <w:tcW w:w="1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2150</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307.15</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14.29%</w:t>
            </w:r>
          </w:p>
        </w:tc>
      </w:tr>
      <w:tr w:rsidR="009F155D">
        <w:trPr>
          <w:trHeight w:val="454"/>
        </w:trPr>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2024年</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1268</w:t>
            </w:r>
          </w:p>
        </w:tc>
        <w:tc>
          <w:tcPr>
            <w:tcW w:w="1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1268</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1074.25</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89.20%</w:t>
            </w:r>
          </w:p>
        </w:tc>
      </w:tr>
      <w:tr w:rsidR="009F155D">
        <w:trPr>
          <w:trHeight w:val="454"/>
        </w:trPr>
        <w:tc>
          <w:tcPr>
            <w:tcW w:w="16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w:t>
            </w:r>
          </w:p>
        </w:tc>
        <w:tc>
          <w:tcPr>
            <w:tcW w:w="18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7718</w:t>
            </w:r>
          </w:p>
        </w:tc>
        <w:tc>
          <w:tcPr>
            <w:tcW w:w="18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4625</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1861.16</w:t>
            </w:r>
          </w:p>
        </w:tc>
        <w:tc>
          <w:tcPr>
            <w:tcW w:w="14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40.24%</w:t>
            </w:r>
          </w:p>
        </w:tc>
      </w:tr>
    </w:tbl>
    <w:p w:rsidR="009F155D" w:rsidRDefault="009F155D">
      <w:bookmarkStart w:id="5" w:name="_Toc1401280824"/>
      <w:bookmarkStart w:id="6" w:name="_Toc15718"/>
    </w:p>
    <w:p w:rsidR="009F155D" w:rsidRDefault="00977B39">
      <w:pPr>
        <w:jc w:val="center"/>
        <w:rPr>
          <w:rFonts w:eastAsia="黑体"/>
        </w:rPr>
      </w:pPr>
      <w:r>
        <w:rPr>
          <w:rFonts w:ascii="黑体" w:eastAsia="黑体" w:hAnsi="黑体" w:cs="黑体" w:hint="eastAsia"/>
          <w:sz w:val="24"/>
        </w:rPr>
        <w:t>表1-4 2022</w:t>
      </w:r>
      <w:r>
        <w:rPr>
          <w:rFonts w:ascii="Times New Roman Regular" w:eastAsia="黑体" w:hAnsi="Times New Roman Regular" w:cs="Times New Roman Regular" w:hint="eastAsia"/>
          <w:sz w:val="24"/>
        </w:rPr>
        <w:t>年</w:t>
      </w:r>
      <w:r>
        <w:rPr>
          <w:rFonts w:ascii="Times New Roman Regular" w:eastAsia="黑体" w:hAnsi="Times New Roman Regular" w:cs="Times New Roman Regular"/>
          <w:sz w:val="24"/>
        </w:rPr>
        <w:t>影视产业补助</w:t>
      </w:r>
      <w:r>
        <w:rPr>
          <w:rFonts w:ascii="Times New Roman Regular" w:eastAsia="黑体" w:hAnsi="Times New Roman Regular" w:cs="Times New Roman Regular" w:hint="eastAsia"/>
          <w:sz w:val="24"/>
        </w:rPr>
        <w:t>资金</w:t>
      </w:r>
      <w:r>
        <w:rPr>
          <w:rFonts w:ascii="Times New Roman Regular" w:eastAsia="黑体" w:hAnsi="Times New Roman Regular" w:cs="Times New Roman Regular"/>
          <w:sz w:val="24"/>
        </w:rPr>
        <w:t>政策</w:t>
      </w:r>
      <w:r>
        <w:rPr>
          <w:rFonts w:ascii="Times New Roman Regular" w:eastAsia="黑体" w:hAnsi="Times New Roman Regular" w:cs="Times New Roman Regular" w:hint="eastAsia"/>
          <w:sz w:val="24"/>
        </w:rPr>
        <w:t>测算</w:t>
      </w:r>
      <w:r>
        <w:rPr>
          <w:rFonts w:ascii="Times New Roman Regular" w:eastAsia="黑体" w:hAnsi="Times New Roman Regular" w:cs="Times New Roman Regular"/>
          <w:sz w:val="24"/>
        </w:rPr>
        <w:t>及</w:t>
      </w:r>
      <w:r>
        <w:rPr>
          <w:rFonts w:ascii="Times New Roman Regular" w:eastAsia="黑体" w:hAnsi="Times New Roman Regular" w:cs="Times New Roman Regular" w:hint="eastAsia"/>
          <w:sz w:val="24"/>
        </w:rPr>
        <w:t>执行表</w:t>
      </w:r>
    </w:p>
    <w:tbl>
      <w:tblPr>
        <w:tblW w:w="0" w:type="auto"/>
        <w:tblLayout w:type="fixed"/>
        <w:tblLook w:val="04A0" w:firstRow="1" w:lastRow="0" w:firstColumn="1" w:lastColumn="0" w:noHBand="0" w:noVBand="1"/>
      </w:tblPr>
      <w:tblGrid>
        <w:gridCol w:w="1906"/>
        <w:gridCol w:w="1316"/>
        <w:gridCol w:w="1055"/>
        <w:gridCol w:w="960"/>
        <w:gridCol w:w="1088"/>
        <w:gridCol w:w="1264"/>
        <w:gridCol w:w="933"/>
      </w:tblGrid>
      <w:tr w:rsidR="009F155D">
        <w:trPr>
          <w:trHeight w:val="454"/>
          <w:tblHeader/>
        </w:trPr>
        <w:tc>
          <w:tcPr>
            <w:tcW w:w="190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部门</w:t>
            </w:r>
            <w:r>
              <w:rPr>
                <w:rFonts w:ascii="黑体" w:eastAsia="黑体" w:hAnsi="宋体" w:cs="黑体"/>
                <w:color w:val="000000"/>
                <w:kern w:val="0"/>
                <w:sz w:val="24"/>
                <w:lang w:bidi="ar"/>
              </w:rPr>
              <w:t>测算内容</w:t>
            </w:r>
          </w:p>
        </w:tc>
        <w:tc>
          <w:tcPr>
            <w:tcW w:w="131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部门</w:t>
            </w:r>
            <w:r>
              <w:rPr>
                <w:rFonts w:ascii="黑体" w:eastAsia="黑体" w:hAnsi="宋体" w:cs="黑体"/>
                <w:color w:val="000000"/>
                <w:kern w:val="0"/>
                <w:sz w:val="24"/>
                <w:lang w:bidi="ar"/>
              </w:rPr>
              <w:t>测算数</w:t>
            </w:r>
          </w:p>
        </w:tc>
        <w:tc>
          <w:tcPr>
            <w:tcW w:w="1055"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kern w:val="0"/>
                <w:sz w:val="24"/>
                <w:lang w:bidi="ar"/>
              </w:rPr>
            </w:pPr>
            <w:r>
              <w:rPr>
                <w:rFonts w:ascii="黑体" w:eastAsia="黑体" w:hAnsi="宋体" w:cs="黑体" w:hint="eastAsia"/>
                <w:kern w:val="0"/>
                <w:sz w:val="24"/>
                <w:lang w:bidi="ar"/>
              </w:rPr>
              <w:t>批复预算数</w:t>
            </w:r>
          </w:p>
        </w:tc>
        <w:tc>
          <w:tcPr>
            <w:tcW w:w="960"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kern w:val="0"/>
                <w:sz w:val="24"/>
                <w:lang w:bidi="ar"/>
              </w:rPr>
            </w:pPr>
            <w:r>
              <w:rPr>
                <w:rFonts w:ascii="黑体" w:eastAsia="黑体" w:hAnsi="宋体" w:cs="黑体" w:hint="eastAsia"/>
                <w:kern w:val="0"/>
                <w:sz w:val="24"/>
                <w:lang w:bidi="ar"/>
              </w:rPr>
              <w:t>调整预算数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执行</w:t>
            </w:r>
            <w:r>
              <w:rPr>
                <w:rFonts w:ascii="黑体" w:eastAsia="黑体" w:hAnsi="宋体" w:cs="黑体"/>
                <w:color w:val="000000"/>
                <w:kern w:val="0"/>
                <w:sz w:val="24"/>
                <w:lang w:bidi="ar"/>
              </w:rPr>
              <w:t>内容</w:t>
            </w:r>
          </w:p>
        </w:tc>
        <w:tc>
          <w:tcPr>
            <w:tcW w:w="933"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执行</w:t>
            </w:r>
            <w:r>
              <w:rPr>
                <w:rFonts w:ascii="黑体" w:eastAsia="黑体" w:hAnsi="宋体" w:cs="黑体"/>
                <w:color w:val="000000"/>
                <w:kern w:val="0"/>
                <w:sz w:val="24"/>
                <w:lang w:bidi="ar"/>
              </w:rPr>
              <w:t>数</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电视剧《舍我其谁》</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200</w:t>
            </w:r>
          </w:p>
        </w:tc>
        <w:tc>
          <w:tcPr>
            <w:tcW w:w="1055" w:type="dxa"/>
            <w:vMerge w:val="restart"/>
            <w:tcBorders>
              <w:top w:val="single" w:sz="4" w:space="0" w:color="000000"/>
              <w:left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4300</w:t>
            </w:r>
          </w:p>
        </w:tc>
        <w:tc>
          <w:tcPr>
            <w:tcW w:w="960" w:type="dxa"/>
            <w:vMerge w:val="restart"/>
            <w:tcBorders>
              <w:top w:val="single" w:sz="4" w:space="0" w:color="000000"/>
              <w:left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1207</w:t>
            </w:r>
          </w:p>
        </w:tc>
        <w:tc>
          <w:tcPr>
            <w:tcW w:w="10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支持优秀</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在青岛摄制</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流浪地球2</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83.31</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电视剧《亲爱的你》</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130</w:t>
            </w:r>
          </w:p>
        </w:tc>
        <w:tc>
          <w:tcPr>
            <w:tcW w:w="1055"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960"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莫斯科行动</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94.26</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电影《天星术》</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300</w:t>
            </w:r>
          </w:p>
        </w:tc>
        <w:tc>
          <w:tcPr>
            <w:tcW w:w="1055"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960"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倒数说爱你</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12.4</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电视剧《光阴的故事》</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400</w:t>
            </w:r>
          </w:p>
        </w:tc>
        <w:tc>
          <w:tcPr>
            <w:tcW w:w="1055"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960"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老家伙</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12.89</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电影《进击的郑前》</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1000</w:t>
            </w:r>
          </w:p>
        </w:tc>
        <w:tc>
          <w:tcPr>
            <w:tcW w:w="1055"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960"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赤子之心</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75.53</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电视剧《鱼生知有你》</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64</w:t>
            </w:r>
          </w:p>
        </w:tc>
        <w:tc>
          <w:tcPr>
            <w:tcW w:w="1055"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960"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0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F155D">
            <w:pPr>
              <w:jc w:val="center"/>
              <w:rPr>
                <w:rFonts w:ascii="宋体" w:eastAsia="宋体" w:hAnsi="宋体" w:cs="宋体"/>
                <w:color w:val="000000"/>
                <w:sz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不完美受害人</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32.73</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电影《独行月球》</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1200</w:t>
            </w:r>
          </w:p>
        </w:tc>
        <w:tc>
          <w:tcPr>
            <w:tcW w:w="1055"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960"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奖励青岛出品的优秀电影项目</w:t>
            </w:r>
          </w:p>
        </w:tc>
        <w:tc>
          <w:tcPr>
            <w:tcW w:w="12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世间有她</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168.64</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电影《封神三部曲-1》</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3000</w:t>
            </w:r>
          </w:p>
        </w:tc>
        <w:tc>
          <w:tcPr>
            <w:tcW w:w="1055" w:type="dxa"/>
            <w:vMerge/>
            <w:tcBorders>
              <w:left w:val="single" w:sz="4" w:space="0" w:color="000000"/>
              <w:bottom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960" w:type="dxa"/>
            <w:vMerge/>
            <w:tcBorders>
              <w:left w:val="single" w:sz="4" w:space="0" w:color="000000"/>
              <w:bottom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9F155D">
        <w:trPr>
          <w:trHeight w:val="454"/>
        </w:trPr>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合计</w:t>
            </w: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6294</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4300</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t>1207</w:t>
            </w:r>
          </w:p>
        </w:tc>
        <w:tc>
          <w:tcPr>
            <w:tcW w:w="10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2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9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479.76</w:t>
            </w:r>
          </w:p>
        </w:tc>
      </w:tr>
    </w:tbl>
    <w:p w:rsidR="009F155D" w:rsidRDefault="009F155D"/>
    <w:p w:rsidR="009F155D" w:rsidRDefault="00977B39">
      <w:pPr>
        <w:jc w:val="center"/>
      </w:pPr>
      <w:r>
        <w:rPr>
          <w:rFonts w:ascii="黑体" w:eastAsia="黑体" w:hAnsi="黑体" w:cs="黑体" w:hint="eastAsia"/>
          <w:sz w:val="24"/>
        </w:rPr>
        <w:t>表1-5 2023年</w:t>
      </w:r>
      <w:r>
        <w:rPr>
          <w:rFonts w:ascii="Times New Roman Regular" w:eastAsia="黑体" w:hAnsi="Times New Roman Regular" w:cs="Times New Roman Regular"/>
          <w:sz w:val="24"/>
        </w:rPr>
        <w:t>影视产业补助</w:t>
      </w:r>
      <w:r>
        <w:rPr>
          <w:rFonts w:ascii="Times New Roman Regular" w:eastAsia="黑体" w:hAnsi="Times New Roman Regular" w:cs="Times New Roman Regular" w:hint="eastAsia"/>
          <w:sz w:val="24"/>
        </w:rPr>
        <w:t>资金</w:t>
      </w:r>
      <w:r>
        <w:rPr>
          <w:rFonts w:ascii="Times New Roman Regular" w:eastAsia="黑体" w:hAnsi="Times New Roman Regular" w:cs="Times New Roman Regular"/>
          <w:sz w:val="24"/>
        </w:rPr>
        <w:t>政策</w:t>
      </w:r>
      <w:r>
        <w:rPr>
          <w:rFonts w:ascii="Times New Roman Regular" w:eastAsia="黑体" w:hAnsi="Times New Roman Regular" w:cs="Times New Roman Regular" w:hint="eastAsia"/>
          <w:sz w:val="24"/>
        </w:rPr>
        <w:t>预算</w:t>
      </w:r>
      <w:r>
        <w:rPr>
          <w:rFonts w:ascii="Times New Roman Regular" w:eastAsia="黑体" w:hAnsi="Times New Roman Regular" w:cs="Times New Roman Regular"/>
          <w:sz w:val="24"/>
        </w:rPr>
        <w:t>及</w:t>
      </w:r>
      <w:r>
        <w:rPr>
          <w:rFonts w:ascii="Times New Roman Regular" w:eastAsia="黑体" w:hAnsi="Times New Roman Regular" w:cs="Times New Roman Regular" w:hint="eastAsia"/>
          <w:sz w:val="24"/>
        </w:rPr>
        <w:t>支出表</w:t>
      </w:r>
    </w:p>
    <w:tbl>
      <w:tblPr>
        <w:tblW w:w="4983" w:type="pct"/>
        <w:tblLayout w:type="fixed"/>
        <w:tblLook w:val="04A0" w:firstRow="1" w:lastRow="0" w:firstColumn="1" w:lastColumn="0" w:noHBand="0" w:noVBand="1"/>
      </w:tblPr>
      <w:tblGrid>
        <w:gridCol w:w="2563"/>
        <w:gridCol w:w="948"/>
        <w:gridCol w:w="2573"/>
        <w:gridCol w:w="1371"/>
        <w:gridCol w:w="1038"/>
      </w:tblGrid>
      <w:tr w:rsidR="009F155D">
        <w:trPr>
          <w:trHeight w:val="334"/>
          <w:tblHeader/>
        </w:trPr>
        <w:tc>
          <w:tcPr>
            <w:tcW w:w="15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预算内容</w:t>
            </w:r>
          </w:p>
        </w:tc>
        <w:tc>
          <w:tcPr>
            <w:tcW w:w="55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预算数</w:t>
            </w:r>
          </w:p>
        </w:tc>
        <w:tc>
          <w:tcPr>
            <w:tcW w:w="151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调整后执行内容</w:t>
            </w:r>
          </w:p>
        </w:tc>
        <w:tc>
          <w:tcPr>
            <w:tcW w:w="807"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调整预算数</w:t>
            </w:r>
          </w:p>
        </w:tc>
        <w:tc>
          <w:tcPr>
            <w:tcW w:w="61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rsidR="009F155D" w:rsidRDefault="00977B39">
            <w:pPr>
              <w:widowControl/>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执行数</w:t>
            </w:r>
          </w:p>
        </w:tc>
      </w:tr>
      <w:tr w:rsidR="009F155D">
        <w:trPr>
          <w:trHeight w:val="340"/>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“支持优秀影视项目在青岛摄制”类别</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550</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“支持优秀影视项目在青岛摄制”类别</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550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168.05</w:t>
            </w:r>
          </w:p>
        </w:tc>
      </w:tr>
      <w:tr w:rsidR="009F155D">
        <w:trPr>
          <w:trHeight w:val="340"/>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“规范影视拍摄取景地管理”类别</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”规范影视拍摄取景地管理</w:t>
            </w:r>
            <w:proofErr w:type="gramStart"/>
            <w:r>
              <w:rPr>
                <w:rFonts w:ascii="宋体" w:eastAsia="宋体" w:hAnsi="宋体" w:cs="宋体" w:hint="eastAsia"/>
                <w:color w:val="000000"/>
                <w:kern w:val="0"/>
                <w:sz w:val="24"/>
                <w:lang w:bidi="ar"/>
              </w:rPr>
              <w:t>”</w:t>
            </w:r>
            <w:proofErr w:type="gramEnd"/>
            <w:r>
              <w:rPr>
                <w:rFonts w:ascii="宋体" w:eastAsia="宋体" w:hAnsi="宋体" w:cs="宋体" w:hint="eastAsia"/>
                <w:color w:val="000000"/>
                <w:kern w:val="0"/>
                <w:sz w:val="24"/>
                <w:lang w:bidi="ar"/>
              </w:rPr>
              <w:t>类别</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0</w:t>
            </w:r>
          </w:p>
        </w:tc>
      </w:tr>
      <w:tr w:rsidR="009F155D">
        <w:trPr>
          <w:trHeight w:val="340"/>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“奖励青岛出品的优秀电影项目”类别</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270</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“奖励青岛出品的优秀电影项目”类别</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79.1</w:t>
            </w:r>
          </w:p>
        </w:tc>
      </w:tr>
      <w:tr w:rsidR="009F155D">
        <w:trPr>
          <w:trHeight w:val="680"/>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“奖励青岛出品的优秀网络视听节目”类别</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1030</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“奖励青岛出品的优秀网络视听节目”类别</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1030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9F155D">
        <w:trPr>
          <w:trHeight w:val="680"/>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推动青岛影视元素衍生品市场化开发"类别</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“推动青岛影视元素衍生品市场化开发”类别</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9F155D">
        <w:trPr>
          <w:trHeight w:val="340"/>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“加强影视人才引育”类别</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15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“加强影视人才引育”类别</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9F155D">
        <w:trPr>
          <w:trHeight w:val="482"/>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1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jc w:val="center"/>
              <w:rPr>
                <w:rFonts w:ascii="宋体" w:eastAsia="宋体" w:hAnsi="宋体" w:cs="宋体"/>
                <w:color w:val="000000"/>
                <w:sz w:val="24"/>
              </w:rPr>
            </w:pPr>
            <w:r>
              <w:rPr>
                <w:rFonts w:ascii="宋体" w:eastAsia="宋体" w:hAnsi="宋体" w:cs="宋体" w:hint="eastAsia"/>
                <w:color w:val="000000"/>
                <w:kern w:val="0"/>
                <w:sz w:val="24"/>
                <w:lang w:bidi="ar"/>
              </w:rPr>
              <w:t>60万元支出方向为影视拍摄取景基地项目类别，不在2023年预算中。</w:t>
            </w: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60</w:t>
            </w:r>
          </w:p>
        </w:tc>
      </w:tr>
      <w:tr w:rsidR="009F155D">
        <w:trPr>
          <w:trHeight w:val="336"/>
        </w:trPr>
        <w:tc>
          <w:tcPr>
            <w:tcW w:w="150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5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2150</w:t>
            </w:r>
          </w:p>
        </w:tc>
        <w:tc>
          <w:tcPr>
            <w:tcW w:w="151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F155D">
            <w:pPr>
              <w:jc w:val="center"/>
              <w:rPr>
                <w:rFonts w:ascii="宋体" w:eastAsia="宋体" w:hAnsi="宋体" w:cs="宋体"/>
                <w:color w:val="000000"/>
                <w:sz w:val="24"/>
              </w:rPr>
            </w:pPr>
          </w:p>
        </w:tc>
        <w:tc>
          <w:tcPr>
            <w:tcW w:w="8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2150</w:t>
            </w:r>
          </w:p>
        </w:tc>
        <w:tc>
          <w:tcPr>
            <w:tcW w:w="6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307.15</w:t>
            </w:r>
          </w:p>
        </w:tc>
      </w:tr>
    </w:tbl>
    <w:p w:rsidR="009F155D" w:rsidRDefault="009F155D"/>
    <w:p w:rsidR="009F155D" w:rsidRDefault="00977B39">
      <w:pPr>
        <w:jc w:val="center"/>
      </w:pPr>
      <w:r>
        <w:rPr>
          <w:rFonts w:ascii="黑体" w:eastAsia="黑体" w:hAnsi="黑体" w:cs="黑体" w:hint="eastAsia"/>
          <w:sz w:val="24"/>
        </w:rPr>
        <w:t>表1-6 2024年影</w:t>
      </w:r>
      <w:r>
        <w:rPr>
          <w:rFonts w:ascii="Times New Roman Regular" w:eastAsia="黑体" w:hAnsi="Times New Roman Regular" w:cs="Times New Roman Regular"/>
          <w:sz w:val="24"/>
        </w:rPr>
        <w:t>视产业补助</w:t>
      </w:r>
      <w:r>
        <w:rPr>
          <w:rFonts w:ascii="Times New Roman Regular" w:eastAsia="黑体" w:hAnsi="Times New Roman Regular" w:cs="Times New Roman Regular" w:hint="eastAsia"/>
          <w:sz w:val="24"/>
        </w:rPr>
        <w:t>资金</w:t>
      </w:r>
      <w:r>
        <w:rPr>
          <w:rFonts w:ascii="Times New Roman Regular" w:eastAsia="黑体" w:hAnsi="Times New Roman Regular" w:cs="Times New Roman Regular"/>
          <w:sz w:val="24"/>
        </w:rPr>
        <w:t>政策</w:t>
      </w:r>
      <w:r>
        <w:rPr>
          <w:rFonts w:ascii="Times New Roman Regular" w:eastAsia="黑体" w:hAnsi="Times New Roman Regular" w:cs="Times New Roman Regular" w:hint="eastAsia"/>
          <w:sz w:val="24"/>
        </w:rPr>
        <w:t>测算</w:t>
      </w:r>
      <w:r>
        <w:rPr>
          <w:rFonts w:ascii="Times New Roman Regular" w:eastAsia="黑体" w:hAnsi="Times New Roman Regular" w:cs="Times New Roman Regular"/>
          <w:sz w:val="24"/>
        </w:rPr>
        <w:t>及</w:t>
      </w:r>
      <w:r>
        <w:rPr>
          <w:rFonts w:ascii="Times New Roman Regular" w:eastAsia="黑体" w:hAnsi="Times New Roman Regular" w:cs="Times New Roman Regular" w:hint="eastAsia"/>
          <w:sz w:val="24"/>
        </w:rPr>
        <w:t>支出表</w:t>
      </w:r>
    </w:p>
    <w:tbl>
      <w:tblPr>
        <w:tblW w:w="4998" w:type="pct"/>
        <w:tblLayout w:type="fixed"/>
        <w:tblLook w:val="04A0" w:firstRow="1" w:lastRow="0" w:firstColumn="1" w:lastColumn="0" w:noHBand="0" w:noVBand="1"/>
      </w:tblPr>
      <w:tblGrid>
        <w:gridCol w:w="1761"/>
        <w:gridCol w:w="1346"/>
        <w:gridCol w:w="994"/>
        <w:gridCol w:w="1200"/>
        <w:gridCol w:w="2224"/>
        <w:gridCol w:w="994"/>
      </w:tblGrid>
      <w:tr w:rsidR="009F155D">
        <w:trPr>
          <w:trHeight w:val="454"/>
          <w:tblHeader/>
        </w:trPr>
        <w:tc>
          <w:tcPr>
            <w:tcW w:w="1761"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部门</w:t>
            </w:r>
            <w:r>
              <w:rPr>
                <w:rFonts w:ascii="黑体" w:eastAsia="黑体" w:hAnsi="宋体" w:cs="黑体"/>
                <w:color w:val="000000"/>
                <w:kern w:val="0"/>
                <w:sz w:val="24"/>
                <w:lang w:bidi="ar"/>
              </w:rPr>
              <w:t>测算内容</w:t>
            </w:r>
          </w:p>
        </w:tc>
        <w:tc>
          <w:tcPr>
            <w:tcW w:w="1346"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部门</w:t>
            </w:r>
            <w:r>
              <w:rPr>
                <w:rFonts w:ascii="黑体" w:eastAsia="黑体" w:hAnsi="宋体" w:cs="黑体"/>
                <w:color w:val="000000"/>
                <w:kern w:val="0"/>
                <w:sz w:val="24"/>
                <w:lang w:bidi="ar"/>
              </w:rPr>
              <w:t>测算数</w:t>
            </w:r>
          </w:p>
        </w:tc>
        <w:tc>
          <w:tcPr>
            <w:tcW w:w="99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jc w:val="center"/>
              <w:textAlignment w:val="center"/>
              <w:rPr>
                <w:rFonts w:ascii="黑体" w:eastAsia="黑体" w:hAnsi="宋体" w:cs="黑体"/>
                <w:color w:val="000000"/>
                <w:kern w:val="0"/>
                <w:sz w:val="24"/>
                <w:lang w:bidi="ar"/>
              </w:rPr>
            </w:pPr>
            <w:r>
              <w:rPr>
                <w:rFonts w:ascii="黑体" w:eastAsia="黑体" w:hAnsi="宋体" w:cs="黑体" w:hint="eastAsia"/>
                <w:kern w:val="0"/>
                <w:sz w:val="24"/>
                <w:lang w:bidi="ar"/>
              </w:rPr>
              <w:t>批复预算数</w:t>
            </w:r>
          </w:p>
        </w:tc>
        <w:tc>
          <w:tcPr>
            <w:tcW w:w="1200" w:type="dxa"/>
            <w:tcBorders>
              <w:top w:val="single" w:sz="4" w:space="0" w:color="auto"/>
              <w:left w:val="nil"/>
              <w:bottom w:val="nil"/>
              <w:right w:val="single" w:sz="4" w:space="0" w:color="auto"/>
            </w:tcBorders>
            <w:shd w:val="clear" w:color="auto" w:fill="BFBFBF"/>
            <w:noWrap/>
            <w:vAlign w:val="center"/>
          </w:tcPr>
          <w:p w:rsidR="009F155D" w:rsidRDefault="00977B39">
            <w:pPr>
              <w:widowControl/>
              <w:jc w:val="center"/>
              <w:textAlignment w:val="center"/>
              <w:rPr>
                <w:rFonts w:ascii="黑体" w:eastAsia="黑体" w:hAnsi="宋体" w:cs="黑体"/>
                <w:color w:val="000000"/>
                <w:kern w:val="0"/>
                <w:sz w:val="24"/>
                <w:lang w:bidi="ar"/>
              </w:rPr>
            </w:pPr>
            <w:r>
              <w:rPr>
                <w:rFonts w:ascii="黑体" w:eastAsia="黑体" w:hAnsi="宋体" w:cs="黑体" w:hint="eastAsia"/>
                <w:kern w:val="0"/>
                <w:sz w:val="24"/>
                <w:lang w:bidi="ar"/>
              </w:rPr>
              <w:t>调整预算数</w:t>
            </w:r>
          </w:p>
        </w:tc>
        <w:tc>
          <w:tcPr>
            <w:tcW w:w="2224" w:type="dxa"/>
            <w:tcBorders>
              <w:top w:val="single" w:sz="4" w:space="0" w:color="auto"/>
              <w:left w:val="single" w:sz="4" w:space="0" w:color="auto"/>
              <w:bottom w:val="nil"/>
              <w:right w:val="nil"/>
            </w:tcBorders>
            <w:shd w:val="clear" w:color="auto" w:fill="BFBFBF"/>
            <w:noWrap/>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执行</w:t>
            </w:r>
            <w:r>
              <w:rPr>
                <w:rFonts w:ascii="黑体" w:eastAsia="黑体" w:hAnsi="宋体" w:cs="黑体"/>
                <w:color w:val="000000"/>
                <w:kern w:val="0"/>
                <w:sz w:val="24"/>
                <w:lang w:bidi="ar"/>
              </w:rPr>
              <w:t>内容</w:t>
            </w:r>
          </w:p>
        </w:tc>
        <w:tc>
          <w:tcPr>
            <w:tcW w:w="994" w:type="dxa"/>
            <w:tcBorders>
              <w:top w:val="single" w:sz="4" w:space="0" w:color="000000"/>
              <w:left w:val="single" w:sz="4" w:space="0" w:color="000000"/>
              <w:bottom w:val="single" w:sz="4" w:space="0" w:color="000000"/>
              <w:right w:val="single" w:sz="4" w:space="0" w:color="000000"/>
            </w:tcBorders>
            <w:shd w:val="clear" w:color="auto" w:fill="BFBFBF"/>
            <w:noWrap/>
            <w:vAlign w:val="center"/>
          </w:tcPr>
          <w:p w:rsidR="009F155D" w:rsidRDefault="00977B39">
            <w:pPr>
              <w:widowControl/>
              <w:textAlignment w:val="center"/>
              <w:rPr>
                <w:rFonts w:ascii="黑体" w:eastAsia="黑体" w:hAnsi="宋体" w:cs="黑体"/>
                <w:color w:val="000000"/>
                <w:sz w:val="24"/>
              </w:rPr>
            </w:pPr>
            <w:r>
              <w:rPr>
                <w:rFonts w:ascii="黑体" w:eastAsia="黑体" w:hAnsi="宋体" w:cs="黑体" w:hint="eastAsia"/>
                <w:color w:val="000000"/>
                <w:kern w:val="0"/>
                <w:sz w:val="24"/>
                <w:lang w:bidi="ar"/>
              </w:rPr>
              <w:t>执行</w:t>
            </w:r>
            <w:r>
              <w:rPr>
                <w:rFonts w:ascii="黑体" w:eastAsia="黑体" w:hAnsi="宋体" w:cs="黑体"/>
                <w:color w:val="000000"/>
                <w:kern w:val="0"/>
                <w:sz w:val="24"/>
                <w:lang w:bidi="ar"/>
              </w:rPr>
              <w:t>数</w:t>
            </w:r>
          </w:p>
        </w:tc>
      </w:tr>
      <w:tr w:rsidR="009F155D">
        <w:trPr>
          <w:trHeight w:val="454"/>
        </w:trPr>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支持优秀</w:t>
            </w:r>
            <w:proofErr w:type="gramStart"/>
            <w:r>
              <w:rPr>
                <w:rFonts w:ascii="Times New Roman Regular" w:eastAsia="宋体" w:hAnsi="Times New Roman Regular" w:cs="Times New Roman Regular"/>
                <w:color w:val="000000"/>
                <w:kern w:val="0"/>
                <w:sz w:val="24"/>
                <w:lang w:bidi="ar"/>
              </w:rPr>
              <w:t>影视项目</w:t>
            </w:r>
            <w:proofErr w:type="gramEnd"/>
            <w:r>
              <w:rPr>
                <w:rFonts w:ascii="Times New Roman Regular" w:eastAsia="宋体" w:hAnsi="Times New Roman Regular" w:cs="Times New Roman Regular"/>
                <w:color w:val="000000"/>
                <w:kern w:val="0"/>
                <w:sz w:val="24"/>
                <w:lang w:bidi="ar"/>
              </w:rPr>
              <w:t>在青岛摄制</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1318</w:t>
            </w:r>
          </w:p>
        </w:tc>
        <w:tc>
          <w:tcPr>
            <w:tcW w:w="994" w:type="dxa"/>
            <w:vMerge w:val="restart"/>
            <w:tcBorders>
              <w:top w:val="single" w:sz="4" w:space="0" w:color="000000"/>
              <w:left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1268</w:t>
            </w:r>
          </w:p>
        </w:tc>
        <w:tc>
          <w:tcPr>
            <w:tcW w:w="1200" w:type="dxa"/>
            <w:vMerge w:val="restart"/>
            <w:tcBorders>
              <w:top w:val="single" w:sz="4" w:space="0" w:color="000000"/>
              <w:left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color w:val="000000"/>
                <w:sz w:val="24"/>
              </w:rPr>
              <w:t>1268</w:t>
            </w: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支持优秀</w:t>
            </w:r>
            <w:proofErr w:type="gramStart"/>
            <w:r>
              <w:rPr>
                <w:rFonts w:ascii="宋体" w:eastAsia="宋体" w:hAnsi="宋体" w:cs="宋体" w:hint="eastAsia"/>
                <w:color w:val="000000"/>
                <w:kern w:val="0"/>
                <w:sz w:val="24"/>
                <w:lang w:bidi="ar"/>
              </w:rPr>
              <w:t>影视项目</w:t>
            </w:r>
            <w:proofErr w:type="gramEnd"/>
            <w:r>
              <w:rPr>
                <w:rFonts w:ascii="宋体" w:eastAsia="宋体" w:hAnsi="宋体" w:cs="宋体" w:hint="eastAsia"/>
                <w:color w:val="000000"/>
                <w:kern w:val="0"/>
                <w:sz w:val="24"/>
                <w:lang w:bidi="ar"/>
              </w:rPr>
              <w:t>在青岛摄制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color w:val="000000"/>
                <w:kern w:val="0"/>
                <w:sz w:val="24"/>
                <w:lang w:bidi="ar"/>
              </w:rPr>
              <w:t>840.6</w:t>
            </w:r>
          </w:p>
        </w:tc>
      </w:tr>
      <w:tr w:rsidR="009F155D">
        <w:trPr>
          <w:trHeight w:val="454"/>
        </w:trPr>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规范影视拍摄</w:t>
            </w:r>
            <w:r>
              <w:rPr>
                <w:rFonts w:ascii="Times New Roman Regular" w:eastAsia="宋体" w:hAnsi="Times New Roman Regular" w:cs="Times New Roman Regular"/>
                <w:color w:val="000000"/>
                <w:kern w:val="0"/>
                <w:sz w:val="24"/>
                <w:lang w:bidi="ar"/>
              </w:rPr>
              <w:lastRenderedPageBreak/>
              <w:t>取景</w:t>
            </w:r>
            <w:proofErr w:type="gramStart"/>
            <w:r>
              <w:rPr>
                <w:rFonts w:ascii="Times New Roman Regular" w:eastAsia="宋体" w:hAnsi="Times New Roman Regular" w:cs="Times New Roman Regular"/>
                <w:color w:val="000000"/>
                <w:kern w:val="0"/>
                <w:sz w:val="24"/>
                <w:lang w:bidi="ar"/>
              </w:rPr>
              <w:t>地奖补</w:t>
            </w:r>
            <w:proofErr w:type="gramEnd"/>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60</w:t>
            </w:r>
          </w:p>
        </w:tc>
        <w:tc>
          <w:tcPr>
            <w:tcW w:w="994" w:type="dxa"/>
            <w:vMerge/>
            <w:tcBorders>
              <w:left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200" w:type="dxa"/>
            <w:vMerge/>
            <w:tcBorders>
              <w:left w:val="single" w:sz="4" w:space="0" w:color="000000"/>
              <w:right w:val="single" w:sz="4" w:space="0" w:color="000000"/>
            </w:tcBorders>
            <w:shd w:val="clear" w:color="auto" w:fill="auto"/>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2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规范影视拍摄取景</w:t>
            </w:r>
            <w:proofErr w:type="gramStart"/>
            <w:r>
              <w:rPr>
                <w:rFonts w:ascii="宋体" w:eastAsia="宋体" w:hAnsi="宋体" w:cs="宋体" w:hint="eastAsia"/>
                <w:color w:val="000000"/>
                <w:kern w:val="0"/>
                <w:sz w:val="24"/>
                <w:lang w:bidi="ar"/>
              </w:rPr>
              <w:lastRenderedPageBreak/>
              <w:t>地奖补</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30</w:t>
            </w:r>
          </w:p>
        </w:tc>
      </w:tr>
      <w:tr w:rsidR="009F155D">
        <w:trPr>
          <w:trHeight w:val="454"/>
        </w:trPr>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lastRenderedPageBreak/>
              <w:t>奖励青岛出品的优秀电影项目</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994" w:type="dxa"/>
            <w:vMerge/>
            <w:tcBorders>
              <w:left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200" w:type="dxa"/>
            <w:vMerge/>
            <w:tcBorders>
              <w:left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奖励青岛出品的优秀网络视听节目</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203.65</w:t>
            </w:r>
          </w:p>
        </w:tc>
      </w:tr>
      <w:tr w:rsidR="009F155D">
        <w:trPr>
          <w:trHeight w:val="454"/>
        </w:trPr>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奖励青岛出品的优秀电视剧</w:t>
            </w:r>
            <w:r>
              <w:rPr>
                <w:rFonts w:ascii="Times New Roman Regular" w:eastAsia="宋体" w:hAnsi="Times New Roman Regular" w:cs="Times New Roman Regular" w:hint="eastAsia"/>
                <w:color w:val="000000"/>
                <w:kern w:val="0"/>
                <w:sz w:val="24"/>
                <w:lang w:bidi="ar"/>
              </w:rPr>
              <w:t>（</w:t>
            </w:r>
            <w:r>
              <w:rPr>
                <w:rFonts w:ascii="Times New Roman Regular" w:eastAsia="宋体" w:hAnsi="Times New Roman Regular" w:cs="Times New Roman Regular"/>
                <w:color w:val="000000"/>
                <w:kern w:val="0"/>
                <w:sz w:val="24"/>
                <w:lang w:bidi="ar"/>
              </w:rPr>
              <w:t>电视动画片</w:t>
            </w:r>
            <w:r>
              <w:rPr>
                <w:rFonts w:ascii="Times New Roman Regular" w:eastAsia="宋体" w:hAnsi="Times New Roman Regular" w:cs="Times New Roman Regular" w:hint="eastAsia"/>
                <w:color w:val="000000"/>
                <w:kern w:val="0"/>
                <w:sz w:val="24"/>
                <w:lang w:bidi="ar"/>
              </w:rPr>
              <w:t>）</w:t>
            </w:r>
            <w:proofErr w:type="gramStart"/>
            <w:r>
              <w:rPr>
                <w:rFonts w:ascii="Times New Roman Regular" w:eastAsia="宋体" w:hAnsi="Times New Roman Regular" w:cs="Times New Roman Regular"/>
                <w:color w:val="000000"/>
                <w:kern w:val="0"/>
                <w:sz w:val="24"/>
                <w:lang w:bidi="ar"/>
              </w:rPr>
              <w:t>奖补</w:t>
            </w:r>
            <w:proofErr w:type="gramEnd"/>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200</w:t>
            </w:r>
          </w:p>
        </w:tc>
        <w:tc>
          <w:tcPr>
            <w:tcW w:w="994" w:type="dxa"/>
            <w:vMerge/>
            <w:tcBorders>
              <w:left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200" w:type="dxa"/>
            <w:vMerge/>
            <w:tcBorders>
              <w:left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9F155D">
        <w:trPr>
          <w:trHeight w:val="454"/>
        </w:trPr>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奖励青岛出品的优秀网络视听节目</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200</w:t>
            </w:r>
          </w:p>
        </w:tc>
        <w:tc>
          <w:tcPr>
            <w:tcW w:w="994" w:type="dxa"/>
            <w:vMerge/>
            <w:tcBorders>
              <w:left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200" w:type="dxa"/>
            <w:vMerge/>
            <w:tcBorders>
              <w:left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9F155D">
        <w:trPr>
          <w:trHeight w:val="454"/>
        </w:trPr>
        <w:tc>
          <w:tcPr>
            <w:tcW w:w="1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proofErr w:type="gramStart"/>
            <w:r>
              <w:rPr>
                <w:rFonts w:ascii="Times New Roman Regular" w:eastAsia="宋体" w:hAnsi="Times New Roman Regular" w:cs="Times New Roman Regular"/>
                <w:color w:val="000000"/>
                <w:kern w:val="0"/>
                <w:sz w:val="24"/>
                <w:lang w:bidi="ar"/>
              </w:rPr>
              <w:t>奖补加强</w:t>
            </w:r>
            <w:proofErr w:type="gramEnd"/>
            <w:r>
              <w:rPr>
                <w:rFonts w:ascii="Times New Roman Regular" w:eastAsia="宋体" w:hAnsi="Times New Roman Regular" w:cs="Times New Roman Regular"/>
                <w:color w:val="000000"/>
                <w:kern w:val="0"/>
                <w:sz w:val="24"/>
                <w:lang w:bidi="ar"/>
              </w:rPr>
              <w:t>影视</w:t>
            </w:r>
            <w:proofErr w:type="gramStart"/>
            <w:r>
              <w:rPr>
                <w:rFonts w:ascii="Times New Roman Regular" w:eastAsia="宋体" w:hAnsi="Times New Roman Regular" w:cs="Times New Roman Regular"/>
                <w:color w:val="000000"/>
                <w:kern w:val="0"/>
                <w:sz w:val="24"/>
                <w:lang w:bidi="ar"/>
              </w:rPr>
              <w:t>人才引育</w:t>
            </w:r>
            <w:proofErr w:type="gramEnd"/>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100</w:t>
            </w:r>
          </w:p>
        </w:tc>
        <w:tc>
          <w:tcPr>
            <w:tcW w:w="994" w:type="dxa"/>
            <w:vMerge/>
            <w:tcBorders>
              <w:left w:val="single" w:sz="4" w:space="0" w:color="000000"/>
              <w:bottom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1200" w:type="dxa"/>
            <w:vMerge/>
            <w:tcBorders>
              <w:left w:val="single" w:sz="4" w:space="0" w:color="000000"/>
              <w:bottom w:val="single" w:sz="4" w:space="0" w:color="000000"/>
              <w:right w:val="single" w:sz="4" w:space="0" w:color="000000"/>
            </w:tcBorders>
            <w:shd w:val="clear" w:color="auto" w:fill="auto"/>
            <w:noWrap/>
            <w:vAlign w:val="center"/>
          </w:tcPr>
          <w:p w:rsidR="009F155D" w:rsidRDefault="009F155D">
            <w:pPr>
              <w:widowControl/>
              <w:jc w:val="center"/>
              <w:textAlignment w:val="center"/>
              <w:rPr>
                <w:rFonts w:ascii="宋体" w:eastAsia="宋体" w:hAnsi="宋体" w:cs="宋体"/>
                <w:color w:val="000000"/>
                <w:kern w:val="0"/>
                <w:sz w:val="24"/>
                <w:lang w:bidi="ar"/>
              </w:rPr>
            </w:pP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r>
      <w:tr w:rsidR="009F155D">
        <w:trPr>
          <w:trHeight w:val="454"/>
        </w:trPr>
        <w:tc>
          <w:tcPr>
            <w:tcW w:w="17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合计</w:t>
            </w:r>
          </w:p>
        </w:tc>
        <w:tc>
          <w:tcPr>
            <w:tcW w:w="13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1978</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1268</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color w:val="000000"/>
                <w:sz w:val="24"/>
              </w:rPr>
              <w:t>1268</w:t>
            </w:r>
          </w:p>
        </w:tc>
        <w:tc>
          <w:tcPr>
            <w:tcW w:w="22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color w:val="000000"/>
                <w:sz w:val="24"/>
              </w:rPr>
              <w:t>1074.25</w:t>
            </w:r>
          </w:p>
        </w:tc>
      </w:tr>
    </w:tbl>
    <w:p w:rsidR="009F155D" w:rsidRDefault="00977B39">
      <w:pPr>
        <w:pStyle w:val="2"/>
        <w:ind w:firstLine="640"/>
      </w:pPr>
      <w:r>
        <w:rPr>
          <w:rFonts w:hint="eastAsia"/>
        </w:rPr>
        <w:t>（二）政策绩效目标</w:t>
      </w:r>
      <w:bookmarkEnd w:id="5"/>
      <w:bookmarkEnd w:id="6"/>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1.总体目标</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全面激发影视业发展新动能，实现从数量增长到质量提升，从低端价值链到全产业链延展，打造较为完善的影视产业链条和具有相当规模的影视产业集群，推动文化产业持续繁荣兴盛。到2025年，影视全产业链进一步完善，影视制作工业化、信息化水平大幅提升，可持续发展能力进一步增强，影视创作生产在全国处于领先水平，建成全国领先的影视工业化生产基地。</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2.年度目标</w:t>
      </w:r>
    </w:p>
    <w:p w:rsidR="009F155D" w:rsidRDefault="00977B39">
      <w:pPr>
        <w:widowControl/>
        <w:spacing w:line="560" w:lineRule="exact"/>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项目组在充分了解政策情况并和</w:t>
      </w:r>
      <w:r>
        <w:rPr>
          <w:rFonts w:ascii="仿宋_GB2312" w:eastAsia="仿宋_GB2312" w:hAnsi="仿宋_GB2312" w:cs="仿宋_GB2312" w:hint="eastAsia"/>
          <w:sz w:val="32"/>
          <w:szCs w:val="40"/>
        </w:rPr>
        <w:t>市</w:t>
      </w:r>
      <w:proofErr w:type="gramStart"/>
      <w:r>
        <w:rPr>
          <w:rFonts w:ascii="仿宋_GB2312" w:eastAsia="仿宋_GB2312" w:hAnsi="仿宋_GB2312" w:cs="仿宋_GB2312" w:hint="eastAsia"/>
          <w:sz w:val="32"/>
          <w:szCs w:val="40"/>
        </w:rPr>
        <w:t>文旅局</w:t>
      </w:r>
      <w:r>
        <w:rPr>
          <w:rFonts w:ascii="仿宋_GB2312" w:eastAsia="仿宋_GB2312" w:hAnsi="仿宋_GB2312" w:cs="仿宋_GB2312" w:hint="eastAsia"/>
          <w:color w:val="000000"/>
          <w:kern w:val="0"/>
          <w:sz w:val="32"/>
          <w:szCs w:val="32"/>
          <w:lang w:bidi="ar"/>
        </w:rPr>
        <w:t>沟通</w:t>
      </w:r>
      <w:proofErr w:type="gramEnd"/>
      <w:r>
        <w:rPr>
          <w:rFonts w:ascii="仿宋_GB2312" w:eastAsia="仿宋_GB2312" w:hAnsi="仿宋_GB2312" w:cs="仿宋_GB2312" w:hint="eastAsia"/>
          <w:color w:val="000000"/>
          <w:kern w:val="0"/>
          <w:sz w:val="32"/>
          <w:szCs w:val="32"/>
          <w:lang w:bidi="ar"/>
        </w:rPr>
        <w:t>的基础上，根据前期对政策的调研结果及</w:t>
      </w:r>
      <w:r>
        <w:rPr>
          <w:rFonts w:ascii="仿宋_GB2312" w:eastAsia="仿宋_GB2312" w:hAnsi="仿宋_GB2312" w:cs="仿宋_GB2312" w:hint="eastAsia"/>
          <w:sz w:val="32"/>
          <w:szCs w:val="40"/>
        </w:rPr>
        <w:t>市</w:t>
      </w:r>
      <w:proofErr w:type="gramStart"/>
      <w:r>
        <w:rPr>
          <w:rFonts w:ascii="仿宋_GB2312" w:eastAsia="仿宋_GB2312" w:hAnsi="仿宋_GB2312" w:cs="仿宋_GB2312" w:hint="eastAsia"/>
          <w:sz w:val="32"/>
          <w:szCs w:val="40"/>
        </w:rPr>
        <w:t>文旅局</w:t>
      </w:r>
      <w:proofErr w:type="gramEnd"/>
      <w:r>
        <w:rPr>
          <w:rFonts w:ascii="仿宋_GB2312" w:eastAsia="仿宋_GB2312" w:hAnsi="仿宋_GB2312" w:cs="仿宋_GB2312" w:hint="eastAsia"/>
          <w:color w:val="000000"/>
          <w:kern w:val="0"/>
          <w:sz w:val="32"/>
          <w:szCs w:val="32"/>
          <w:lang w:bidi="ar"/>
        </w:rPr>
        <w:t>提交的资料，结合其制订的绩效目标及项目计划实施情况，对项目年度目标</w:t>
      </w:r>
      <w:r>
        <w:rPr>
          <w:rFonts w:ascii="仿宋_GB2312" w:eastAsia="仿宋_GB2312" w:hAnsi="仿宋_GB2312" w:cs="仿宋_GB2312" w:hint="eastAsia"/>
          <w:color w:val="000000"/>
          <w:kern w:val="0"/>
          <w:sz w:val="32"/>
          <w:szCs w:val="32"/>
          <w:lang w:bidi="ar"/>
        </w:rPr>
        <w:lastRenderedPageBreak/>
        <w:t>进行调整和汇总。梳理2022-2024年影视产业补助资金政策年度目标如下：</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2022年绩效目标：奖励影视</w:t>
      </w:r>
      <w:proofErr w:type="gramStart"/>
      <w:r>
        <w:rPr>
          <w:rFonts w:ascii="仿宋_GB2312" w:eastAsia="仿宋_GB2312" w:hAnsi="仿宋_GB2312" w:cs="仿宋_GB2312" w:hint="eastAsia"/>
          <w:sz w:val="32"/>
          <w:szCs w:val="40"/>
        </w:rPr>
        <w:t>剧数量</w:t>
      </w:r>
      <w:proofErr w:type="gramEnd"/>
      <w:r>
        <w:rPr>
          <w:rFonts w:ascii="仿宋_GB2312" w:eastAsia="仿宋_GB2312" w:hAnsi="仿宋_GB2312" w:cs="仿宋_GB2312" w:hint="eastAsia"/>
          <w:sz w:val="32"/>
          <w:szCs w:val="40"/>
        </w:rPr>
        <w:t>≥3部，补助影视剧上映数量≥1部，影视剧来青拍摄数量≥30部。提升青岛影视产业创新力和竞争力，提升城市影视文化活力。</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2023年绩效目标：支持“青岛摄制”</w:t>
      </w:r>
      <w:proofErr w:type="gramStart"/>
      <w:r>
        <w:rPr>
          <w:rFonts w:ascii="仿宋_GB2312" w:eastAsia="仿宋_GB2312" w:hAnsi="仿宋_GB2312" w:cs="仿宋_GB2312" w:hint="eastAsia"/>
          <w:sz w:val="32"/>
          <w:szCs w:val="40"/>
        </w:rPr>
        <w:t>影视项目</w:t>
      </w:r>
      <w:proofErr w:type="gramEnd"/>
      <w:r>
        <w:rPr>
          <w:rFonts w:ascii="仿宋_GB2312" w:eastAsia="仿宋_GB2312" w:hAnsi="仿宋_GB2312" w:cs="仿宋_GB2312" w:hint="eastAsia"/>
          <w:sz w:val="32"/>
          <w:szCs w:val="40"/>
        </w:rPr>
        <w:t>数量=5部，吸引重点</w:t>
      </w:r>
      <w:proofErr w:type="gramStart"/>
      <w:r>
        <w:rPr>
          <w:rFonts w:ascii="仿宋_GB2312" w:eastAsia="仿宋_GB2312" w:hAnsi="仿宋_GB2312" w:cs="仿宋_GB2312" w:hint="eastAsia"/>
          <w:sz w:val="32"/>
          <w:szCs w:val="40"/>
        </w:rPr>
        <w:t>影视项目</w:t>
      </w:r>
      <w:proofErr w:type="gramEnd"/>
      <w:r>
        <w:rPr>
          <w:rFonts w:ascii="仿宋_GB2312" w:eastAsia="仿宋_GB2312" w:hAnsi="仿宋_GB2312" w:cs="仿宋_GB2312" w:hint="eastAsia"/>
          <w:sz w:val="32"/>
          <w:szCs w:val="40"/>
        </w:rPr>
        <w:t>来青岛摄制≥3部，引进青岛摄制数量≥50部。提升青岛影视产业创新力和竞争力，提升城市影视文化。</w:t>
      </w:r>
    </w:p>
    <w:p w:rsidR="009F155D" w:rsidRDefault="00977B39">
      <w:pPr>
        <w:spacing w:line="560" w:lineRule="exact"/>
        <w:ind w:firstLineChars="200" w:firstLine="640"/>
        <w:rPr>
          <w:rFonts w:ascii="Times New Roman Regular" w:eastAsia="仿宋_GB2312" w:hAnsi="Times New Roman Regular" w:cs="Times New Roman Regular"/>
          <w:sz w:val="32"/>
          <w:szCs w:val="40"/>
        </w:rPr>
      </w:pPr>
      <w:r>
        <w:rPr>
          <w:rFonts w:ascii="仿宋_GB2312" w:eastAsia="仿宋_GB2312" w:hAnsi="仿宋_GB2312" w:cs="仿宋_GB2312" w:hint="eastAsia"/>
          <w:sz w:val="32"/>
          <w:szCs w:val="40"/>
        </w:rPr>
        <w:t>2024年绩效目标：支持“青岛摄制”</w:t>
      </w:r>
      <w:proofErr w:type="gramStart"/>
      <w:r>
        <w:rPr>
          <w:rFonts w:ascii="仿宋_GB2312" w:eastAsia="仿宋_GB2312" w:hAnsi="仿宋_GB2312" w:cs="仿宋_GB2312" w:hint="eastAsia"/>
          <w:sz w:val="32"/>
          <w:szCs w:val="40"/>
        </w:rPr>
        <w:t>影视项目</w:t>
      </w:r>
      <w:proofErr w:type="gramEnd"/>
      <w:r>
        <w:rPr>
          <w:rFonts w:ascii="仿宋_GB2312" w:eastAsia="仿宋_GB2312" w:hAnsi="仿宋_GB2312" w:cs="仿宋_GB2312" w:hint="eastAsia"/>
          <w:sz w:val="32"/>
          <w:szCs w:val="40"/>
        </w:rPr>
        <w:t>数量≥5部、奖励“青岛出品”</w:t>
      </w:r>
      <w:proofErr w:type="gramStart"/>
      <w:r>
        <w:rPr>
          <w:rFonts w:ascii="仿宋_GB2312" w:eastAsia="仿宋_GB2312" w:hAnsi="仿宋_GB2312" w:cs="仿宋_GB2312" w:hint="eastAsia"/>
          <w:sz w:val="32"/>
          <w:szCs w:val="40"/>
        </w:rPr>
        <w:t>影视项目</w:t>
      </w:r>
      <w:proofErr w:type="gramEnd"/>
      <w:r>
        <w:rPr>
          <w:rFonts w:ascii="仿宋_GB2312" w:eastAsia="仿宋_GB2312" w:hAnsi="仿宋_GB2312" w:cs="仿宋_GB2312" w:hint="eastAsia"/>
          <w:sz w:val="32"/>
          <w:szCs w:val="40"/>
        </w:rPr>
        <w:t>数量≥5部、吸引重点</w:t>
      </w:r>
      <w:proofErr w:type="gramStart"/>
      <w:r>
        <w:rPr>
          <w:rFonts w:ascii="仿宋_GB2312" w:eastAsia="仿宋_GB2312" w:hAnsi="仿宋_GB2312" w:cs="仿宋_GB2312" w:hint="eastAsia"/>
          <w:sz w:val="32"/>
          <w:szCs w:val="40"/>
        </w:rPr>
        <w:t>影视项目</w:t>
      </w:r>
      <w:proofErr w:type="gramEnd"/>
      <w:r>
        <w:rPr>
          <w:rFonts w:ascii="仿宋_GB2312" w:eastAsia="仿宋_GB2312" w:hAnsi="仿宋_GB2312" w:cs="仿宋_GB2312" w:hint="eastAsia"/>
          <w:sz w:val="32"/>
          <w:szCs w:val="40"/>
        </w:rPr>
        <w:t>来青岛摄制≥3部、优化影视产业链条≥80部。提升青岛“电影之都”的国际影响力，推动影视产业向高质量发展目标稳步迈进</w:t>
      </w:r>
      <w:r>
        <w:rPr>
          <w:rFonts w:ascii="仿宋_GB2312" w:eastAsia="仿宋_GB2312" w:hAnsi="仿宋_GB2312" w:cs="仿宋_GB2312" w:hint="eastAsia"/>
          <w:sz w:val="32"/>
          <w:szCs w:val="32"/>
        </w:rPr>
        <w:t>。</w:t>
      </w:r>
    </w:p>
    <w:p w:rsidR="009F155D" w:rsidRDefault="00977B39">
      <w:pPr>
        <w:pStyle w:val="1"/>
        <w:spacing w:before="0" w:after="0" w:line="660" w:lineRule="exact"/>
        <w:ind w:firstLineChars="200" w:firstLine="640"/>
        <w:jc w:val="both"/>
        <w:rPr>
          <w:rFonts w:ascii="Calibri" w:hAnsi="Calibri" w:cs="Times New Roman"/>
          <w:sz w:val="32"/>
          <w:szCs w:val="32"/>
        </w:rPr>
      </w:pPr>
      <w:bookmarkStart w:id="7" w:name="_Toc2383"/>
      <w:bookmarkStart w:id="8" w:name="_Toc2021135966"/>
      <w:r>
        <w:rPr>
          <w:rFonts w:ascii="Calibri" w:hAnsi="Calibri" w:cs="Times New Roman" w:hint="eastAsia"/>
          <w:sz w:val="32"/>
          <w:szCs w:val="32"/>
        </w:rPr>
        <w:t>二、绩效评价工作开展情况</w:t>
      </w:r>
      <w:bookmarkEnd w:id="7"/>
      <w:bookmarkEnd w:id="8"/>
    </w:p>
    <w:p w:rsidR="009F155D" w:rsidRDefault="00977B39">
      <w:pPr>
        <w:pStyle w:val="2"/>
        <w:ind w:firstLine="640"/>
      </w:pPr>
      <w:bookmarkStart w:id="9" w:name="_Toc27963"/>
      <w:bookmarkStart w:id="10" w:name="_Toc335852316"/>
      <w:r>
        <w:rPr>
          <w:rFonts w:hint="eastAsia"/>
        </w:rPr>
        <w:t>（一）评价目的、评价对象和范围</w:t>
      </w:r>
      <w:bookmarkEnd w:id="9"/>
      <w:bookmarkEnd w:id="10"/>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1.评价目的</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为全面、科学评估影视产业补助资金政策的实施成效，强化财政资金绩效管理，</w:t>
      </w:r>
      <w:proofErr w:type="gramStart"/>
      <w:r>
        <w:rPr>
          <w:rFonts w:ascii="仿宋_GB2312" w:eastAsia="仿宋_GB2312" w:hAnsi="仿宋_GB2312" w:cs="仿宋_GB2312" w:hint="eastAsia"/>
          <w:sz w:val="32"/>
          <w:szCs w:val="40"/>
        </w:rPr>
        <w:t>评价组</w:t>
      </w:r>
      <w:proofErr w:type="gramEnd"/>
      <w:r>
        <w:rPr>
          <w:rFonts w:ascii="仿宋_GB2312" w:eastAsia="仿宋_GB2312" w:hAnsi="仿宋_GB2312" w:cs="仿宋_GB2312" w:hint="eastAsia"/>
          <w:sz w:val="32"/>
          <w:szCs w:val="40"/>
        </w:rPr>
        <w:t>采取书面评审与现场核验相结合的方式，首先对市</w:t>
      </w:r>
      <w:proofErr w:type="gramStart"/>
      <w:r>
        <w:rPr>
          <w:rFonts w:ascii="仿宋_GB2312" w:eastAsia="仿宋_GB2312" w:hAnsi="仿宋_GB2312" w:cs="仿宋_GB2312" w:hint="eastAsia"/>
          <w:sz w:val="32"/>
          <w:szCs w:val="40"/>
        </w:rPr>
        <w:t>文旅局</w:t>
      </w:r>
      <w:proofErr w:type="gramEnd"/>
      <w:r>
        <w:rPr>
          <w:rFonts w:ascii="仿宋_GB2312" w:eastAsia="仿宋_GB2312" w:hAnsi="仿宋_GB2312" w:cs="仿宋_GB2312" w:hint="eastAsia"/>
          <w:sz w:val="32"/>
          <w:szCs w:val="40"/>
        </w:rPr>
        <w:t>提交的项目申报材料、资金拨付凭证、补助发放记录等资料进行全面审查；同时对补助覆盖的影视企业、拍摄基地等进行实地走访，通过访谈、数据核对等方式，核实项目进度及对影视产业实际带动作用。判断补助资金标准是否科学，政策内容的合理性与适用性，政</w:t>
      </w:r>
      <w:r>
        <w:rPr>
          <w:rFonts w:ascii="仿宋_GB2312" w:eastAsia="仿宋_GB2312" w:hAnsi="仿宋_GB2312" w:cs="仿宋_GB2312" w:hint="eastAsia"/>
          <w:sz w:val="32"/>
          <w:szCs w:val="40"/>
        </w:rPr>
        <w:lastRenderedPageBreak/>
        <w:t>策实施是否达成预期效果，对是否需要延期或出台新的政策提出意见建议。</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2.评价对象</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针对2022-2024年预算资金7718万元及政策完成情况和效果开展绩效评价。</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3.评价范围</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本次绩效评价周期为2022年1月1日至2024年12月31日。鉴于《青岛市推动影视业高质量发展若干政策》的补助对象主要为影视作品，且不涉及区（市）资金，本次评价主体为市</w:t>
      </w:r>
      <w:proofErr w:type="gramStart"/>
      <w:r>
        <w:rPr>
          <w:rFonts w:ascii="仿宋_GB2312" w:eastAsia="仿宋_GB2312" w:hAnsi="仿宋_GB2312" w:cs="仿宋_GB2312" w:hint="eastAsia"/>
          <w:sz w:val="32"/>
          <w:szCs w:val="40"/>
        </w:rPr>
        <w:t>文旅局</w:t>
      </w:r>
      <w:proofErr w:type="gramEnd"/>
      <w:r>
        <w:rPr>
          <w:rFonts w:ascii="仿宋_GB2312" w:eastAsia="仿宋_GB2312" w:hAnsi="仿宋_GB2312" w:cs="仿宋_GB2312" w:hint="eastAsia"/>
          <w:sz w:val="32"/>
          <w:szCs w:val="40"/>
        </w:rPr>
        <w:t>本级，重点评估其政策执行与资金管理效能。</w:t>
      </w:r>
    </w:p>
    <w:p w:rsidR="009F155D" w:rsidRDefault="00977B39">
      <w:pPr>
        <w:spacing w:line="560" w:lineRule="exact"/>
        <w:ind w:firstLineChars="200" w:firstLine="640"/>
        <w:rPr>
          <w:rFonts w:ascii="Times New Roman Regular" w:eastAsia="仿宋_GB2312" w:hAnsi="Times New Roman Regular" w:cs="Times New Roman Regular"/>
          <w:sz w:val="32"/>
          <w:szCs w:val="40"/>
        </w:rPr>
      </w:pPr>
      <w:r>
        <w:rPr>
          <w:rFonts w:ascii="仿宋_GB2312" w:eastAsia="仿宋_GB2312" w:hAnsi="仿宋_GB2312" w:cs="仿宋_GB2312" w:hint="eastAsia"/>
          <w:sz w:val="32"/>
          <w:szCs w:val="40"/>
        </w:rPr>
        <w:t>为全面、科学地掌握青岛市影视产业发展现状，</w:t>
      </w:r>
      <w:proofErr w:type="gramStart"/>
      <w:r>
        <w:rPr>
          <w:rFonts w:ascii="仿宋_GB2312" w:eastAsia="仿宋_GB2312" w:hAnsi="仿宋_GB2312" w:cs="仿宋_GB2312" w:hint="eastAsia"/>
          <w:sz w:val="32"/>
          <w:szCs w:val="40"/>
        </w:rPr>
        <w:t>评价组</w:t>
      </w:r>
      <w:proofErr w:type="gramEnd"/>
      <w:r>
        <w:rPr>
          <w:rFonts w:ascii="仿宋_GB2312" w:eastAsia="仿宋_GB2312" w:hAnsi="仿宋_GB2312" w:cs="仿宋_GB2312" w:hint="eastAsia"/>
          <w:sz w:val="32"/>
          <w:szCs w:val="40"/>
        </w:rPr>
        <w:t>经综合</w:t>
      </w:r>
      <w:proofErr w:type="gramStart"/>
      <w:r>
        <w:rPr>
          <w:rFonts w:ascii="仿宋_GB2312" w:eastAsia="仿宋_GB2312" w:hAnsi="仿宋_GB2312" w:cs="仿宋_GB2312" w:hint="eastAsia"/>
          <w:sz w:val="32"/>
          <w:szCs w:val="40"/>
        </w:rPr>
        <w:t>考量</w:t>
      </w:r>
      <w:proofErr w:type="gramEnd"/>
      <w:r>
        <w:rPr>
          <w:rFonts w:ascii="仿宋_GB2312" w:eastAsia="仿宋_GB2312" w:hAnsi="仿宋_GB2312" w:cs="仿宋_GB2312" w:hint="eastAsia"/>
          <w:sz w:val="32"/>
          <w:szCs w:val="40"/>
        </w:rPr>
        <w:t>产业规模、项目活跃度及行业代表性等因素，选取东方影都影视产业园、青岛青山湖影视基地、青岛鲁邦国际风情街等3个发展成效显著的影视基地开展实地调研，涵盖大型综合影视园区、特色外景拍摄地等</w:t>
      </w:r>
      <w:proofErr w:type="gramStart"/>
      <w:r>
        <w:rPr>
          <w:rFonts w:ascii="仿宋_GB2312" w:eastAsia="仿宋_GB2312" w:hAnsi="仿宋_GB2312" w:cs="仿宋_GB2312" w:hint="eastAsia"/>
          <w:sz w:val="32"/>
          <w:szCs w:val="40"/>
        </w:rPr>
        <w:t>多元业</w:t>
      </w:r>
      <w:proofErr w:type="gramEnd"/>
      <w:r>
        <w:rPr>
          <w:rFonts w:ascii="仿宋_GB2312" w:eastAsia="仿宋_GB2312" w:hAnsi="仿宋_GB2312" w:cs="仿宋_GB2312" w:hint="eastAsia"/>
          <w:sz w:val="32"/>
          <w:szCs w:val="40"/>
        </w:rPr>
        <w:t>态，能够充分反映青岛市影视产业的集聚效应与发展水平，为绩效评价提供详实、可靠的样本数据支撑。</w:t>
      </w:r>
    </w:p>
    <w:p w:rsidR="009F155D" w:rsidRDefault="00977B39">
      <w:pPr>
        <w:pStyle w:val="2"/>
        <w:ind w:firstLine="640"/>
      </w:pPr>
      <w:bookmarkStart w:id="11" w:name="_Toc6704"/>
      <w:bookmarkStart w:id="12" w:name="_Toc1082850696"/>
      <w:r>
        <w:rPr>
          <w:rFonts w:hint="eastAsia"/>
        </w:rPr>
        <w:t>（二）评价思路、评价重点、评价指标体系和评价标准</w:t>
      </w:r>
      <w:bookmarkEnd w:id="11"/>
      <w:bookmarkEnd w:id="12"/>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1.评价思路</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本次评价以2022-2024年影视产业补助政策的资金为主线，将资金涉及的相关政策及具体补助内容全部纳入评价范围，考察相关补助政策的落实情况。结合影视产业补助资金的特点，重点关注产出、效益完成情况。在产出方面，重点核查影视补助对象完成率、影视补助对象政策符合率等指标；</w:t>
      </w:r>
      <w:r>
        <w:rPr>
          <w:rFonts w:ascii="仿宋_GB2312" w:eastAsia="仿宋_GB2312" w:hAnsi="仿宋_GB2312" w:cs="仿宋_GB2312" w:hint="eastAsia"/>
          <w:sz w:val="32"/>
          <w:szCs w:val="40"/>
        </w:rPr>
        <w:lastRenderedPageBreak/>
        <w:t>在效益方面，深入分析政策对影视全产业链进一步完善，催生一批知名影视企业，逐步形成影视人才聚集高地，“电影之都”影响力显著增强的引领示范作用。</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2.评价重点</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本次绩效评价重点关注2022-2024年影视产业补助资金补助政策实施的必要性、实施过程的合</w:t>
      </w:r>
      <w:proofErr w:type="gramStart"/>
      <w:r>
        <w:rPr>
          <w:rFonts w:ascii="仿宋_GB2312" w:eastAsia="仿宋_GB2312" w:hAnsi="仿宋_GB2312" w:cs="仿宋_GB2312" w:hint="eastAsia"/>
          <w:sz w:val="32"/>
          <w:szCs w:val="40"/>
        </w:rPr>
        <w:t>规</w:t>
      </w:r>
      <w:proofErr w:type="gramEnd"/>
      <w:r>
        <w:rPr>
          <w:rFonts w:ascii="仿宋_GB2312" w:eastAsia="仿宋_GB2312" w:hAnsi="仿宋_GB2312" w:cs="仿宋_GB2312" w:hint="eastAsia"/>
          <w:sz w:val="32"/>
          <w:szCs w:val="40"/>
        </w:rPr>
        <w:t>性、成本控制有效性以及资金支出效果，分析政策实施过程中的潜在问题及原因并针对性地提出建议，对是否出台新的政策提出意见建议。</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3.评价指标体系</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32"/>
        </w:rPr>
        <w:t>绩效评价指标体系产出、效益指标权重按照不低于60%的原则进行设置，指标权重政策制定指标20分、政策实施指标20分，政策效果指标60分。评价指标体系详见附件1。</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4.评价标准</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32"/>
        </w:rPr>
        <w:t>绩效评价结果采取评分和评级相结合的方式，总分设置为100分，等级划分为四档：90（含）-100分为优、80（含）-90分为良、60（含）-80分为中、60分以下为差。</w:t>
      </w:r>
    </w:p>
    <w:p w:rsidR="009F155D" w:rsidRDefault="00977B39">
      <w:pPr>
        <w:pStyle w:val="2"/>
        <w:ind w:firstLine="640"/>
      </w:pPr>
      <w:bookmarkStart w:id="13" w:name="_Toc1695222994"/>
      <w:bookmarkStart w:id="14" w:name="_Toc14874"/>
      <w:r>
        <w:rPr>
          <w:rFonts w:hint="eastAsia"/>
        </w:rPr>
        <w:t>（三）评价组织实施与评价方法</w:t>
      </w:r>
      <w:bookmarkEnd w:id="13"/>
      <w:bookmarkEnd w:id="14"/>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1.评价组织实施</w:t>
      </w:r>
    </w:p>
    <w:p w:rsidR="009F155D" w:rsidRDefault="00977B39">
      <w:pPr>
        <w:spacing w:line="560" w:lineRule="exact"/>
        <w:ind w:firstLineChars="200" w:firstLine="640"/>
        <w:rPr>
          <w:rFonts w:ascii="仿宋_GB2312" w:eastAsia="仿宋_GB2312" w:hAnsi="仿宋_GB2312" w:cs="仿宋_GB2312"/>
          <w:sz w:val="32"/>
          <w:szCs w:val="32"/>
        </w:rPr>
      </w:pPr>
      <w:bookmarkStart w:id="15" w:name="_Toc7178040"/>
      <w:r>
        <w:rPr>
          <w:rFonts w:ascii="仿宋_GB2312" w:eastAsia="仿宋_GB2312" w:hAnsi="仿宋_GB2312" w:cs="仿宋_GB2312" w:hint="eastAsia"/>
          <w:sz w:val="32"/>
          <w:szCs w:val="32"/>
        </w:rPr>
        <w:t>绩效评价工作主要包括前期准备、制定评价实施方案、现场评价、撰写与提交绩效评价报告等内容。根据委托时间要求，绩效评价工作开展时间</w:t>
      </w:r>
      <w:r>
        <w:rPr>
          <w:rFonts w:ascii="仿宋_GB2312" w:eastAsia="仿宋_GB2312" w:hAnsi="仿宋_GB2312" w:cs="仿宋_GB2312" w:hint="eastAsia"/>
          <w:kern w:val="0"/>
          <w:sz w:val="32"/>
          <w:szCs w:val="32"/>
        </w:rPr>
        <w:t>为2025年5月26日至2025年7月31日，具体安排见表2-1：</w:t>
      </w:r>
    </w:p>
    <w:p w:rsidR="009F155D" w:rsidRDefault="00977B39">
      <w:pPr>
        <w:pStyle w:val="21"/>
        <w:spacing w:before="0" w:beforeAutospacing="0" w:after="0" w:afterAutospacing="0" w:line="560" w:lineRule="exact"/>
        <w:ind w:firstLine="567"/>
        <w:jc w:val="center"/>
        <w:rPr>
          <w:rFonts w:ascii="Times New Roman" w:eastAsia="仿宋_GB2312" w:hAnsi="Times New Roman"/>
          <w:b/>
          <w:bCs/>
        </w:rPr>
      </w:pPr>
      <w:r>
        <w:rPr>
          <w:rFonts w:ascii="黑体" w:eastAsia="黑体" w:hAnsi="黑体" w:cs="黑体" w:hint="eastAsia"/>
        </w:rPr>
        <w:t xml:space="preserve">表2-1 </w:t>
      </w:r>
      <w:r>
        <w:rPr>
          <w:rFonts w:ascii="Times New Roman Regular" w:eastAsia="黑体" w:hAnsi="Times New Roman Regular" w:cs="Times New Roman Regular"/>
        </w:rPr>
        <w:t>评价实施进度及工作安排情况表</w:t>
      </w:r>
    </w:p>
    <w:tbl>
      <w:tblPr>
        <w:tblW w:w="4971" w:type="pct"/>
        <w:tblLook w:val="04A0" w:firstRow="1" w:lastRow="0" w:firstColumn="1" w:lastColumn="0" w:noHBand="0" w:noVBand="1"/>
      </w:tblPr>
      <w:tblGrid>
        <w:gridCol w:w="798"/>
        <w:gridCol w:w="1293"/>
        <w:gridCol w:w="4255"/>
        <w:gridCol w:w="2127"/>
      </w:tblGrid>
      <w:tr w:rsidR="009F155D">
        <w:trPr>
          <w:trHeight w:val="454"/>
          <w:tblHeader/>
        </w:trPr>
        <w:tc>
          <w:tcPr>
            <w:tcW w:w="47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F155D" w:rsidRDefault="00977B39">
            <w:pPr>
              <w:widowControl/>
              <w:jc w:val="center"/>
              <w:rPr>
                <w:rFonts w:ascii="黑体" w:eastAsia="黑体" w:hAnsi="黑体" w:cs="黑体"/>
                <w:sz w:val="24"/>
              </w:rPr>
            </w:pPr>
            <w:r>
              <w:rPr>
                <w:rFonts w:ascii="黑体" w:eastAsia="黑体" w:hAnsi="黑体" w:cs="黑体" w:hint="eastAsia"/>
                <w:sz w:val="24"/>
              </w:rPr>
              <w:t>序号</w:t>
            </w:r>
          </w:p>
        </w:tc>
        <w:tc>
          <w:tcPr>
            <w:tcW w:w="763"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9F155D" w:rsidRDefault="00977B39">
            <w:pPr>
              <w:widowControl/>
              <w:jc w:val="center"/>
              <w:rPr>
                <w:rFonts w:ascii="黑体" w:eastAsia="黑体" w:hAnsi="黑体" w:cs="黑体"/>
                <w:sz w:val="24"/>
              </w:rPr>
            </w:pPr>
            <w:r>
              <w:rPr>
                <w:rFonts w:ascii="黑体" w:eastAsia="黑体" w:hAnsi="黑体" w:cs="黑体" w:hint="eastAsia"/>
                <w:sz w:val="24"/>
              </w:rPr>
              <w:t>工作程序</w:t>
            </w:r>
          </w:p>
        </w:tc>
        <w:tc>
          <w:tcPr>
            <w:tcW w:w="2511"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9F155D" w:rsidRDefault="00977B39">
            <w:pPr>
              <w:widowControl/>
              <w:jc w:val="center"/>
              <w:rPr>
                <w:rFonts w:ascii="黑体" w:eastAsia="黑体" w:hAnsi="黑体" w:cs="黑体"/>
                <w:sz w:val="24"/>
              </w:rPr>
            </w:pPr>
            <w:r>
              <w:rPr>
                <w:rFonts w:ascii="黑体" w:eastAsia="黑体" w:hAnsi="黑体" w:cs="黑体" w:hint="eastAsia"/>
                <w:sz w:val="24"/>
              </w:rPr>
              <w:t>工作内容</w:t>
            </w:r>
          </w:p>
        </w:tc>
        <w:tc>
          <w:tcPr>
            <w:tcW w:w="1255"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9F155D" w:rsidRDefault="00977B39">
            <w:pPr>
              <w:widowControl/>
              <w:jc w:val="center"/>
              <w:rPr>
                <w:rFonts w:ascii="黑体" w:eastAsia="黑体" w:hAnsi="黑体" w:cs="黑体"/>
                <w:sz w:val="24"/>
              </w:rPr>
            </w:pPr>
            <w:r>
              <w:rPr>
                <w:rFonts w:ascii="黑体" w:eastAsia="黑体" w:hAnsi="黑体" w:cs="黑体" w:hint="eastAsia"/>
                <w:sz w:val="24"/>
              </w:rPr>
              <w:t>完成时间</w:t>
            </w:r>
          </w:p>
        </w:tc>
      </w:tr>
      <w:tr w:rsidR="009F155D">
        <w:trPr>
          <w:trHeight w:val="454"/>
        </w:trPr>
        <w:tc>
          <w:tcPr>
            <w:tcW w:w="471" w:type="pct"/>
            <w:tcBorders>
              <w:top w:val="nil"/>
              <w:left w:val="single" w:sz="4" w:space="0" w:color="auto"/>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宋体" w:hAnsi="宋体" w:cs="宋体"/>
                <w:kern w:val="0"/>
                <w:sz w:val="24"/>
              </w:rPr>
            </w:pPr>
            <w:r>
              <w:rPr>
                <w:rFonts w:ascii="宋体" w:hAnsi="宋体" w:cs="宋体" w:hint="eastAsia"/>
                <w:kern w:val="0"/>
                <w:sz w:val="24"/>
              </w:rPr>
              <w:lastRenderedPageBreak/>
              <w:t>1</w:t>
            </w:r>
          </w:p>
        </w:tc>
        <w:tc>
          <w:tcPr>
            <w:tcW w:w="763"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前期准备</w:t>
            </w:r>
          </w:p>
        </w:tc>
        <w:tc>
          <w:tcPr>
            <w:tcW w:w="2511"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首先组建绩效评价组。然后了解被评价项目及相关单位业务情况，收集相关资料，充分了解项目立项、预算安排、实施内容、组织管理、绩效目标设置等内容，为编制评价方案奠定基础。</w:t>
            </w:r>
          </w:p>
        </w:tc>
        <w:tc>
          <w:tcPr>
            <w:tcW w:w="1255"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宋体" w:hAnsi="宋体" w:cs="宋体"/>
                <w:kern w:val="0"/>
                <w:sz w:val="24"/>
              </w:rPr>
            </w:pPr>
            <w:r>
              <w:rPr>
                <w:rFonts w:ascii="宋体" w:hAnsi="宋体" w:cs="宋体" w:hint="eastAsia"/>
                <w:kern w:val="0"/>
                <w:sz w:val="24"/>
              </w:rPr>
              <w:t>2025年5月26日</w:t>
            </w:r>
          </w:p>
        </w:tc>
      </w:tr>
      <w:tr w:rsidR="009F155D">
        <w:trPr>
          <w:trHeight w:val="454"/>
        </w:trPr>
        <w:tc>
          <w:tcPr>
            <w:tcW w:w="471" w:type="pct"/>
            <w:tcBorders>
              <w:top w:val="nil"/>
              <w:left w:val="single" w:sz="4" w:space="0" w:color="auto"/>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宋体" w:hAnsi="宋体" w:cs="宋体"/>
                <w:kern w:val="0"/>
                <w:sz w:val="24"/>
              </w:rPr>
            </w:pPr>
            <w:r>
              <w:rPr>
                <w:rFonts w:ascii="宋体" w:hAnsi="宋体" w:cs="宋体" w:hint="eastAsia"/>
                <w:kern w:val="0"/>
                <w:sz w:val="24"/>
              </w:rPr>
              <w:t>2</w:t>
            </w:r>
          </w:p>
        </w:tc>
        <w:tc>
          <w:tcPr>
            <w:tcW w:w="763"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制定评价实施方案</w:t>
            </w:r>
          </w:p>
        </w:tc>
        <w:tc>
          <w:tcPr>
            <w:tcW w:w="2511"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在调研、了解评价项目基本情况的基础上，对收集的材料进行整理分析，根据具体项目实际情况和绩效管理要求撰写评价方案并报送论证。</w:t>
            </w:r>
          </w:p>
        </w:tc>
        <w:tc>
          <w:tcPr>
            <w:tcW w:w="1255"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宋体" w:hAnsi="宋体" w:cs="宋体"/>
                <w:kern w:val="0"/>
                <w:sz w:val="24"/>
              </w:rPr>
            </w:pPr>
            <w:r>
              <w:rPr>
                <w:rFonts w:ascii="宋体" w:hAnsi="宋体" w:cs="宋体" w:hint="eastAsia"/>
                <w:kern w:val="0"/>
                <w:sz w:val="24"/>
              </w:rPr>
              <w:t>2025年5月26日—2025年5月29日前</w:t>
            </w:r>
          </w:p>
        </w:tc>
      </w:tr>
      <w:tr w:rsidR="009F155D">
        <w:trPr>
          <w:trHeight w:val="454"/>
        </w:trPr>
        <w:tc>
          <w:tcPr>
            <w:tcW w:w="471" w:type="pct"/>
            <w:tcBorders>
              <w:top w:val="nil"/>
              <w:left w:val="single" w:sz="4" w:space="0" w:color="auto"/>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宋体" w:hAnsi="宋体" w:cs="宋体"/>
                <w:kern w:val="0"/>
                <w:sz w:val="24"/>
              </w:rPr>
            </w:pPr>
            <w:r>
              <w:rPr>
                <w:rFonts w:ascii="宋体" w:hAnsi="宋体" w:cs="宋体" w:hint="eastAsia"/>
                <w:kern w:val="0"/>
                <w:sz w:val="24"/>
              </w:rPr>
              <w:t>3</w:t>
            </w:r>
          </w:p>
        </w:tc>
        <w:tc>
          <w:tcPr>
            <w:tcW w:w="763"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现场评价</w:t>
            </w:r>
          </w:p>
        </w:tc>
        <w:tc>
          <w:tcPr>
            <w:tcW w:w="2511"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根据具体评价要求确定现场评价抽样范围，组成现场评价工作小组，对项目进行实地勘察、资料核实、社会调查、分析评价等。</w:t>
            </w:r>
          </w:p>
        </w:tc>
        <w:tc>
          <w:tcPr>
            <w:tcW w:w="1255"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宋体" w:hAnsi="宋体" w:cs="宋体"/>
                <w:kern w:val="0"/>
                <w:sz w:val="24"/>
              </w:rPr>
            </w:pPr>
            <w:r>
              <w:rPr>
                <w:rFonts w:ascii="宋体" w:hAnsi="宋体" w:cs="宋体" w:hint="eastAsia"/>
                <w:kern w:val="0"/>
                <w:sz w:val="24"/>
              </w:rPr>
              <w:t>2025年6月4日—2025年6月20日</w:t>
            </w:r>
          </w:p>
        </w:tc>
      </w:tr>
      <w:tr w:rsidR="009F155D">
        <w:trPr>
          <w:trHeight w:val="454"/>
        </w:trPr>
        <w:tc>
          <w:tcPr>
            <w:tcW w:w="471" w:type="pct"/>
            <w:tcBorders>
              <w:top w:val="nil"/>
              <w:left w:val="single" w:sz="4" w:space="0" w:color="auto"/>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宋体" w:hAnsi="宋体" w:cs="宋体"/>
                <w:kern w:val="0"/>
                <w:sz w:val="24"/>
              </w:rPr>
            </w:pPr>
            <w:r>
              <w:rPr>
                <w:rFonts w:ascii="宋体" w:hAnsi="宋体" w:cs="宋体" w:hint="eastAsia"/>
                <w:kern w:val="0"/>
                <w:sz w:val="24"/>
              </w:rPr>
              <w:t>4</w:t>
            </w:r>
          </w:p>
        </w:tc>
        <w:tc>
          <w:tcPr>
            <w:tcW w:w="763"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撰写评价报告初稿</w:t>
            </w:r>
          </w:p>
        </w:tc>
        <w:tc>
          <w:tcPr>
            <w:tcW w:w="2511"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在梳理、研究、分析现场评价和非现场评价情况的基础上，按照规定格式撰写绩效评价报告。</w:t>
            </w:r>
          </w:p>
        </w:tc>
        <w:tc>
          <w:tcPr>
            <w:tcW w:w="1255"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宋体" w:hAnsi="宋体" w:cs="宋体"/>
                <w:kern w:val="0"/>
                <w:sz w:val="24"/>
              </w:rPr>
            </w:pPr>
            <w:r>
              <w:rPr>
                <w:rFonts w:ascii="宋体" w:hAnsi="宋体" w:cs="宋体" w:hint="eastAsia"/>
                <w:kern w:val="0"/>
                <w:sz w:val="24"/>
              </w:rPr>
              <w:t>2025年7月10日</w:t>
            </w:r>
          </w:p>
        </w:tc>
      </w:tr>
      <w:tr w:rsidR="009F155D">
        <w:trPr>
          <w:trHeight w:val="454"/>
        </w:trPr>
        <w:tc>
          <w:tcPr>
            <w:tcW w:w="471" w:type="pct"/>
            <w:tcBorders>
              <w:top w:val="nil"/>
              <w:left w:val="single" w:sz="4" w:space="0" w:color="auto"/>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宋体" w:hAnsi="宋体" w:cs="宋体"/>
                <w:kern w:val="0"/>
                <w:sz w:val="24"/>
              </w:rPr>
            </w:pPr>
            <w:r>
              <w:rPr>
                <w:rFonts w:ascii="宋体" w:hAnsi="宋体" w:cs="宋体" w:hint="eastAsia"/>
                <w:kern w:val="0"/>
                <w:sz w:val="24"/>
              </w:rPr>
              <w:t>5</w:t>
            </w:r>
          </w:p>
        </w:tc>
        <w:tc>
          <w:tcPr>
            <w:tcW w:w="763"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center"/>
              <w:rPr>
                <w:rFonts w:ascii="Times New Roman Regular" w:hAnsi="Times New Roman Regular" w:cs="Times New Roman Regular"/>
                <w:kern w:val="0"/>
                <w:sz w:val="24"/>
              </w:rPr>
            </w:pPr>
            <w:r>
              <w:rPr>
                <w:rFonts w:ascii="Times New Roman Regular" w:hAnsi="Times New Roman Regular" w:cs="Times New Roman Regular"/>
                <w:kern w:val="0"/>
                <w:sz w:val="24"/>
              </w:rPr>
              <w:t>提交评价报告</w:t>
            </w:r>
          </w:p>
        </w:tc>
        <w:tc>
          <w:tcPr>
            <w:tcW w:w="2511"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Times New Roman Regular" w:hAnsi="Times New Roman Regular" w:cs="Times New Roman Regular"/>
                <w:kern w:val="0"/>
                <w:sz w:val="24"/>
              </w:rPr>
            </w:pPr>
            <w:r>
              <w:rPr>
                <w:rFonts w:ascii="Times New Roman Regular" w:hAnsi="Times New Roman Regular" w:cs="Times New Roman Regular"/>
                <w:kern w:val="0"/>
                <w:sz w:val="24"/>
              </w:rPr>
              <w:t>评价报告根据专家评审意见进行修改，由项目主评人签字确认后，加盖公司公章后，按项目交付时间要求提交。</w:t>
            </w:r>
          </w:p>
        </w:tc>
        <w:tc>
          <w:tcPr>
            <w:tcW w:w="1255" w:type="pct"/>
            <w:tcBorders>
              <w:top w:val="nil"/>
              <w:left w:val="nil"/>
              <w:bottom w:val="single" w:sz="4" w:space="0" w:color="auto"/>
              <w:right w:val="single" w:sz="4" w:space="0" w:color="auto"/>
            </w:tcBorders>
            <w:shd w:val="clear" w:color="auto" w:fill="auto"/>
            <w:vAlign w:val="center"/>
          </w:tcPr>
          <w:p w:rsidR="009F155D" w:rsidRDefault="00977B39">
            <w:pPr>
              <w:pStyle w:val="11"/>
              <w:tabs>
                <w:tab w:val="left" w:pos="753"/>
              </w:tabs>
              <w:snapToGrid w:val="0"/>
              <w:jc w:val="left"/>
              <w:rPr>
                <w:rFonts w:ascii="宋体" w:hAnsi="宋体" w:cs="宋体"/>
                <w:kern w:val="0"/>
                <w:sz w:val="24"/>
              </w:rPr>
            </w:pPr>
            <w:r>
              <w:rPr>
                <w:rFonts w:ascii="宋体" w:hAnsi="宋体" w:cs="宋体" w:hint="eastAsia"/>
                <w:kern w:val="0"/>
                <w:sz w:val="24"/>
              </w:rPr>
              <w:t>2025年7月31日</w:t>
            </w:r>
          </w:p>
        </w:tc>
      </w:tr>
    </w:tbl>
    <w:bookmarkEnd w:id="15"/>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2.评价方法</w:t>
      </w:r>
    </w:p>
    <w:p w:rsidR="009F155D" w:rsidRDefault="00977B3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评价采用的方法有比较法、公众评判法等。具体如下：</w:t>
      </w:r>
    </w:p>
    <w:p w:rsidR="009F155D" w:rsidRDefault="00977B3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比较法。一是根据政策的实际完成情况，与政策实施方案、计划及绩效目标进行比较，判断产出及效益的完成情况；二是通过收集影视行业发展比较显著的区域，如横店、上海等地，对比青岛市与其发展的差距，为提升青岛影视之都提出相关发展建议。</w:t>
      </w:r>
    </w:p>
    <w:p w:rsidR="009F155D" w:rsidRDefault="00977B39">
      <w:pPr>
        <w:spacing w:line="560" w:lineRule="exact"/>
        <w:ind w:firstLineChars="200" w:firstLine="640"/>
        <w:rPr>
          <w:rFonts w:ascii="Times New Roman Regular" w:eastAsia="仿宋_GB2312" w:hAnsi="Times New Roman Regular" w:cs="Times New Roman Regular"/>
          <w:sz w:val="32"/>
          <w:szCs w:val="32"/>
        </w:rPr>
      </w:pPr>
      <w:r>
        <w:rPr>
          <w:rFonts w:ascii="仿宋_GB2312" w:eastAsia="仿宋_GB2312" w:hAnsi="仿宋_GB2312" w:cs="仿宋_GB2312" w:hint="eastAsia"/>
          <w:sz w:val="32"/>
          <w:szCs w:val="32"/>
        </w:rPr>
        <w:t>2.公众评判法。一是由专家对政策进行分析，了解目前的实施情况，评判完成后取得的效果；二是通过问卷调查的方式对政策的受益对象满意度进行评判。</w:t>
      </w:r>
    </w:p>
    <w:p w:rsidR="009F155D" w:rsidRDefault="00977B39">
      <w:pPr>
        <w:pStyle w:val="1"/>
        <w:spacing w:before="0" w:after="0" w:line="660" w:lineRule="exact"/>
        <w:ind w:firstLineChars="200" w:firstLine="640"/>
        <w:jc w:val="both"/>
        <w:rPr>
          <w:rFonts w:ascii="Calibri" w:hAnsi="Calibri" w:cs="Times New Roman"/>
          <w:sz w:val="32"/>
          <w:szCs w:val="32"/>
        </w:rPr>
      </w:pPr>
      <w:bookmarkStart w:id="16" w:name="_Toc4911"/>
      <w:bookmarkStart w:id="17" w:name="_Toc947315409"/>
      <w:r>
        <w:rPr>
          <w:rFonts w:ascii="Calibri" w:hAnsi="Calibri" w:cs="Times New Roman" w:hint="eastAsia"/>
          <w:sz w:val="32"/>
          <w:szCs w:val="32"/>
        </w:rPr>
        <w:lastRenderedPageBreak/>
        <w:t>三、评价结论及分析</w:t>
      </w:r>
      <w:bookmarkEnd w:id="16"/>
      <w:bookmarkEnd w:id="17"/>
    </w:p>
    <w:p w:rsidR="009F155D" w:rsidRDefault="00977B39">
      <w:pPr>
        <w:pStyle w:val="2"/>
        <w:ind w:firstLine="640"/>
      </w:pPr>
      <w:bookmarkStart w:id="18" w:name="_Toc5605"/>
      <w:bookmarkStart w:id="19" w:name="_Toc86320205"/>
      <w:r>
        <w:rPr>
          <w:rFonts w:hint="eastAsia"/>
        </w:rPr>
        <w:t>（一）综合评价结论</w:t>
      </w:r>
      <w:bookmarkEnd w:id="18"/>
      <w:bookmarkEnd w:id="19"/>
    </w:p>
    <w:p w:rsidR="009F155D" w:rsidRDefault="00977B39">
      <w:pPr>
        <w:spacing w:line="560" w:lineRule="exact"/>
        <w:ind w:firstLineChars="200" w:firstLine="640"/>
        <w:rPr>
          <w:rFonts w:ascii="Times New Roman Regular" w:eastAsia="黑体" w:hAnsi="Times New Roman Regular" w:cs="Times New Roman Regular"/>
          <w:sz w:val="24"/>
        </w:rPr>
      </w:pPr>
      <w:r>
        <w:rPr>
          <w:rFonts w:ascii="仿宋_GB2312" w:eastAsia="仿宋_GB2312" w:hAnsi="仿宋_GB2312" w:cs="仿宋_GB2312" w:hint="eastAsia"/>
          <w:sz w:val="32"/>
          <w:szCs w:val="32"/>
        </w:rPr>
        <w:t>2022-2024年影视产业补助资金政策</w:t>
      </w:r>
      <w:r>
        <w:rPr>
          <w:rFonts w:ascii="仿宋_GB2312" w:eastAsia="仿宋_GB2312" w:hAnsi="仿宋_GB2312" w:cs="仿宋_GB2312" w:hint="eastAsia"/>
          <w:sz w:val="32"/>
          <w:szCs w:val="40"/>
        </w:rPr>
        <w:t>绩效评价得分86.3</w:t>
      </w:r>
      <w:r>
        <w:rPr>
          <w:rFonts w:ascii="仿宋_GB2312" w:eastAsia="仿宋_GB2312" w:hAnsi="仿宋_GB2312" w:cs="仿宋_GB2312"/>
          <w:sz w:val="32"/>
          <w:szCs w:val="40"/>
        </w:rPr>
        <w:t>9</w:t>
      </w:r>
      <w:r>
        <w:rPr>
          <w:rFonts w:ascii="仿宋_GB2312" w:eastAsia="仿宋_GB2312" w:hAnsi="仿宋_GB2312" w:cs="仿宋_GB2312" w:hint="eastAsia"/>
          <w:sz w:val="32"/>
          <w:szCs w:val="40"/>
        </w:rPr>
        <w:t>分，评价结果为“良”。</w:t>
      </w:r>
    </w:p>
    <w:p w:rsidR="009F155D" w:rsidRDefault="00977B39">
      <w:pPr>
        <w:spacing w:line="600" w:lineRule="exact"/>
        <w:jc w:val="center"/>
        <w:rPr>
          <w:rFonts w:ascii="Times New Roman Regular" w:eastAsia="黑体" w:hAnsi="Times New Roman Regular" w:cs="Times New Roman Regular"/>
          <w:sz w:val="24"/>
        </w:rPr>
      </w:pPr>
      <w:r>
        <w:rPr>
          <w:rFonts w:ascii="黑体" w:eastAsia="黑体" w:hAnsi="黑体" w:cs="黑体" w:hint="eastAsia"/>
          <w:sz w:val="24"/>
        </w:rPr>
        <w:t xml:space="preserve">表3-1 </w:t>
      </w:r>
      <w:r>
        <w:rPr>
          <w:rFonts w:ascii="Times New Roman Regular" w:eastAsia="黑体" w:hAnsi="Times New Roman Regular" w:cs="Times New Roman Regular"/>
          <w:sz w:val="24"/>
        </w:rPr>
        <w:t>影视产业补助资金政策绩效评价得分情况表</w:t>
      </w:r>
    </w:p>
    <w:tbl>
      <w:tblPr>
        <w:tblW w:w="4997" w:type="pct"/>
        <w:tblLook w:val="04A0" w:firstRow="1" w:lastRow="0" w:firstColumn="1" w:lastColumn="0" w:noHBand="0" w:noVBand="1"/>
      </w:tblPr>
      <w:tblGrid>
        <w:gridCol w:w="2179"/>
        <w:gridCol w:w="2187"/>
        <w:gridCol w:w="1860"/>
        <w:gridCol w:w="2291"/>
      </w:tblGrid>
      <w:tr w:rsidR="009F155D">
        <w:trPr>
          <w:trHeight w:val="465"/>
          <w:tblHeader/>
        </w:trPr>
        <w:tc>
          <w:tcPr>
            <w:tcW w:w="127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一级指标</w:t>
            </w:r>
          </w:p>
        </w:tc>
        <w:tc>
          <w:tcPr>
            <w:tcW w:w="128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指标分值</w:t>
            </w:r>
          </w:p>
        </w:tc>
        <w:tc>
          <w:tcPr>
            <w:tcW w:w="109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得分</w:t>
            </w:r>
          </w:p>
        </w:tc>
        <w:tc>
          <w:tcPr>
            <w:tcW w:w="13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F155D" w:rsidRDefault="00977B39">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得分率</w:t>
            </w:r>
          </w:p>
        </w:tc>
      </w:tr>
      <w:tr w:rsidR="009F155D">
        <w:trPr>
          <w:trHeight w:val="465"/>
        </w:trPr>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政策制定</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20</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18.4</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92.00%</w:t>
            </w:r>
          </w:p>
        </w:tc>
      </w:tr>
      <w:tr w:rsidR="009F155D">
        <w:trPr>
          <w:trHeight w:val="465"/>
        </w:trPr>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政策实施</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20</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14.</w:t>
            </w:r>
            <w:r>
              <w:rPr>
                <w:rFonts w:ascii="宋体" w:eastAsia="宋体" w:hAnsi="宋体" w:cs="宋体"/>
                <w:color w:val="000000"/>
                <w:kern w:val="0"/>
                <w:szCs w:val="21"/>
                <w:lang w:bidi="ar"/>
              </w:rPr>
              <w:t>71</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7</w:t>
            </w:r>
            <w:r>
              <w:rPr>
                <w:rFonts w:ascii="宋体" w:eastAsia="宋体" w:hAnsi="宋体" w:cs="宋体"/>
                <w:color w:val="000000"/>
                <w:kern w:val="0"/>
                <w:szCs w:val="21"/>
                <w:lang w:bidi="ar"/>
              </w:rPr>
              <w:t>3.54</w:t>
            </w:r>
            <w:r>
              <w:rPr>
                <w:rFonts w:ascii="宋体" w:eastAsia="宋体" w:hAnsi="宋体" w:cs="宋体" w:hint="eastAsia"/>
                <w:color w:val="000000"/>
                <w:kern w:val="0"/>
                <w:szCs w:val="21"/>
                <w:lang w:bidi="ar"/>
              </w:rPr>
              <w:t>%</w:t>
            </w:r>
          </w:p>
        </w:tc>
      </w:tr>
      <w:tr w:rsidR="009F155D">
        <w:trPr>
          <w:trHeight w:val="465"/>
        </w:trPr>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color w:val="000000"/>
                <w:sz w:val="24"/>
              </w:rPr>
            </w:pPr>
            <w:r>
              <w:rPr>
                <w:rFonts w:ascii="Times New Roman Regular" w:eastAsia="宋体" w:hAnsi="Times New Roman Regular" w:cs="Times New Roman Regular"/>
                <w:color w:val="000000"/>
                <w:kern w:val="0"/>
                <w:sz w:val="24"/>
                <w:lang w:bidi="ar"/>
              </w:rPr>
              <w:t>政策效果</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60</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53.28</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Cs w:val="21"/>
                <w:lang w:bidi="ar"/>
              </w:rPr>
              <w:t>88.80%</w:t>
            </w:r>
          </w:p>
        </w:tc>
      </w:tr>
      <w:tr w:rsidR="009F155D">
        <w:trPr>
          <w:trHeight w:val="465"/>
        </w:trPr>
        <w:tc>
          <w:tcPr>
            <w:tcW w:w="12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Times New Roman Regular" w:eastAsia="宋体" w:hAnsi="Times New Roman Regular" w:cs="Times New Roman Regular"/>
                <w:b/>
                <w:bCs/>
                <w:color w:val="000000"/>
                <w:sz w:val="24"/>
              </w:rPr>
            </w:pPr>
            <w:r>
              <w:rPr>
                <w:rFonts w:ascii="Times New Roman Regular" w:eastAsia="宋体" w:hAnsi="Times New Roman Regular" w:cs="Times New Roman Regular"/>
                <w:b/>
                <w:bCs/>
                <w:color w:val="000000"/>
                <w:kern w:val="0"/>
                <w:sz w:val="24"/>
                <w:lang w:bidi="ar"/>
              </w:rPr>
              <w:t>合计</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100</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Cs w:val="21"/>
                <w:lang w:bidi="ar"/>
              </w:rPr>
            </w:pPr>
            <w:r>
              <w:rPr>
                <w:rFonts w:ascii="宋体" w:eastAsia="宋体" w:hAnsi="宋体" w:cs="宋体"/>
                <w:color w:val="000000"/>
                <w:kern w:val="0"/>
                <w:szCs w:val="21"/>
                <w:lang w:bidi="ar"/>
              </w:rPr>
              <w:t>8</w:t>
            </w:r>
            <w:r>
              <w:rPr>
                <w:rFonts w:ascii="宋体" w:eastAsia="宋体" w:hAnsi="宋体" w:cs="宋体" w:hint="eastAsia"/>
                <w:color w:val="000000"/>
                <w:kern w:val="0"/>
                <w:szCs w:val="21"/>
                <w:lang w:bidi="ar"/>
              </w:rPr>
              <w:t>6</w:t>
            </w:r>
            <w:r>
              <w:rPr>
                <w:rFonts w:ascii="宋体" w:eastAsia="宋体" w:hAnsi="宋体" w:cs="宋体"/>
                <w:color w:val="000000"/>
                <w:kern w:val="0"/>
                <w:szCs w:val="21"/>
                <w:lang w:bidi="ar"/>
              </w:rPr>
              <w:t>.</w:t>
            </w:r>
            <w:r>
              <w:rPr>
                <w:rFonts w:ascii="宋体" w:eastAsia="宋体" w:hAnsi="宋体" w:cs="宋体" w:hint="eastAsia"/>
                <w:color w:val="000000"/>
                <w:kern w:val="0"/>
                <w:szCs w:val="21"/>
                <w:lang w:bidi="ar"/>
              </w:rPr>
              <w:t>3</w:t>
            </w:r>
            <w:r>
              <w:rPr>
                <w:rFonts w:ascii="宋体" w:eastAsia="宋体" w:hAnsi="宋体" w:cs="宋体"/>
                <w:color w:val="000000"/>
                <w:kern w:val="0"/>
                <w:szCs w:val="21"/>
                <w:lang w:bidi="ar"/>
              </w:rPr>
              <w:t>9</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155D" w:rsidRDefault="00977B39">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86.3</w:t>
            </w:r>
            <w:r>
              <w:rPr>
                <w:rFonts w:ascii="宋体" w:eastAsia="宋体" w:hAnsi="宋体" w:cs="宋体"/>
                <w:color w:val="000000"/>
                <w:kern w:val="0"/>
                <w:szCs w:val="21"/>
                <w:lang w:bidi="ar"/>
              </w:rPr>
              <w:t>9</w:t>
            </w:r>
            <w:r>
              <w:rPr>
                <w:rFonts w:ascii="宋体" w:eastAsia="宋体" w:hAnsi="宋体" w:cs="宋体" w:hint="eastAsia"/>
                <w:color w:val="000000"/>
                <w:kern w:val="0"/>
                <w:szCs w:val="21"/>
                <w:lang w:bidi="ar"/>
              </w:rPr>
              <w:t>%</w:t>
            </w:r>
          </w:p>
        </w:tc>
      </w:tr>
    </w:tbl>
    <w:p w:rsidR="009F155D" w:rsidRDefault="00977B39">
      <w:pPr>
        <w:pStyle w:val="2"/>
        <w:ind w:firstLine="640"/>
      </w:pPr>
      <w:bookmarkStart w:id="20" w:name="_Toc1232223710"/>
      <w:bookmarkStart w:id="21" w:name="_Toc31377"/>
      <w:r>
        <w:rPr>
          <w:rFonts w:hint="eastAsia"/>
        </w:rPr>
        <w:t>（二）指标分析</w:t>
      </w:r>
      <w:bookmarkEnd w:id="20"/>
      <w:bookmarkEnd w:id="21"/>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1.政策制定指标分析</w:t>
      </w:r>
    </w:p>
    <w:p w:rsidR="009F155D" w:rsidRDefault="00977B39">
      <w:pPr>
        <w:spacing w:line="560" w:lineRule="exact"/>
        <w:ind w:firstLineChars="200" w:firstLine="640"/>
        <w:rPr>
          <w:rFonts w:ascii="仿宋_GB2312" w:eastAsia="仿宋_GB2312" w:hAnsi="仿宋_GB2312" w:cs="仿宋_GB2312"/>
          <w:kern w:val="0"/>
          <w:sz w:val="32"/>
          <w:szCs w:val="32"/>
        </w:rPr>
      </w:pPr>
      <w:bookmarkStart w:id="22" w:name="_Toc2571"/>
      <w:bookmarkStart w:id="23" w:name="_Toc29879"/>
      <w:bookmarkStart w:id="24" w:name="_Toc18746"/>
      <w:bookmarkStart w:id="25" w:name="_Toc32216"/>
      <w:bookmarkStart w:id="26" w:name="_Toc29925"/>
      <w:bookmarkStart w:id="27" w:name="_Toc12725"/>
      <w:bookmarkStart w:id="28" w:name="_Toc4339"/>
      <w:bookmarkStart w:id="29" w:name="_Toc18993"/>
      <w:r>
        <w:rPr>
          <w:rFonts w:ascii="仿宋_GB2312" w:eastAsia="仿宋_GB2312" w:hAnsi="仿宋_GB2312" w:cs="仿宋_GB2312" w:hint="eastAsia"/>
          <w:sz w:val="32"/>
          <w:szCs w:val="40"/>
        </w:rPr>
        <w:t>政策制定</w:t>
      </w:r>
      <w:r>
        <w:rPr>
          <w:rFonts w:ascii="仿宋_GB2312" w:eastAsia="仿宋_GB2312" w:hAnsi="仿宋_GB2312" w:cs="仿宋_GB2312" w:hint="eastAsia"/>
          <w:kern w:val="0"/>
          <w:sz w:val="32"/>
          <w:szCs w:val="32"/>
        </w:rPr>
        <w:t>指标满分20分，得分18</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4分，得分率为92%。</w:t>
      </w:r>
      <w:bookmarkEnd w:id="22"/>
      <w:bookmarkEnd w:id="23"/>
      <w:bookmarkEnd w:id="24"/>
      <w:bookmarkEnd w:id="25"/>
      <w:bookmarkEnd w:id="26"/>
      <w:bookmarkEnd w:id="27"/>
      <w:bookmarkEnd w:id="28"/>
      <w:bookmarkEnd w:id="29"/>
      <w:r>
        <w:rPr>
          <w:rFonts w:ascii="仿宋_GB2312" w:eastAsia="仿宋_GB2312" w:hAnsi="仿宋_GB2312" w:cs="仿宋_GB2312" w:hint="eastAsia"/>
          <w:kern w:val="0"/>
          <w:sz w:val="32"/>
          <w:szCs w:val="32"/>
        </w:rPr>
        <w:t>该政策制定符合国家法律法规、国民经济发展规划和相关政策，政策按照规定的程序申请设立，事前经过集体决策，2022-2024年均有项目绩效目标表。政策依据充分、程序规范；制定了《关于推动影视业高质量发展若干政策实施细则》（青</w:t>
      </w:r>
      <w:proofErr w:type="gramStart"/>
      <w:r>
        <w:rPr>
          <w:rFonts w:ascii="仿宋_GB2312" w:eastAsia="仿宋_GB2312" w:hAnsi="仿宋_GB2312" w:cs="仿宋_GB2312" w:hint="eastAsia"/>
          <w:kern w:val="0"/>
          <w:sz w:val="32"/>
          <w:szCs w:val="32"/>
        </w:rPr>
        <w:t>文旅发</w:t>
      </w:r>
      <w:proofErr w:type="gramEnd"/>
      <w:r>
        <w:rPr>
          <w:rFonts w:ascii="仿宋_GB2312" w:eastAsia="仿宋_GB2312" w:hAnsi="仿宋_GB2312" w:cs="仿宋_GB2312" w:hint="eastAsia"/>
          <w:kern w:val="0"/>
          <w:sz w:val="32"/>
          <w:szCs w:val="32"/>
        </w:rPr>
        <w:t>〔2022〕55号）并在管理办法中明确资金分配办法；资金分配因素全面、合理，与补助对象相适应。</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存在以下问题：政策总量资金不够清晰。在政策制定环节，单位对政策实施周期内，为达成政策目标所需投入的资金总量测算不准确，导致实际需求资金与测算资金有差距。</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2.政策实施指标分析</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政策实施指标满分20分，得分14.</w:t>
      </w:r>
      <w:r>
        <w:rPr>
          <w:rFonts w:ascii="仿宋_GB2312" w:eastAsia="仿宋_GB2312" w:hAnsi="仿宋_GB2312" w:cs="仿宋_GB2312"/>
          <w:kern w:val="0"/>
          <w:sz w:val="32"/>
          <w:szCs w:val="32"/>
        </w:rPr>
        <w:t>71</w:t>
      </w:r>
      <w:r>
        <w:rPr>
          <w:rFonts w:ascii="仿宋_GB2312" w:eastAsia="仿宋_GB2312" w:hAnsi="仿宋_GB2312" w:cs="仿宋_GB2312" w:hint="eastAsia"/>
          <w:kern w:val="0"/>
          <w:sz w:val="32"/>
          <w:szCs w:val="32"/>
        </w:rPr>
        <w:t>分，得分率为</w:t>
      </w:r>
      <w:r>
        <w:rPr>
          <w:rFonts w:ascii="仿宋_GB2312" w:eastAsia="仿宋_GB2312" w:hAnsi="仿宋_GB2312" w:cs="仿宋_GB2312" w:hint="eastAsia"/>
          <w:kern w:val="0"/>
          <w:sz w:val="32"/>
          <w:szCs w:val="32"/>
        </w:rPr>
        <w:lastRenderedPageBreak/>
        <w:t>7</w:t>
      </w:r>
      <w:r>
        <w:rPr>
          <w:rFonts w:ascii="仿宋_GB2312" w:eastAsia="仿宋_GB2312" w:hAnsi="仿宋_GB2312" w:cs="仿宋_GB2312"/>
          <w:kern w:val="0"/>
          <w:sz w:val="32"/>
          <w:szCs w:val="32"/>
        </w:rPr>
        <w:t>3.54</w:t>
      </w:r>
      <w:r>
        <w:rPr>
          <w:rFonts w:ascii="仿宋_GB2312" w:eastAsia="仿宋_GB2312" w:hAnsi="仿宋_GB2312" w:cs="仿宋_GB2312" w:hint="eastAsia"/>
          <w:kern w:val="0"/>
          <w:sz w:val="32"/>
          <w:szCs w:val="32"/>
        </w:rPr>
        <w:t>%。2022-2024年影视产业补助资金政策预算数7718万元，调整</w:t>
      </w:r>
      <w:proofErr w:type="gramStart"/>
      <w:r>
        <w:rPr>
          <w:rFonts w:ascii="仿宋_GB2312" w:eastAsia="仿宋_GB2312" w:hAnsi="仿宋_GB2312" w:cs="仿宋_GB2312" w:hint="eastAsia"/>
          <w:kern w:val="0"/>
          <w:sz w:val="32"/>
          <w:szCs w:val="32"/>
        </w:rPr>
        <w:t>后预算</w:t>
      </w:r>
      <w:proofErr w:type="gramEnd"/>
      <w:r>
        <w:rPr>
          <w:rFonts w:ascii="仿宋_GB2312" w:eastAsia="仿宋_GB2312" w:hAnsi="仿宋_GB2312" w:cs="仿宋_GB2312" w:hint="eastAsia"/>
          <w:kern w:val="0"/>
          <w:sz w:val="32"/>
          <w:szCs w:val="32"/>
        </w:rPr>
        <w:t>数4625万元，到位4625万元，支出1861.16万元，预算执行率40.24%。资金使用符合国家财经法规和财务管理制度以及《青岛市市级文化和旅游产业发展专项资金管理办法》（</w:t>
      </w:r>
      <w:proofErr w:type="gramStart"/>
      <w:r>
        <w:rPr>
          <w:rFonts w:ascii="仿宋_GB2312" w:eastAsia="仿宋_GB2312" w:hAnsi="仿宋_GB2312" w:cs="仿宋_GB2312" w:hint="eastAsia"/>
          <w:kern w:val="0"/>
          <w:sz w:val="32"/>
          <w:szCs w:val="32"/>
        </w:rPr>
        <w:t>青财文</w:t>
      </w:r>
      <w:proofErr w:type="gramEnd"/>
      <w:r>
        <w:rPr>
          <w:rFonts w:ascii="仿宋_GB2312" w:eastAsia="仿宋_GB2312" w:hAnsi="仿宋_GB2312" w:cs="仿宋_GB2312" w:hint="eastAsia"/>
          <w:kern w:val="0"/>
          <w:sz w:val="32"/>
          <w:szCs w:val="32"/>
        </w:rPr>
        <w:t>〔2022〕8号）办法的规定；项目单位制定了具有相应财务和业务管理制度。存在以下问题：①预算执行率较低。</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②国际A类电影节及奥斯卡主要奖项或提名、动画片“上星动漫频道和省级卫视综合频道黄金时段首播”、支持电影发行放映（按发行合同交易金额3%给予奖励，最高500万元）、鼓励青岛影视元素衍生品市场化开发（按衍生品业务收入5%给予奖励，最高100万元）的奖励政策，在政策期内无符合条件项目，政策引导效果不明显。</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kern w:val="0"/>
          <w:sz w:val="32"/>
          <w:szCs w:val="32"/>
        </w:rPr>
        <w:t>③政策总体目标表述相对笼统，未制定出明确、量化的阶段性效益目标及指标值，导致目标导向性与可衡量性弱，难以准确判断各阶段工作成效，不利于及时调整策略、保障政策有效推进。</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3.政策效果指标分析</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40"/>
        </w:rPr>
        <w:t>政策效果</w:t>
      </w:r>
      <w:r>
        <w:rPr>
          <w:rFonts w:ascii="仿宋_GB2312" w:eastAsia="仿宋_GB2312" w:hAnsi="仿宋_GB2312" w:cs="仿宋_GB2312" w:hint="eastAsia"/>
          <w:kern w:val="0"/>
          <w:sz w:val="32"/>
          <w:szCs w:val="32"/>
        </w:rPr>
        <w:t>指标满分60分，得分53.28分，得分率为88.8%。2022年完成奖励“青岛出品”</w:t>
      </w:r>
      <w:proofErr w:type="gramStart"/>
      <w:r>
        <w:rPr>
          <w:rFonts w:ascii="仿宋_GB2312" w:eastAsia="仿宋_GB2312" w:hAnsi="仿宋_GB2312" w:cs="仿宋_GB2312" w:hint="eastAsia"/>
          <w:kern w:val="0"/>
          <w:sz w:val="32"/>
          <w:szCs w:val="32"/>
        </w:rPr>
        <w:t>影视项目</w:t>
      </w:r>
      <w:proofErr w:type="gramEnd"/>
      <w:r>
        <w:rPr>
          <w:rFonts w:ascii="仿宋_GB2312" w:eastAsia="仿宋_GB2312" w:hAnsi="仿宋_GB2312" w:cs="仿宋_GB2312" w:hint="eastAsia"/>
          <w:kern w:val="0"/>
          <w:sz w:val="32"/>
          <w:szCs w:val="32"/>
        </w:rPr>
        <w:t>数量1部，支持“青岛摄制”</w:t>
      </w:r>
      <w:proofErr w:type="gramStart"/>
      <w:r>
        <w:rPr>
          <w:rFonts w:ascii="仿宋_GB2312" w:eastAsia="仿宋_GB2312" w:hAnsi="仿宋_GB2312" w:cs="仿宋_GB2312" w:hint="eastAsia"/>
          <w:kern w:val="0"/>
          <w:sz w:val="32"/>
          <w:szCs w:val="32"/>
        </w:rPr>
        <w:t>影视项目</w:t>
      </w:r>
      <w:proofErr w:type="gramEnd"/>
      <w:r>
        <w:rPr>
          <w:rFonts w:ascii="仿宋_GB2312" w:eastAsia="仿宋_GB2312" w:hAnsi="仿宋_GB2312" w:cs="仿宋_GB2312" w:hint="eastAsia"/>
          <w:kern w:val="0"/>
          <w:sz w:val="32"/>
          <w:szCs w:val="32"/>
        </w:rPr>
        <w:t>数量6部，影视剧来青拍摄数量50部。2023年完成奖励“青岛出品”</w:t>
      </w:r>
      <w:proofErr w:type="gramStart"/>
      <w:r>
        <w:rPr>
          <w:rFonts w:ascii="仿宋_GB2312" w:eastAsia="仿宋_GB2312" w:hAnsi="仿宋_GB2312" w:cs="仿宋_GB2312" w:hint="eastAsia"/>
          <w:kern w:val="0"/>
          <w:sz w:val="32"/>
          <w:szCs w:val="32"/>
        </w:rPr>
        <w:t>影视项目</w:t>
      </w:r>
      <w:proofErr w:type="gramEnd"/>
      <w:r>
        <w:rPr>
          <w:rFonts w:ascii="仿宋_GB2312" w:eastAsia="仿宋_GB2312" w:hAnsi="仿宋_GB2312" w:cs="仿宋_GB2312" w:hint="eastAsia"/>
          <w:kern w:val="0"/>
          <w:sz w:val="32"/>
          <w:szCs w:val="32"/>
        </w:rPr>
        <w:t>数量1部，支持“青岛摄制”</w:t>
      </w:r>
      <w:proofErr w:type="gramStart"/>
      <w:r>
        <w:rPr>
          <w:rFonts w:ascii="仿宋_GB2312" w:eastAsia="仿宋_GB2312" w:hAnsi="仿宋_GB2312" w:cs="仿宋_GB2312" w:hint="eastAsia"/>
          <w:kern w:val="0"/>
          <w:sz w:val="32"/>
          <w:szCs w:val="32"/>
        </w:rPr>
        <w:t>影视项目</w:t>
      </w:r>
      <w:proofErr w:type="gramEnd"/>
      <w:r>
        <w:rPr>
          <w:rFonts w:ascii="仿宋_GB2312" w:eastAsia="仿宋_GB2312" w:hAnsi="仿宋_GB2312" w:cs="仿宋_GB2312" w:hint="eastAsia"/>
          <w:kern w:val="0"/>
          <w:sz w:val="32"/>
          <w:szCs w:val="32"/>
        </w:rPr>
        <w:t>数量10部、影视拍摄取景基地9处、影视剧来青拍摄数量60部。2024年奖励“青岛出品”</w:t>
      </w:r>
      <w:proofErr w:type="gramStart"/>
      <w:r>
        <w:rPr>
          <w:rFonts w:ascii="仿宋_GB2312" w:eastAsia="仿宋_GB2312" w:hAnsi="仿宋_GB2312" w:cs="仿宋_GB2312" w:hint="eastAsia"/>
          <w:kern w:val="0"/>
          <w:sz w:val="32"/>
          <w:szCs w:val="32"/>
        </w:rPr>
        <w:t>影视项</w:t>
      </w:r>
      <w:r>
        <w:rPr>
          <w:rFonts w:ascii="仿宋_GB2312" w:eastAsia="仿宋_GB2312" w:hAnsi="仿宋_GB2312" w:cs="仿宋_GB2312" w:hint="eastAsia"/>
          <w:kern w:val="0"/>
          <w:sz w:val="32"/>
          <w:szCs w:val="32"/>
        </w:rPr>
        <w:lastRenderedPageBreak/>
        <w:t>目</w:t>
      </w:r>
      <w:proofErr w:type="gramEnd"/>
      <w:r>
        <w:rPr>
          <w:rFonts w:ascii="仿宋_GB2312" w:eastAsia="仿宋_GB2312" w:hAnsi="仿宋_GB2312" w:cs="仿宋_GB2312" w:hint="eastAsia"/>
          <w:kern w:val="0"/>
          <w:sz w:val="32"/>
          <w:szCs w:val="32"/>
        </w:rPr>
        <w:t>数量2部、支持“青岛摄制”</w:t>
      </w:r>
      <w:proofErr w:type="gramStart"/>
      <w:r>
        <w:rPr>
          <w:rFonts w:ascii="仿宋_GB2312" w:eastAsia="仿宋_GB2312" w:hAnsi="仿宋_GB2312" w:cs="仿宋_GB2312" w:hint="eastAsia"/>
          <w:kern w:val="0"/>
          <w:sz w:val="32"/>
          <w:szCs w:val="32"/>
        </w:rPr>
        <w:t>影视项目</w:t>
      </w:r>
      <w:proofErr w:type="gramEnd"/>
      <w:r>
        <w:rPr>
          <w:rFonts w:ascii="仿宋_GB2312" w:eastAsia="仿宋_GB2312" w:hAnsi="仿宋_GB2312" w:cs="仿宋_GB2312" w:hint="eastAsia"/>
          <w:kern w:val="0"/>
          <w:sz w:val="32"/>
          <w:szCs w:val="32"/>
        </w:rPr>
        <w:t>数量11部（包括以前年度制作完成后，申领50%</w:t>
      </w:r>
      <w:proofErr w:type="gramStart"/>
      <w:r>
        <w:rPr>
          <w:rFonts w:ascii="仿宋_GB2312" w:eastAsia="仿宋_GB2312" w:hAnsi="仿宋_GB2312" w:cs="仿宋_GB2312" w:hint="eastAsia"/>
          <w:kern w:val="0"/>
          <w:sz w:val="32"/>
          <w:szCs w:val="32"/>
        </w:rPr>
        <w:t>的奖补资金</w:t>
      </w:r>
      <w:proofErr w:type="gramEnd"/>
      <w:r>
        <w:rPr>
          <w:rFonts w:ascii="仿宋_GB2312" w:eastAsia="仿宋_GB2312" w:hAnsi="仿宋_GB2312" w:cs="仿宋_GB2312" w:hint="eastAsia"/>
          <w:kern w:val="0"/>
          <w:sz w:val="32"/>
          <w:szCs w:val="32"/>
        </w:rPr>
        <w:t>的项目）。</w:t>
      </w:r>
    </w:p>
    <w:p w:rsidR="009F155D" w:rsidRDefault="00977B39">
      <w:pPr>
        <w:spacing w:line="560" w:lineRule="exact"/>
        <w:ind w:firstLineChars="200" w:firstLine="640"/>
        <w:rPr>
          <w:rFonts w:ascii="Times New Roman" w:eastAsia="仿宋_GB2312" w:hAnsi="Times New Roman" w:cs="Times New Roman"/>
          <w:kern w:val="0"/>
          <w:sz w:val="32"/>
          <w:szCs w:val="32"/>
        </w:rPr>
      </w:pPr>
      <w:r>
        <w:rPr>
          <w:rFonts w:ascii="仿宋_GB2312" w:eastAsia="仿宋_GB2312" w:hAnsi="仿宋_GB2312" w:cs="仿宋_GB2312" w:hint="eastAsia"/>
          <w:kern w:val="0"/>
          <w:sz w:val="32"/>
          <w:szCs w:val="32"/>
        </w:rPr>
        <w:t>主要存在以下问题：2024年奖励“青岛出品”</w:t>
      </w:r>
      <w:proofErr w:type="gramStart"/>
      <w:r>
        <w:rPr>
          <w:rFonts w:ascii="仿宋_GB2312" w:eastAsia="仿宋_GB2312" w:hAnsi="仿宋_GB2312" w:cs="仿宋_GB2312" w:hint="eastAsia"/>
          <w:kern w:val="0"/>
          <w:sz w:val="32"/>
          <w:szCs w:val="32"/>
        </w:rPr>
        <w:t>影视项目</w:t>
      </w:r>
      <w:proofErr w:type="gramEnd"/>
      <w:r>
        <w:rPr>
          <w:rFonts w:ascii="仿宋_GB2312" w:eastAsia="仿宋_GB2312" w:hAnsi="仿宋_GB2312" w:cs="仿宋_GB2312" w:hint="eastAsia"/>
          <w:kern w:val="0"/>
          <w:sz w:val="32"/>
          <w:szCs w:val="32"/>
        </w:rPr>
        <w:t>数量计划完成5部，实际完成奖励2部。</w:t>
      </w:r>
    </w:p>
    <w:p w:rsidR="009F155D" w:rsidRDefault="00977B39">
      <w:pPr>
        <w:pStyle w:val="1"/>
        <w:spacing w:before="0" w:after="0" w:line="660" w:lineRule="exact"/>
        <w:ind w:firstLineChars="200" w:firstLine="640"/>
        <w:jc w:val="both"/>
        <w:rPr>
          <w:rFonts w:ascii="仿宋_GB2312" w:eastAsia="仿宋_GB2312" w:hAnsi="仿宋_GB2312" w:cs="仿宋_GB2312"/>
          <w:sz w:val="32"/>
          <w:szCs w:val="32"/>
        </w:rPr>
      </w:pPr>
      <w:bookmarkStart w:id="30" w:name="_Toc1799085949"/>
      <w:bookmarkStart w:id="31" w:name="_Toc530"/>
      <w:r>
        <w:rPr>
          <w:rFonts w:ascii="Calibri" w:hAnsi="Calibri" w:cs="Times New Roman" w:hint="eastAsia"/>
          <w:sz w:val="32"/>
          <w:szCs w:val="32"/>
        </w:rPr>
        <w:t>四、政策实施成效</w:t>
      </w:r>
      <w:bookmarkEnd w:id="30"/>
      <w:bookmarkEnd w:id="31"/>
    </w:p>
    <w:p w:rsidR="009F155D" w:rsidRDefault="00977B39">
      <w:pPr>
        <w:pStyle w:val="2"/>
        <w:ind w:firstLine="640"/>
        <w:rPr>
          <w:rFonts w:ascii="仿宋_GB2312" w:eastAsia="仿宋_GB2312" w:hAnsi="仿宋_GB2312" w:cs="仿宋_GB2312"/>
          <w:szCs w:val="32"/>
        </w:rPr>
      </w:pPr>
      <w:r>
        <w:rPr>
          <w:rFonts w:hint="eastAsia"/>
        </w:rPr>
        <w:t>（一）聚焦精品创作，擦亮“青岛出品”“青岛摄制”品牌</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“青岛出品”</w:t>
      </w:r>
      <w:proofErr w:type="gramStart"/>
      <w:r>
        <w:rPr>
          <w:rFonts w:ascii="仿宋_GB2312" w:eastAsia="仿宋_GB2312" w:hAnsi="仿宋_GB2312" w:cs="仿宋_GB2312" w:hint="eastAsia"/>
          <w:kern w:val="0"/>
          <w:sz w:val="32"/>
          <w:szCs w:val="32"/>
        </w:rPr>
        <w:t>影视项目</w:t>
      </w:r>
      <w:proofErr w:type="gramEnd"/>
      <w:r>
        <w:rPr>
          <w:rFonts w:ascii="仿宋_GB2312" w:eastAsia="仿宋_GB2312" w:hAnsi="仿宋_GB2312" w:cs="仿宋_GB2312" w:hint="eastAsia"/>
          <w:kern w:val="0"/>
          <w:sz w:val="32"/>
          <w:szCs w:val="32"/>
        </w:rPr>
        <w:t>品质提升。2023年以来，《倒数说爱你》《海洋传奇》《夏天的蜗牛》等3部院</w:t>
      </w:r>
      <w:proofErr w:type="gramStart"/>
      <w:r>
        <w:rPr>
          <w:rFonts w:ascii="仿宋_GB2312" w:eastAsia="仿宋_GB2312" w:hAnsi="仿宋_GB2312" w:cs="仿宋_GB2312" w:hint="eastAsia"/>
          <w:kern w:val="0"/>
          <w:sz w:val="32"/>
          <w:szCs w:val="32"/>
        </w:rPr>
        <w:t>线电影</w:t>
      </w:r>
      <w:proofErr w:type="gramEnd"/>
      <w:r>
        <w:rPr>
          <w:rFonts w:ascii="仿宋_GB2312" w:eastAsia="仿宋_GB2312" w:hAnsi="仿宋_GB2312" w:cs="仿宋_GB2312" w:hint="eastAsia"/>
          <w:kern w:val="0"/>
          <w:sz w:val="32"/>
          <w:szCs w:val="32"/>
        </w:rPr>
        <w:t>上映，《夏天的蜗牛》荣获“泰山文艺奖”；《又是充满希望的一天》入围波兰Energa Camerimage国家电影节最佳导演首作竞赛单元，成为唯一</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部入围华语片；动画片《动车侠未来高铁城》《节气小精灵》</w:t>
      </w:r>
      <w:proofErr w:type="gramStart"/>
      <w:r>
        <w:rPr>
          <w:rFonts w:ascii="仿宋_GB2312" w:eastAsia="仿宋_GB2312" w:hAnsi="仿宋_GB2312" w:cs="仿宋_GB2312" w:hint="eastAsia"/>
          <w:kern w:val="0"/>
          <w:sz w:val="32"/>
          <w:szCs w:val="32"/>
        </w:rPr>
        <w:t>上星卫视</w:t>
      </w:r>
      <w:proofErr w:type="gramEnd"/>
      <w:r>
        <w:rPr>
          <w:rFonts w:ascii="仿宋_GB2312" w:eastAsia="仿宋_GB2312" w:hAnsi="仿宋_GB2312" w:cs="仿宋_GB2312" w:hint="eastAsia"/>
          <w:kern w:val="0"/>
          <w:sz w:val="32"/>
          <w:szCs w:val="32"/>
        </w:rPr>
        <w:t>播映。2024年以来，电视剧、网络剧《你比星光美丽》等剧登陆央视及主流视频平台，电视剧《父辈的荣耀》《南来北往》等5部作品荣获“五个</w:t>
      </w:r>
      <w:proofErr w:type="gramStart"/>
      <w:r>
        <w:rPr>
          <w:rFonts w:ascii="仿宋_GB2312" w:eastAsia="仿宋_GB2312" w:hAnsi="仿宋_GB2312" w:cs="仿宋_GB2312" w:hint="eastAsia"/>
          <w:kern w:val="0"/>
          <w:sz w:val="32"/>
          <w:szCs w:val="32"/>
        </w:rPr>
        <w:t>一</w:t>
      </w:r>
      <w:proofErr w:type="gramEnd"/>
      <w:r>
        <w:rPr>
          <w:rFonts w:ascii="仿宋_GB2312" w:eastAsia="仿宋_GB2312" w:hAnsi="仿宋_GB2312" w:cs="仿宋_GB2312" w:hint="eastAsia"/>
          <w:kern w:val="0"/>
          <w:sz w:val="32"/>
          <w:szCs w:val="32"/>
        </w:rPr>
        <w:t>工程奖”“白玉兰奖”“飞天奖”等7项大奖，4部作品获省级优秀奖，6部入选省重点电视剧选题。微短剧《我的海蛎子男友》《呼唤春风伴我行》等5部作品成功入选广电总局“跟着微短剧去旅行”创作计划推荐剧目;《那一年春节，他们是在战斗中度过的》《乘风而上的她》2部微短剧作品入选广电总局年度、季度优秀网络视听作品推优。</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“青岛摄制”影视精品集聚。电视剧《南来北往》《老家伙》《你比星光美丽》《赤子之心》《三叉戟2》、网络剧《不完美受害人》《婚姻攻略》等一批“青岛摄制”优秀</w:t>
      </w:r>
      <w:r>
        <w:rPr>
          <w:rFonts w:ascii="仿宋_GB2312" w:eastAsia="仿宋_GB2312" w:hAnsi="仿宋_GB2312" w:cs="仿宋_GB2312" w:hint="eastAsia"/>
          <w:kern w:val="0"/>
          <w:sz w:val="32"/>
          <w:szCs w:val="32"/>
        </w:rPr>
        <w:lastRenderedPageBreak/>
        <w:t>剧集在央视及主流视频平台播出。2023年，《流浪地球2》《封神第一部》《莫斯科行动》《好像也没那么热血沸腾》等“青岛摄制”电影上映，票房总额达77.97亿元；《流浪地球》《守岛人》《刺杀小说家》获华表</w:t>
      </w:r>
      <w:proofErr w:type="gramStart"/>
      <w:r>
        <w:rPr>
          <w:rFonts w:ascii="仿宋_GB2312" w:eastAsia="仿宋_GB2312" w:hAnsi="仿宋_GB2312" w:cs="仿宋_GB2312" w:hint="eastAsia"/>
          <w:kern w:val="0"/>
          <w:sz w:val="32"/>
          <w:szCs w:val="32"/>
        </w:rPr>
        <w:t>奖有关</w:t>
      </w:r>
      <w:proofErr w:type="gramEnd"/>
      <w:r>
        <w:rPr>
          <w:rFonts w:ascii="仿宋_GB2312" w:eastAsia="仿宋_GB2312" w:hAnsi="仿宋_GB2312" w:cs="仿宋_GB2312" w:hint="eastAsia"/>
          <w:kern w:val="0"/>
          <w:sz w:val="32"/>
          <w:szCs w:val="32"/>
        </w:rPr>
        <w:t>奖项；《危机航线》《封神》《超能一家人》等列入“2023年重点档期优秀国产影片推介”名录；青岛影视基地拍摄（含出品）的《封神第一部》《流浪地球2》《万里归途》《永安镇故事集》等4部电影共获7项“金鸡奖”。</w:t>
      </w:r>
    </w:p>
    <w:p w:rsidR="009F155D" w:rsidRDefault="00977B39">
      <w:pPr>
        <w:pStyle w:val="2"/>
        <w:ind w:firstLine="640"/>
      </w:pPr>
      <w:r>
        <w:rPr>
          <w:rFonts w:hint="eastAsia"/>
        </w:rPr>
        <w:t>（二）产业规模稳步增长，发展基础持续夯实</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政策实施前后的产业数据对比，青岛规模以上广播、电视、电影和录音制作业保持良好增长态势，企业数量与营收规模实现“双提升”，为影视精品创作筑牢产业根基。2021年，该领域规模以上企业仅38家，营业收入12.8亿元；截至2024年，规模以上企业数量增至65家，较2021年增长69%，营业收入提升至16.1亿元，较2021年增长25.8%。在行业主体扩容方面，2022年青岛市持有广播电视制作经营许可证的企业共559家；2024年，该类持证企业新增158家，总量突破800家，较2022年增加241家，全市各类影视相关机构已达1200余家，产业生态覆盖面持续扩大。内容创作方面，青岛影视产品备案立项成果突出，在全省占比位居前列：2024年备案立项电视剧和网络视听节目共112部，占全省总量的43.2%；其中重点网络微短剧备案立项62部，占全省的50.4%，成为全省网络微短剧创作的核心阵地之一。</w:t>
      </w:r>
    </w:p>
    <w:p w:rsidR="009F155D" w:rsidRDefault="00977B39">
      <w:pPr>
        <w:pStyle w:val="2"/>
        <w:ind w:firstLine="640"/>
      </w:pPr>
      <w:r>
        <w:rPr>
          <w:rFonts w:hint="eastAsia"/>
        </w:rPr>
        <w:lastRenderedPageBreak/>
        <w:t>（三）基地建设取得突破，集聚效应充分释放</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影视基地从2021年仅有5家到2024年的21家，基地建设取得突破，其中</w:t>
      </w:r>
      <w:proofErr w:type="gramStart"/>
      <w:r>
        <w:rPr>
          <w:rFonts w:ascii="仿宋_GB2312" w:eastAsia="仿宋_GB2312" w:hAnsi="仿宋_GB2312" w:cs="仿宋_GB2312" w:hint="eastAsia"/>
          <w:kern w:val="0"/>
          <w:sz w:val="32"/>
          <w:szCs w:val="32"/>
        </w:rPr>
        <w:t>北方微</w:t>
      </w:r>
      <w:proofErr w:type="gramEnd"/>
      <w:r>
        <w:rPr>
          <w:rFonts w:ascii="仿宋_GB2312" w:eastAsia="仿宋_GB2312" w:hAnsi="仿宋_GB2312" w:cs="仿宋_GB2312" w:hint="eastAsia"/>
          <w:kern w:val="0"/>
          <w:sz w:val="32"/>
          <w:szCs w:val="32"/>
        </w:rPr>
        <w:t>短剧影视基地（青岛藏马山）建成运营，青岛网络微短剧基地挂牌启动，支持</w:t>
      </w:r>
      <w:proofErr w:type="gramStart"/>
      <w:r>
        <w:rPr>
          <w:rFonts w:ascii="仿宋_GB2312" w:eastAsia="仿宋_GB2312" w:hAnsi="仿宋_GB2312" w:cs="仿宋_GB2312" w:hint="eastAsia"/>
          <w:kern w:val="0"/>
          <w:sz w:val="32"/>
          <w:szCs w:val="32"/>
        </w:rPr>
        <w:t>城阳流亭</w:t>
      </w:r>
      <w:proofErr w:type="gramEnd"/>
      <w:r>
        <w:rPr>
          <w:rFonts w:ascii="仿宋_GB2312" w:eastAsia="仿宋_GB2312" w:hAnsi="仿宋_GB2312" w:cs="仿宋_GB2312" w:hint="eastAsia"/>
          <w:kern w:val="0"/>
          <w:sz w:val="32"/>
          <w:szCs w:val="32"/>
        </w:rPr>
        <w:t>机场区域、莱西青山湖等立足自身优势，积极打造特色微短剧拍摄基地。东方影都获评全国影视基地突出贡献奖（全国仅2家）、首批省级影视示范拍摄基地，灵山湾影视文化产业</w:t>
      </w:r>
      <w:proofErr w:type="gramStart"/>
      <w:r>
        <w:rPr>
          <w:rFonts w:ascii="仿宋_GB2312" w:eastAsia="仿宋_GB2312" w:hAnsi="仿宋_GB2312" w:cs="仿宋_GB2312" w:hint="eastAsia"/>
          <w:kern w:val="0"/>
          <w:sz w:val="32"/>
          <w:szCs w:val="32"/>
        </w:rPr>
        <w:t>基地获</w:t>
      </w:r>
      <w:proofErr w:type="gramEnd"/>
      <w:r>
        <w:rPr>
          <w:rFonts w:ascii="仿宋_GB2312" w:eastAsia="仿宋_GB2312" w:hAnsi="仿宋_GB2312" w:cs="仿宋_GB2312" w:hint="eastAsia"/>
          <w:kern w:val="0"/>
          <w:sz w:val="32"/>
          <w:szCs w:val="32"/>
        </w:rPr>
        <w:t>批“山东省文化和科技融合示范基地”、海</w:t>
      </w:r>
      <w:proofErr w:type="gramStart"/>
      <w:r>
        <w:rPr>
          <w:rFonts w:ascii="仿宋_GB2312" w:eastAsia="仿宋_GB2312" w:hAnsi="仿宋_GB2312" w:cs="仿宋_GB2312" w:hint="eastAsia"/>
          <w:kern w:val="0"/>
          <w:sz w:val="32"/>
          <w:szCs w:val="32"/>
        </w:rPr>
        <w:t>发产业园区获</w:t>
      </w:r>
      <w:proofErr w:type="gramEnd"/>
      <w:r>
        <w:rPr>
          <w:rFonts w:ascii="仿宋_GB2312" w:eastAsia="仿宋_GB2312" w:hAnsi="仿宋_GB2312" w:cs="仿宋_GB2312" w:hint="eastAsia"/>
          <w:kern w:val="0"/>
          <w:sz w:val="32"/>
          <w:szCs w:val="32"/>
        </w:rPr>
        <w:t>评“山东省首批网络视听产业园区”，《探索中国影视工业化发展之路》文件经验做法入选中宣部宣传思想文化工作案例教材。</w:t>
      </w:r>
    </w:p>
    <w:p w:rsidR="009F155D" w:rsidRDefault="00977B39">
      <w:pPr>
        <w:pStyle w:val="2"/>
        <w:ind w:firstLine="640"/>
        <w:rPr>
          <w:rFonts w:ascii="仿宋_GB2312" w:eastAsia="仿宋_GB2312" w:hAnsi="仿宋_GB2312" w:cs="仿宋_GB2312"/>
          <w:szCs w:val="32"/>
        </w:rPr>
      </w:pPr>
      <w:r>
        <w:rPr>
          <w:rFonts w:hint="eastAsia"/>
        </w:rPr>
        <w:t>（四）青岛影视发展迅猛，促进城市文化</w:t>
      </w:r>
      <w:proofErr w:type="gramStart"/>
      <w:r>
        <w:rPr>
          <w:rFonts w:hint="eastAsia"/>
        </w:rPr>
        <w:t>软实力</w:t>
      </w:r>
      <w:proofErr w:type="gramEnd"/>
      <w:r>
        <w:rPr>
          <w:rFonts w:hint="eastAsia"/>
        </w:rPr>
        <w:t>提升</w:t>
      </w:r>
    </w:p>
    <w:p w:rsidR="009F155D" w:rsidRDefault="00977B39">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青岛影视发展迅猛，为城市带来诸多社会效益。通过政策引导吸引了大量影视剧组前来取景拍摄。《你比星光美丽》《抓娃娃》等众多知名影视作品的诞生，让青岛的城市风貌得以在全球观众面前展示，极大地提升了城市的知名度与美誉度。影视产业的发展也极大地增强了青岛的城市软实力。2022年以来，青岛市先后多次影视盛会，为国内外影视文化交流搭建了重要平台，大大提升了青岛影视产业在国内国际的影响力，促进了城市文化</w:t>
      </w:r>
      <w:proofErr w:type="gramStart"/>
      <w:r>
        <w:rPr>
          <w:rFonts w:ascii="仿宋_GB2312" w:eastAsia="仿宋_GB2312" w:hAnsi="仿宋_GB2312" w:cs="仿宋_GB2312" w:hint="eastAsia"/>
          <w:kern w:val="0"/>
          <w:sz w:val="32"/>
          <w:szCs w:val="32"/>
        </w:rPr>
        <w:t>软实力</w:t>
      </w:r>
      <w:proofErr w:type="gramEnd"/>
      <w:r>
        <w:rPr>
          <w:rFonts w:ascii="仿宋_GB2312" w:eastAsia="仿宋_GB2312" w:hAnsi="仿宋_GB2312" w:cs="仿宋_GB2312" w:hint="eastAsia"/>
          <w:kern w:val="0"/>
          <w:sz w:val="32"/>
          <w:szCs w:val="32"/>
        </w:rPr>
        <w:t>提升。2023年9月，2023年中国网络视听精品创作峰会在青岛成功举办，作为全国网络视听领域的重要盛会，活动期间开展了精品创作论坛、优秀作品展播、项目路演等多项内容，还发布了网络视听精品创作指南，为行业发展指明方向。2025年4月第二十届中国</w:t>
      </w:r>
      <w:r>
        <w:rPr>
          <w:rFonts w:ascii="仿宋_GB2312" w:eastAsia="仿宋_GB2312" w:hAnsi="仿宋_GB2312" w:cs="仿宋_GB2312" w:hint="eastAsia"/>
          <w:kern w:val="0"/>
          <w:sz w:val="32"/>
          <w:szCs w:val="32"/>
        </w:rPr>
        <w:lastRenderedPageBreak/>
        <w:t>电影华表奖颁奖活动在青岛举行，作为中国电影界的顶级盛会，为青岛的“电影之都”名片赋予独特魅力，吸引了全国顶尖的电影人才、优秀作品和行业资源汇聚于此。影视产业对青岛</w:t>
      </w:r>
      <w:proofErr w:type="gramStart"/>
      <w:r>
        <w:rPr>
          <w:rFonts w:ascii="仿宋_GB2312" w:eastAsia="仿宋_GB2312" w:hAnsi="仿宋_GB2312" w:cs="仿宋_GB2312" w:hint="eastAsia"/>
          <w:kern w:val="0"/>
          <w:sz w:val="32"/>
          <w:szCs w:val="32"/>
        </w:rPr>
        <w:t>文旅消费</w:t>
      </w:r>
      <w:proofErr w:type="gramEnd"/>
      <w:r>
        <w:rPr>
          <w:rFonts w:ascii="仿宋_GB2312" w:eastAsia="仿宋_GB2312" w:hAnsi="仿宋_GB2312" w:cs="仿宋_GB2312" w:hint="eastAsia"/>
          <w:kern w:val="0"/>
          <w:sz w:val="32"/>
          <w:szCs w:val="32"/>
        </w:rPr>
        <w:t>起到了强大的提振作用，利用电影《蛟龙行动》拍摄实景片场，打造青岛东方影都国防主题文旅</w:t>
      </w:r>
      <w:proofErr w:type="gramStart"/>
      <w:r>
        <w:rPr>
          <w:rFonts w:ascii="仿宋_GB2312" w:eastAsia="仿宋_GB2312" w:hAnsi="仿宋_GB2312" w:cs="仿宋_GB2312" w:hint="eastAsia"/>
          <w:kern w:val="0"/>
          <w:sz w:val="32"/>
          <w:szCs w:val="32"/>
        </w:rPr>
        <w:t>研</w:t>
      </w:r>
      <w:proofErr w:type="gramEnd"/>
      <w:r>
        <w:rPr>
          <w:rFonts w:ascii="仿宋_GB2312" w:eastAsia="仿宋_GB2312" w:hAnsi="仿宋_GB2312" w:cs="仿宋_GB2312" w:hint="eastAsia"/>
          <w:kern w:val="0"/>
          <w:sz w:val="32"/>
          <w:szCs w:val="32"/>
        </w:rPr>
        <w:t>学基地；推出“跟着电影去旅游”主题线路，串联起前海一线、历史城区、东方影都等影视旅游资源，吸引游客体验影视文化与自然风光，带动当地住宿、餐饮、购物等相关产业消费，赋能影视旅游融合发展。</w:t>
      </w:r>
    </w:p>
    <w:p w:rsidR="009F155D" w:rsidRDefault="00977B39">
      <w:pPr>
        <w:pStyle w:val="1"/>
        <w:spacing w:before="0" w:after="0" w:line="660" w:lineRule="exact"/>
        <w:ind w:firstLineChars="200" w:firstLine="640"/>
        <w:jc w:val="both"/>
        <w:rPr>
          <w:rFonts w:ascii="仿宋_GB2312" w:eastAsia="仿宋_GB2312" w:hAnsi="仿宋_GB2312" w:cs="仿宋_GB2312"/>
          <w:sz w:val="32"/>
          <w:szCs w:val="40"/>
        </w:rPr>
      </w:pPr>
      <w:bookmarkStart w:id="32" w:name="_Toc5936"/>
      <w:bookmarkStart w:id="33" w:name="_Toc667795083"/>
      <w:r>
        <w:rPr>
          <w:rFonts w:ascii="Calibri" w:hAnsi="Calibri" w:cs="Times New Roman" w:hint="eastAsia"/>
          <w:sz w:val="32"/>
          <w:szCs w:val="32"/>
        </w:rPr>
        <w:t>五、发现的问题及原因分析</w:t>
      </w:r>
      <w:bookmarkStart w:id="34" w:name="_Toc882420759"/>
      <w:bookmarkEnd w:id="32"/>
      <w:bookmarkEnd w:id="33"/>
    </w:p>
    <w:p w:rsidR="009F155D" w:rsidRDefault="00977B39">
      <w:pPr>
        <w:pStyle w:val="2"/>
        <w:spacing w:before="0" w:after="0" w:line="560" w:lineRule="exact"/>
        <w:ind w:firstLine="640"/>
        <w:rPr>
          <w:rFonts w:asciiTheme="minorHAnsi" w:hAnsiTheme="minorHAnsi"/>
          <w:kern w:val="2"/>
          <w:sz w:val="21"/>
          <w:szCs w:val="24"/>
        </w:rPr>
      </w:pPr>
      <w:bookmarkStart w:id="35" w:name="_Toc16255"/>
      <w:bookmarkStart w:id="36" w:name="_Toc1826378913"/>
      <w:bookmarkStart w:id="37" w:name="_Toc19098"/>
      <w:bookmarkEnd w:id="34"/>
      <w:r>
        <w:rPr>
          <w:rFonts w:hint="eastAsia"/>
        </w:rPr>
        <w:t>（一）部分政策效果</w:t>
      </w:r>
      <w:bookmarkEnd w:id="35"/>
      <w:bookmarkEnd w:id="36"/>
      <w:r>
        <w:rPr>
          <w:rFonts w:hint="eastAsia"/>
        </w:rPr>
        <w:t>不明显</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国际A类电影节及奥斯卡主要奖项或提名、动画片“上星动漫频道和省级卫视综合频道黄金时段首播”、支持电影发行放映（按发行合同交易金额3%给予奖励，最高500万元）、鼓励青岛影视元素衍生品市场化开发（按衍生品业务收入5%给予奖励，最高100万元）的奖励政策，在政策期内无符合条件项目，政策引导效果不明显。</w:t>
      </w:r>
    </w:p>
    <w:p w:rsidR="009F155D" w:rsidRDefault="00977B39">
      <w:pPr>
        <w:pStyle w:val="2"/>
        <w:ind w:firstLine="640"/>
        <w:rPr>
          <w:rFonts w:ascii="Times New Roman Regular" w:eastAsia="仿宋_GB2312" w:hAnsi="Times New Roman Regular" w:cs="Times New Roman Regular"/>
          <w:color w:val="FF0000"/>
          <w:szCs w:val="40"/>
        </w:rPr>
      </w:pPr>
      <w:r>
        <w:rPr>
          <w:rFonts w:hint="eastAsia"/>
        </w:rPr>
        <w:t>（二）</w:t>
      </w:r>
      <w:bookmarkEnd w:id="37"/>
      <w:r>
        <w:rPr>
          <w:rFonts w:hint="eastAsia"/>
        </w:rPr>
        <w:t>资金测算不够明确，预算执行率较低</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2022-2024年，青岛影视产业补助政策预算总额从7718万元调整至4</w:t>
      </w:r>
      <w:r>
        <w:rPr>
          <w:rFonts w:ascii="仿宋_GB2312" w:eastAsia="仿宋_GB2312" w:hAnsi="仿宋_GB2312" w:cs="仿宋_GB2312"/>
          <w:sz w:val="32"/>
          <w:szCs w:val="40"/>
        </w:rPr>
        <w:t>62</w:t>
      </w:r>
      <w:r>
        <w:rPr>
          <w:rFonts w:ascii="仿宋_GB2312" w:eastAsia="仿宋_GB2312" w:hAnsi="仿宋_GB2312" w:cs="仿宋_GB2312" w:hint="eastAsia"/>
          <w:sz w:val="32"/>
          <w:szCs w:val="40"/>
        </w:rPr>
        <w:t>5万元，实际支出</w:t>
      </w:r>
      <w:r>
        <w:rPr>
          <w:rFonts w:ascii="仿宋_GB2312" w:eastAsia="仿宋_GB2312" w:hAnsi="仿宋_GB2312" w:cs="仿宋_GB2312"/>
          <w:sz w:val="32"/>
          <w:szCs w:val="40"/>
        </w:rPr>
        <w:t>1861.16</w:t>
      </w:r>
      <w:r>
        <w:rPr>
          <w:rFonts w:ascii="仿宋_GB2312" w:eastAsia="仿宋_GB2312" w:hAnsi="仿宋_GB2312" w:cs="仿宋_GB2312" w:hint="eastAsia"/>
          <w:sz w:val="32"/>
          <w:szCs w:val="40"/>
        </w:rPr>
        <w:t>万元，执行率</w:t>
      </w:r>
      <w:r>
        <w:rPr>
          <w:rFonts w:ascii="仿宋_GB2312" w:eastAsia="仿宋_GB2312" w:hAnsi="仿宋_GB2312" w:cs="仿宋_GB2312"/>
          <w:sz w:val="32"/>
          <w:szCs w:val="40"/>
        </w:rPr>
        <w:t>40.24</w:t>
      </w:r>
      <w:r>
        <w:rPr>
          <w:rFonts w:ascii="仿宋_GB2312" w:eastAsia="仿宋_GB2312" w:hAnsi="仿宋_GB2312" w:cs="仿宋_GB2312" w:hint="eastAsia"/>
          <w:sz w:val="32"/>
          <w:szCs w:val="40"/>
        </w:rPr>
        <w:t>%（2022年、2023年执行率分别为39.75%、14.29%）。部门资金测算不够明确，导致财政资金未能合理分配和有效使用，难以充分发挥资金效益。</w:t>
      </w:r>
    </w:p>
    <w:p w:rsidR="009F155D" w:rsidRDefault="00977B39">
      <w:pPr>
        <w:pStyle w:val="2"/>
        <w:ind w:firstLine="640"/>
        <w:rPr>
          <w:rFonts w:ascii="Times New Roman Regular" w:eastAsia="仿宋_GB2312" w:hAnsi="Times New Roman Regular" w:cs="Times New Roman Regular"/>
          <w:szCs w:val="40"/>
        </w:rPr>
      </w:pPr>
      <w:bookmarkStart w:id="38" w:name="_Toc2243"/>
      <w:bookmarkStart w:id="39" w:name="_Toc1966624220"/>
      <w:bookmarkStart w:id="40" w:name="_Toc13702"/>
      <w:bookmarkStart w:id="41" w:name="_Toc1882699335"/>
      <w:bookmarkStart w:id="42" w:name="_Toc974399729"/>
      <w:r>
        <w:rPr>
          <w:rFonts w:hint="eastAsia"/>
        </w:rPr>
        <w:lastRenderedPageBreak/>
        <w:t>（三）绩效目标不够明确，</w:t>
      </w:r>
      <w:bookmarkEnd w:id="38"/>
      <w:r>
        <w:rPr>
          <w:rFonts w:hint="eastAsia"/>
        </w:rPr>
        <w:t>量化不足</w:t>
      </w:r>
    </w:p>
    <w:p w:rsidR="009F155D" w:rsidRDefault="00977B39">
      <w:pPr>
        <w:spacing w:line="560" w:lineRule="exact"/>
        <w:ind w:firstLineChars="200" w:firstLine="640"/>
        <w:rPr>
          <w:rFonts w:ascii="Times New Roman Regular" w:eastAsia="仿宋_GB2312" w:hAnsi="Times New Roman Regular" w:cs="Times New Roman Regular"/>
          <w:sz w:val="32"/>
          <w:szCs w:val="40"/>
        </w:rPr>
      </w:pPr>
      <w:r>
        <w:rPr>
          <w:rFonts w:ascii="Times New Roman Regular" w:eastAsia="仿宋_GB2312" w:hAnsi="Times New Roman Regular" w:cs="Times New Roman Regular"/>
          <w:sz w:val="32"/>
          <w:szCs w:val="40"/>
        </w:rPr>
        <w:t>政策总体目标表述相对笼统，未制定出明确、量化的阶段性效益目标</w:t>
      </w:r>
      <w:r>
        <w:rPr>
          <w:rFonts w:ascii="Times New Roman Regular" w:eastAsia="仿宋_GB2312" w:hAnsi="Times New Roman Regular" w:cs="Times New Roman Regular" w:hint="eastAsia"/>
          <w:sz w:val="32"/>
          <w:szCs w:val="40"/>
        </w:rPr>
        <w:t>及</w:t>
      </w:r>
      <w:r>
        <w:rPr>
          <w:rFonts w:ascii="Times New Roman Regular" w:eastAsia="仿宋_GB2312" w:hAnsi="Times New Roman Regular" w:cs="Times New Roman Regular"/>
          <w:sz w:val="32"/>
          <w:szCs w:val="40"/>
        </w:rPr>
        <w:t>指标值，导致目标导向性与可衡量性</w:t>
      </w:r>
      <w:r>
        <w:rPr>
          <w:rFonts w:ascii="Times New Roman Regular" w:eastAsia="仿宋_GB2312" w:hAnsi="Times New Roman Regular" w:cs="Times New Roman Regular" w:hint="eastAsia"/>
          <w:sz w:val="32"/>
          <w:szCs w:val="40"/>
        </w:rPr>
        <w:t>弱</w:t>
      </w:r>
      <w:r>
        <w:rPr>
          <w:rFonts w:ascii="Times New Roman Regular" w:eastAsia="仿宋_GB2312" w:hAnsi="Times New Roman Regular" w:cs="Times New Roman Regular"/>
          <w:sz w:val="32"/>
          <w:szCs w:val="40"/>
        </w:rPr>
        <w:t>，难以准确判断各阶段工作成效，不利于及时调整策略、保障政策有效推进。</w:t>
      </w:r>
    </w:p>
    <w:p w:rsidR="009F155D" w:rsidRDefault="00977B39">
      <w:pPr>
        <w:pStyle w:val="2"/>
        <w:ind w:firstLine="640"/>
      </w:pPr>
      <w:bookmarkStart w:id="43" w:name="_Toc1132454563"/>
      <w:bookmarkStart w:id="44" w:name="_Toc12737"/>
      <w:bookmarkEnd w:id="39"/>
      <w:bookmarkEnd w:id="40"/>
      <w:r>
        <w:rPr>
          <w:rFonts w:hint="eastAsia"/>
        </w:rPr>
        <w:t>（四）影视</w:t>
      </w:r>
      <w:r>
        <w:t>产业</w:t>
      </w:r>
      <w:r>
        <w:rPr>
          <w:rFonts w:hint="eastAsia"/>
        </w:rPr>
        <w:t>效果带动不够显著，发展仍有提升空间</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1.持续打造“青岛摄制”品牌讲述“青岛故事”影视少</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2022-2024年补助的作品多为科幻、爱情等商业化类型，如《倒数说爱你》为爱情类型，《流浪地球2》为科幻类型等，主线反映青岛当下经济、科技、文化、民生等领域的补助项目较少，反映青岛风土人情、历史文化、历史人物或现当代人物故事薄弱，对提升青岛知名度，促进旅游产业发展带动效果不足。</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w:t>
      </w:r>
      <w:r>
        <w:rPr>
          <w:rFonts w:ascii="仿宋_GB2312" w:eastAsia="仿宋_GB2312" w:hAnsi="仿宋_GB2312" w:cs="仿宋_GB2312"/>
          <w:sz w:val="32"/>
          <w:szCs w:val="40"/>
        </w:rPr>
        <w:t>做</w:t>
      </w:r>
      <w:proofErr w:type="gramStart"/>
      <w:r>
        <w:rPr>
          <w:rFonts w:ascii="仿宋_GB2312" w:eastAsia="仿宋_GB2312" w:hAnsi="仿宋_GB2312" w:cs="仿宋_GB2312"/>
          <w:sz w:val="32"/>
          <w:szCs w:val="40"/>
        </w:rPr>
        <w:t>强做</w:t>
      </w:r>
      <w:proofErr w:type="gramEnd"/>
      <w:r>
        <w:rPr>
          <w:rFonts w:ascii="仿宋_GB2312" w:eastAsia="仿宋_GB2312" w:hAnsi="仿宋_GB2312" w:cs="仿宋_GB2312"/>
          <w:sz w:val="32"/>
          <w:szCs w:val="40"/>
        </w:rPr>
        <w:t>优产业链条</w:t>
      </w:r>
      <w:r>
        <w:rPr>
          <w:rFonts w:ascii="仿宋_GB2312" w:eastAsia="仿宋_GB2312" w:hAnsi="仿宋_GB2312" w:cs="仿宋_GB2312" w:hint="eastAsia"/>
          <w:sz w:val="32"/>
          <w:szCs w:val="40"/>
        </w:rPr>
        <w:t>中</w:t>
      </w:r>
      <w:r>
        <w:rPr>
          <w:rFonts w:ascii="仿宋_GB2312" w:eastAsia="仿宋_GB2312" w:hAnsi="仿宋_GB2312" w:cs="仿宋_GB2312"/>
          <w:sz w:val="32"/>
          <w:szCs w:val="40"/>
        </w:rPr>
        <w:t>衍生品</w:t>
      </w:r>
      <w:r>
        <w:rPr>
          <w:rFonts w:ascii="仿宋_GB2312" w:eastAsia="仿宋_GB2312" w:hAnsi="仿宋_GB2312" w:cs="仿宋_GB2312" w:hint="eastAsia"/>
          <w:sz w:val="32"/>
          <w:szCs w:val="40"/>
        </w:rPr>
        <w:t>开发不足</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一是</w:t>
      </w:r>
      <w:proofErr w:type="gramStart"/>
      <w:r>
        <w:rPr>
          <w:rFonts w:ascii="仿宋_GB2312" w:eastAsia="仿宋_GB2312" w:hAnsi="仿宋_GB2312" w:cs="仿宋_GB2312" w:hint="eastAsia"/>
          <w:sz w:val="32"/>
          <w:szCs w:val="40"/>
        </w:rPr>
        <w:t>影视</w:t>
      </w:r>
      <w:r>
        <w:rPr>
          <w:rFonts w:ascii="仿宋_GB2312" w:eastAsia="仿宋_GB2312" w:hAnsi="仿宋_GB2312" w:cs="仿宋_GB2312"/>
          <w:sz w:val="32"/>
          <w:szCs w:val="40"/>
        </w:rPr>
        <w:t>文旅融合</w:t>
      </w:r>
      <w:proofErr w:type="gramEnd"/>
      <w:r>
        <w:rPr>
          <w:rFonts w:ascii="仿宋_GB2312" w:eastAsia="仿宋_GB2312" w:hAnsi="仿宋_GB2312" w:cs="仿宋_GB2312"/>
          <w:sz w:val="32"/>
          <w:szCs w:val="40"/>
        </w:rPr>
        <w:t>深度不足</w:t>
      </w:r>
      <w:r>
        <w:rPr>
          <w:rFonts w:ascii="仿宋_GB2312" w:eastAsia="仿宋_GB2312" w:hAnsi="仿宋_GB2312" w:cs="仿宋_GB2312" w:hint="eastAsia"/>
          <w:sz w:val="32"/>
          <w:szCs w:val="40"/>
        </w:rPr>
        <w:t>。</w:t>
      </w:r>
      <w:r>
        <w:rPr>
          <w:rFonts w:ascii="仿宋_GB2312" w:eastAsia="仿宋_GB2312" w:hAnsi="仿宋_GB2312" w:cs="仿宋_GB2312"/>
          <w:sz w:val="32"/>
          <w:szCs w:val="40"/>
        </w:rPr>
        <w:t>青岛虽依托东方影都等资源推出了“电影之旅”线路，但</w:t>
      </w:r>
      <w:r>
        <w:rPr>
          <w:rFonts w:ascii="仿宋_GB2312" w:eastAsia="仿宋_GB2312" w:hAnsi="仿宋_GB2312" w:cs="仿宋_GB2312" w:hint="eastAsia"/>
          <w:sz w:val="32"/>
          <w:szCs w:val="40"/>
        </w:rPr>
        <w:t>影视</w:t>
      </w:r>
      <w:proofErr w:type="gramStart"/>
      <w:r>
        <w:rPr>
          <w:rFonts w:ascii="仿宋_GB2312" w:eastAsia="仿宋_GB2312" w:hAnsi="仿宋_GB2312" w:cs="仿宋_GB2312"/>
          <w:sz w:val="32"/>
          <w:szCs w:val="40"/>
        </w:rPr>
        <w:t>与文旅的</w:t>
      </w:r>
      <w:proofErr w:type="gramEnd"/>
      <w:r>
        <w:rPr>
          <w:rFonts w:ascii="仿宋_GB2312" w:eastAsia="仿宋_GB2312" w:hAnsi="仿宋_GB2312" w:cs="仿宋_GB2312"/>
          <w:sz w:val="32"/>
          <w:szCs w:val="40"/>
        </w:rPr>
        <w:t>融合仍停留在浅层次。影视拍摄场景的旅游开发多以静态参观为主，</w:t>
      </w:r>
      <w:r>
        <w:rPr>
          <w:rFonts w:ascii="仿宋_GB2312" w:eastAsia="仿宋_GB2312" w:hAnsi="仿宋_GB2312" w:cs="仿宋_GB2312" w:hint="eastAsia"/>
          <w:sz w:val="32"/>
          <w:szCs w:val="40"/>
        </w:rPr>
        <w:t>缺少</w:t>
      </w:r>
      <w:r>
        <w:rPr>
          <w:rFonts w:ascii="仿宋_GB2312" w:eastAsia="仿宋_GB2312" w:hAnsi="仿宋_GB2312" w:cs="仿宋_GB2312"/>
          <w:sz w:val="32"/>
          <w:szCs w:val="40"/>
        </w:rPr>
        <w:t>如横店影视</w:t>
      </w:r>
      <w:proofErr w:type="gramStart"/>
      <w:r>
        <w:rPr>
          <w:rFonts w:ascii="仿宋_GB2312" w:eastAsia="仿宋_GB2312" w:hAnsi="仿宋_GB2312" w:cs="仿宋_GB2312"/>
          <w:sz w:val="32"/>
          <w:szCs w:val="40"/>
        </w:rPr>
        <w:t>城</w:t>
      </w:r>
      <w:r>
        <w:rPr>
          <w:rFonts w:ascii="仿宋_GB2312" w:eastAsia="仿宋_GB2312" w:hAnsi="仿宋_GB2312" w:cs="仿宋_GB2312" w:hint="eastAsia"/>
          <w:sz w:val="32"/>
          <w:szCs w:val="40"/>
        </w:rPr>
        <w:t>相关</w:t>
      </w:r>
      <w:proofErr w:type="gramEnd"/>
      <w:r>
        <w:rPr>
          <w:rFonts w:ascii="仿宋_GB2312" w:eastAsia="仿宋_GB2312" w:hAnsi="仿宋_GB2312" w:cs="仿宋_GB2312" w:hint="eastAsia"/>
          <w:sz w:val="32"/>
          <w:szCs w:val="40"/>
        </w:rPr>
        <w:t>的</w:t>
      </w:r>
      <w:r>
        <w:rPr>
          <w:rFonts w:ascii="仿宋_GB2312" w:eastAsia="仿宋_GB2312" w:hAnsi="仿宋_GB2312" w:cs="仿宋_GB2312"/>
          <w:sz w:val="32"/>
          <w:szCs w:val="40"/>
        </w:rPr>
        <w:t>体验项目。影视IP与</w:t>
      </w:r>
      <w:proofErr w:type="gramStart"/>
      <w:r>
        <w:rPr>
          <w:rFonts w:ascii="仿宋_GB2312" w:eastAsia="仿宋_GB2312" w:hAnsi="仿宋_GB2312" w:cs="仿宋_GB2312"/>
          <w:sz w:val="32"/>
          <w:szCs w:val="40"/>
        </w:rPr>
        <w:t>文旅资源</w:t>
      </w:r>
      <w:proofErr w:type="gramEnd"/>
      <w:r>
        <w:rPr>
          <w:rFonts w:ascii="仿宋_GB2312" w:eastAsia="仿宋_GB2312" w:hAnsi="仿宋_GB2312" w:cs="仿宋_GB2312"/>
          <w:sz w:val="32"/>
          <w:szCs w:val="40"/>
        </w:rPr>
        <w:t>的结合不够紧密，未能将《流浪地球》《封神》等热门IP转化为具有持续吸引力</w:t>
      </w:r>
      <w:proofErr w:type="gramStart"/>
      <w:r>
        <w:rPr>
          <w:rFonts w:ascii="仿宋_GB2312" w:eastAsia="仿宋_GB2312" w:hAnsi="仿宋_GB2312" w:cs="仿宋_GB2312"/>
          <w:sz w:val="32"/>
          <w:szCs w:val="40"/>
        </w:rPr>
        <w:t>的文旅产品</w:t>
      </w:r>
      <w:proofErr w:type="gramEnd"/>
      <w:r>
        <w:rPr>
          <w:rFonts w:ascii="仿宋_GB2312" w:eastAsia="仿宋_GB2312" w:hAnsi="仿宋_GB2312" w:cs="仿宋_GB2312"/>
          <w:sz w:val="32"/>
          <w:szCs w:val="40"/>
        </w:rPr>
        <w:t>。</w:t>
      </w:r>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二是影视</w:t>
      </w:r>
      <w:r>
        <w:rPr>
          <w:rFonts w:ascii="仿宋_GB2312" w:eastAsia="仿宋_GB2312" w:hAnsi="仿宋_GB2312" w:cs="仿宋_GB2312"/>
          <w:sz w:val="32"/>
          <w:szCs w:val="40"/>
        </w:rPr>
        <w:t>衍生品开发产业链不完善</w:t>
      </w:r>
      <w:r>
        <w:rPr>
          <w:rFonts w:ascii="仿宋_GB2312" w:eastAsia="仿宋_GB2312" w:hAnsi="仿宋_GB2312" w:cs="仿宋_GB2312" w:hint="eastAsia"/>
          <w:sz w:val="32"/>
          <w:szCs w:val="40"/>
        </w:rPr>
        <w:t>。</w:t>
      </w:r>
      <w:r>
        <w:rPr>
          <w:rFonts w:ascii="仿宋_GB2312" w:eastAsia="仿宋_GB2312" w:hAnsi="仿宋_GB2312" w:cs="仿宋_GB2312"/>
          <w:sz w:val="32"/>
          <w:szCs w:val="40"/>
        </w:rPr>
        <w:t>青岛</w:t>
      </w:r>
      <w:r>
        <w:rPr>
          <w:rFonts w:ascii="仿宋_GB2312" w:eastAsia="仿宋_GB2312" w:hAnsi="仿宋_GB2312" w:cs="仿宋_GB2312" w:hint="eastAsia"/>
          <w:sz w:val="32"/>
          <w:szCs w:val="40"/>
        </w:rPr>
        <w:t>影视</w:t>
      </w:r>
      <w:r>
        <w:rPr>
          <w:rFonts w:ascii="仿宋_GB2312" w:eastAsia="仿宋_GB2312" w:hAnsi="仿宋_GB2312" w:cs="仿宋_GB2312"/>
          <w:sz w:val="32"/>
          <w:szCs w:val="40"/>
        </w:rPr>
        <w:t>衍生品</w:t>
      </w:r>
      <w:proofErr w:type="gramStart"/>
      <w:r>
        <w:rPr>
          <w:rFonts w:ascii="仿宋_GB2312" w:eastAsia="仿宋_GB2312" w:hAnsi="仿宋_GB2312" w:cs="仿宋_GB2312"/>
          <w:sz w:val="32"/>
          <w:szCs w:val="40"/>
        </w:rPr>
        <w:t>开发仍</w:t>
      </w:r>
      <w:proofErr w:type="gramEnd"/>
      <w:r>
        <w:rPr>
          <w:rFonts w:ascii="仿宋_GB2312" w:eastAsia="仿宋_GB2312" w:hAnsi="仿宋_GB2312" w:cs="仿宋_GB2312"/>
          <w:sz w:val="32"/>
          <w:szCs w:val="40"/>
        </w:rPr>
        <w:t>处于起步阶段，产品类型集中在玩具、文具等低端品类，衍生品开发与</w:t>
      </w:r>
      <w:proofErr w:type="gramStart"/>
      <w:r>
        <w:rPr>
          <w:rFonts w:ascii="仿宋_GB2312" w:eastAsia="仿宋_GB2312" w:hAnsi="仿宋_GB2312" w:cs="仿宋_GB2312"/>
          <w:sz w:val="32"/>
          <w:szCs w:val="40"/>
        </w:rPr>
        <w:t>影视项目</w:t>
      </w:r>
      <w:proofErr w:type="gramEnd"/>
      <w:r>
        <w:rPr>
          <w:rFonts w:ascii="仿宋_GB2312" w:eastAsia="仿宋_GB2312" w:hAnsi="仿宋_GB2312" w:cs="仿宋_GB2312"/>
          <w:sz w:val="32"/>
          <w:szCs w:val="40"/>
        </w:rPr>
        <w:t>的联动性不足，未能形成“内容+衍生品”的协同开发模式</w:t>
      </w:r>
      <w:r>
        <w:rPr>
          <w:rFonts w:ascii="仿宋_GB2312" w:eastAsia="仿宋_GB2312" w:hAnsi="仿宋_GB2312" w:cs="仿宋_GB2312" w:hint="eastAsia"/>
          <w:sz w:val="32"/>
          <w:szCs w:val="40"/>
        </w:rPr>
        <w:t>。</w:t>
      </w:r>
      <w:r>
        <w:rPr>
          <w:rFonts w:ascii="仿宋_GB2312" w:eastAsia="仿宋_GB2312" w:hAnsi="仿宋_GB2312" w:cs="仿宋_GB2312"/>
          <w:sz w:val="32"/>
          <w:szCs w:val="40"/>
        </w:rPr>
        <w:t>此外，衍生品的销售渠道狭窄，主</w:t>
      </w:r>
      <w:r>
        <w:rPr>
          <w:rFonts w:ascii="仿宋_GB2312" w:eastAsia="仿宋_GB2312" w:hAnsi="仿宋_GB2312" w:cs="仿宋_GB2312"/>
          <w:sz w:val="32"/>
          <w:szCs w:val="40"/>
        </w:rPr>
        <w:lastRenderedPageBreak/>
        <w:t>要依赖影院线下销售和少数电商平台，缺乏专业的衍生品销售平台和品牌运营能力。</w:t>
      </w:r>
    </w:p>
    <w:p w:rsidR="009F155D" w:rsidRDefault="00977B39">
      <w:pPr>
        <w:pStyle w:val="1"/>
        <w:spacing w:before="0" w:after="0" w:line="660" w:lineRule="exact"/>
        <w:ind w:firstLineChars="200" w:firstLine="640"/>
        <w:jc w:val="both"/>
        <w:rPr>
          <w:rFonts w:ascii="Calibri" w:hAnsi="Calibri" w:cs="Times New Roman"/>
          <w:sz w:val="32"/>
          <w:szCs w:val="32"/>
        </w:rPr>
      </w:pPr>
      <w:r>
        <w:rPr>
          <w:rFonts w:ascii="Calibri" w:hAnsi="Calibri" w:cs="Times New Roman" w:hint="eastAsia"/>
          <w:sz w:val="32"/>
          <w:szCs w:val="32"/>
        </w:rPr>
        <w:t>六、相关建议</w:t>
      </w:r>
      <w:bookmarkEnd w:id="43"/>
      <w:bookmarkEnd w:id="44"/>
    </w:p>
    <w:p w:rsidR="009F155D" w:rsidRDefault="00977B39">
      <w:pPr>
        <w:pStyle w:val="2"/>
        <w:ind w:firstLine="640"/>
        <w:rPr>
          <w:color w:val="FF0000"/>
        </w:rPr>
      </w:pPr>
      <w:bookmarkStart w:id="45" w:name="_Toc24578"/>
      <w:bookmarkStart w:id="46" w:name="_Toc19403"/>
      <w:r>
        <w:rPr>
          <w:rFonts w:hint="eastAsia"/>
        </w:rPr>
        <w:t>（一）结合青岛实际，优化政策内容</w:t>
      </w:r>
      <w:bookmarkEnd w:id="45"/>
    </w:p>
    <w:p w:rsidR="009F155D" w:rsidRDefault="00977B39">
      <w:pPr>
        <w:spacing w:line="560" w:lineRule="exact"/>
        <w:ind w:firstLineChars="200" w:firstLine="640"/>
        <w:rPr>
          <w:rFonts w:ascii="Times New Roman Regular" w:eastAsia="仿宋_GB2312" w:hAnsi="Times New Roman Regular" w:cs="Times New Roman Regular"/>
          <w:sz w:val="32"/>
          <w:szCs w:val="40"/>
        </w:rPr>
      </w:pPr>
      <w:r>
        <w:rPr>
          <w:rFonts w:ascii="Times New Roman Regular" w:eastAsia="仿宋_GB2312" w:hAnsi="Times New Roman Regular" w:cs="Times New Roman Regular" w:hint="eastAsia"/>
          <w:sz w:val="32"/>
          <w:szCs w:val="40"/>
        </w:rPr>
        <w:t>结合青岛实际，选取电影、微短剧等重点赛道集中发力，优化提升电影、微短剧政策内容。瞄准产业链条上的关键环节，结合青岛发展实际，精准研究产业政策内容，提升政策的执行效果。</w:t>
      </w:r>
    </w:p>
    <w:p w:rsidR="009F155D" w:rsidRDefault="00977B39">
      <w:pPr>
        <w:pStyle w:val="2"/>
        <w:ind w:firstLine="640"/>
      </w:pPr>
      <w:r>
        <w:rPr>
          <w:rFonts w:hint="eastAsia"/>
        </w:rPr>
        <w:t>（二）优化预算编制与执行管理，提升执行科学性</w:t>
      </w:r>
      <w:bookmarkEnd w:id="46"/>
    </w:p>
    <w:p w:rsidR="009F155D" w:rsidRDefault="00977B39">
      <w:pPr>
        <w:spacing w:line="560" w:lineRule="exact"/>
        <w:ind w:firstLineChars="200" w:firstLine="640"/>
        <w:rPr>
          <w:rFonts w:ascii="Times New Roman Regular" w:eastAsia="仿宋_GB2312" w:hAnsi="Times New Roman Regular" w:cs="Times New Roman Regular"/>
          <w:sz w:val="32"/>
          <w:szCs w:val="40"/>
        </w:rPr>
      </w:pPr>
      <w:r>
        <w:rPr>
          <w:rFonts w:ascii="Times New Roman Regular" w:eastAsia="仿宋_GB2312" w:hAnsi="Times New Roman Regular" w:cs="Times New Roman Regular" w:hint="eastAsia"/>
          <w:sz w:val="32"/>
          <w:szCs w:val="40"/>
        </w:rPr>
        <w:t>根据政策目标、产业发展规划及市场需求，科学测算并明确政策实施周期内所需投入的资金总量，同时结合项目实际情况科学合理测算年度所需资金预算，提升预算编制的精准性与科学性。</w:t>
      </w:r>
    </w:p>
    <w:p w:rsidR="009F155D" w:rsidRDefault="00977B39">
      <w:pPr>
        <w:spacing w:line="560" w:lineRule="exact"/>
        <w:ind w:firstLineChars="200" w:firstLine="640"/>
        <w:rPr>
          <w:rFonts w:ascii="Times New Roman Regular" w:eastAsia="仿宋_GB2312" w:hAnsi="Times New Roman Regular" w:cs="Times New Roman Regular"/>
          <w:sz w:val="32"/>
          <w:szCs w:val="40"/>
        </w:rPr>
      </w:pPr>
      <w:r>
        <w:rPr>
          <w:rFonts w:ascii="Times New Roman Regular" w:eastAsia="仿宋_GB2312" w:hAnsi="Times New Roman Regular" w:cs="Times New Roman Regular" w:hint="eastAsia"/>
          <w:sz w:val="32"/>
          <w:szCs w:val="40"/>
        </w:rPr>
        <w:t>定期跟踪项目进展与资金使用情况，通过中期评价、项目验收以及年底绩效自评对项目实施情况进行全面监督管理。</w:t>
      </w:r>
    </w:p>
    <w:p w:rsidR="009F155D" w:rsidRDefault="00977B39">
      <w:pPr>
        <w:pStyle w:val="2"/>
        <w:ind w:firstLine="640"/>
      </w:pPr>
      <w:bookmarkStart w:id="47" w:name="_Toc6386"/>
      <w:bookmarkStart w:id="48" w:name="_Toc28441"/>
      <w:r>
        <w:rPr>
          <w:rFonts w:hint="eastAsia"/>
        </w:rPr>
        <w:t>（三）</w:t>
      </w:r>
      <w:bookmarkEnd w:id="47"/>
      <w:r>
        <w:rPr>
          <w:rFonts w:hint="eastAsia"/>
        </w:rPr>
        <w:t>科学设置政策绩效目标</w:t>
      </w:r>
    </w:p>
    <w:p w:rsidR="009F155D" w:rsidRDefault="00977B39">
      <w:pPr>
        <w:spacing w:line="560" w:lineRule="exact"/>
        <w:ind w:firstLineChars="200" w:firstLine="640"/>
        <w:rPr>
          <w:rFonts w:ascii="Times New Roman Regular" w:eastAsia="仿宋_GB2312" w:hAnsi="Times New Roman Regular" w:cs="Times New Roman Regular"/>
          <w:sz w:val="32"/>
          <w:szCs w:val="40"/>
        </w:rPr>
      </w:pPr>
      <w:r>
        <w:rPr>
          <w:rFonts w:ascii="Times New Roman Regular" w:eastAsia="仿宋_GB2312" w:hAnsi="Times New Roman Regular" w:cs="Times New Roman Regular" w:hint="eastAsia"/>
          <w:sz w:val="32"/>
          <w:szCs w:val="40"/>
        </w:rPr>
        <w:t>将政策总体目标细化为可量化、可考核的阶段性效益目标。如设置影视产业产值增长目标、市场份额提升目标、优质项目产出数量目标等，并明确各阶段完成时限，增强目标导向性与可衡量性，便于在政策实施过程中进行精准监测与考核。</w:t>
      </w:r>
    </w:p>
    <w:p w:rsidR="009F155D" w:rsidRDefault="00977B39">
      <w:pPr>
        <w:pStyle w:val="2"/>
        <w:ind w:firstLine="640"/>
      </w:pPr>
      <w:r>
        <w:rPr>
          <w:rFonts w:hint="eastAsia"/>
        </w:rPr>
        <w:lastRenderedPageBreak/>
        <w:t>（四）增强影视产业带动作用，提升发展成效</w:t>
      </w:r>
      <w:bookmarkEnd w:id="48"/>
    </w:p>
    <w:p w:rsidR="009F155D" w:rsidRDefault="00977B39">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支持影视衍生品及IP开发，深入推进影视</w:t>
      </w:r>
      <w:proofErr w:type="gramStart"/>
      <w:r>
        <w:rPr>
          <w:rFonts w:ascii="仿宋_GB2312" w:eastAsia="仿宋_GB2312" w:hAnsi="仿宋_GB2312" w:cs="仿宋_GB2312" w:hint="eastAsia"/>
          <w:sz w:val="32"/>
          <w:szCs w:val="40"/>
        </w:rPr>
        <w:t>与文旅深度</w:t>
      </w:r>
      <w:proofErr w:type="gramEnd"/>
      <w:r>
        <w:rPr>
          <w:rFonts w:ascii="仿宋_GB2312" w:eastAsia="仿宋_GB2312" w:hAnsi="仿宋_GB2312" w:cs="仿宋_GB2312" w:hint="eastAsia"/>
          <w:sz w:val="32"/>
          <w:szCs w:val="40"/>
        </w:rPr>
        <w:t>融合，例如打造“沉浸式影视体验区”，将《流浪地球》太空舱、《封神》西</w:t>
      </w:r>
      <w:proofErr w:type="gramStart"/>
      <w:r>
        <w:rPr>
          <w:rFonts w:ascii="仿宋_GB2312" w:eastAsia="仿宋_GB2312" w:hAnsi="仿宋_GB2312" w:cs="仿宋_GB2312" w:hint="eastAsia"/>
          <w:sz w:val="32"/>
          <w:szCs w:val="40"/>
        </w:rPr>
        <w:t>岐</w:t>
      </w:r>
      <w:proofErr w:type="gramEnd"/>
      <w:r>
        <w:rPr>
          <w:rFonts w:ascii="仿宋_GB2312" w:eastAsia="仿宋_GB2312" w:hAnsi="仿宋_GB2312" w:cs="仿宋_GB2312" w:hint="eastAsia"/>
          <w:sz w:val="32"/>
          <w:szCs w:val="40"/>
        </w:rPr>
        <w:t>城等场景改造为互动体验馆，游客可参与“太空救援”“封神大战”等沉浸式项目；打造“跟着电影游青岛”品牌，开发影视主题旅游线路，将东方影都、藏马山影视城等打造成旅游目的地，推动影视与旅游深度融合。可借鉴扬州“运河十里”</w:t>
      </w:r>
      <w:proofErr w:type="gramStart"/>
      <w:r>
        <w:rPr>
          <w:rFonts w:ascii="仿宋_GB2312" w:eastAsia="仿宋_GB2312" w:hAnsi="仿宋_GB2312" w:cs="仿宋_GB2312" w:hint="eastAsia"/>
          <w:sz w:val="32"/>
          <w:szCs w:val="40"/>
        </w:rPr>
        <w:t>爱奇艺</w:t>
      </w:r>
      <w:proofErr w:type="gramEnd"/>
      <w:r>
        <w:rPr>
          <w:rFonts w:ascii="仿宋_GB2312" w:eastAsia="仿宋_GB2312" w:hAnsi="仿宋_GB2312" w:cs="仿宋_GB2312" w:hint="eastAsia"/>
          <w:sz w:val="32"/>
          <w:szCs w:val="40"/>
        </w:rPr>
        <w:t>乐园的经验，打造具有青岛特色的</w:t>
      </w:r>
      <w:proofErr w:type="gramStart"/>
      <w:r>
        <w:rPr>
          <w:rFonts w:ascii="仿宋_GB2312" w:eastAsia="仿宋_GB2312" w:hAnsi="仿宋_GB2312" w:cs="仿宋_GB2312" w:hint="eastAsia"/>
          <w:sz w:val="32"/>
          <w:szCs w:val="40"/>
        </w:rPr>
        <w:t>影视文旅项目</w:t>
      </w:r>
      <w:proofErr w:type="gramEnd"/>
      <w:r>
        <w:rPr>
          <w:rFonts w:ascii="仿宋_GB2312" w:eastAsia="仿宋_GB2312" w:hAnsi="仿宋_GB2312" w:cs="仿宋_GB2312" w:hint="eastAsia"/>
          <w:sz w:val="32"/>
          <w:szCs w:val="40"/>
        </w:rPr>
        <w:t>。更好将影视流量转化为发展增量和城市能量。</w:t>
      </w:r>
      <w:bookmarkStart w:id="49" w:name="_GoBack"/>
      <w:bookmarkEnd w:id="41"/>
      <w:bookmarkEnd w:id="42"/>
      <w:bookmarkEnd w:id="49"/>
    </w:p>
    <w:sectPr w:rsidR="009F155D" w:rsidSect="00932E2D">
      <w:type w:val="continuous"/>
      <w:pgSz w:w="11906" w:h="16838"/>
      <w:pgMar w:top="1440" w:right="1800" w:bottom="1440" w:left="1800" w:header="851" w:footer="1361"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7DE" w:rsidRDefault="00E327DE">
      <w:r>
        <w:separator/>
      </w:r>
    </w:p>
  </w:endnote>
  <w:endnote w:type="continuationSeparator" w:id="0">
    <w:p w:rsidR="00E327DE" w:rsidRDefault="00E3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Times New Roman Regular">
    <w:altName w:val="Times New Roman"/>
    <w:charset w:val="00"/>
    <w:family w:val="auto"/>
    <w:pitch w:val="default"/>
    <w:sig w:usb0="00000000" w:usb1="00007843" w:usb2="00000001" w:usb3="00000000" w:csb0="400001BF" w:csb1="DFF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5D" w:rsidRDefault="00977B39">
    <w:pPr>
      <w:pStyle w:val="a7"/>
      <w:jc w:val="center"/>
      <w:rPr>
        <w:sz w:val="22"/>
        <w:szCs w:val="36"/>
      </w:rPr>
    </w:pPr>
    <w:r>
      <w:rPr>
        <w:noProof/>
      </w:rPr>
      <mc:AlternateContent>
        <mc:Choice Requires="wps">
          <w:drawing>
            <wp:anchor distT="0" distB="0" distL="114300" distR="114300" simplePos="0" relativeHeight="251660288" behindDoc="0" locked="0" layoutInCell="1" allowOverlap="1">
              <wp:simplePos x="0" y="0"/>
              <wp:positionH relativeFrom="margin">
                <wp:posOffset>2511425</wp:posOffset>
              </wp:positionH>
              <wp:positionV relativeFrom="paragraph">
                <wp:posOffset>0</wp:posOffset>
              </wp:positionV>
              <wp:extent cx="374015" cy="1930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74015" cy="193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F155D" w:rsidRDefault="00977B39">
                          <w:pPr>
                            <w:pStyle w:val="a7"/>
                            <w:jc w:val="both"/>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sidR="00932E2D">
                            <w:rPr>
                              <w:rFonts w:ascii="宋体" w:eastAsia="宋体" w:hAnsi="宋体" w:cs="宋体"/>
                              <w:noProof/>
                              <w:sz w:val="24"/>
                            </w:rPr>
                            <w:t>22</w:t>
                          </w:r>
                          <w:r>
                            <w:rPr>
                              <w:rFonts w:ascii="宋体" w:eastAsia="宋体" w:hAnsi="宋体" w:cs="宋体" w:hint="eastAsia"/>
                              <w:sz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97.75pt;margin-top:0;width:29.45pt;height:15.2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" filled="f" stroked="f" strokeweight=".5pt">
              <v:textbox inset="0,0,0,0">
                <w:txbxContent>
                  <w:p w:rsidR="009F155D" w:rsidRDefault="00977B39">
                    <w:pPr>
                      <w:pStyle w:val="a7"/>
                      <w:jc w:val="both"/>
                      <w:rPr>
                        <w:rFonts w:ascii="宋体" w:eastAsia="宋体" w:hAnsi="宋体" w:cs="宋体"/>
                        <w:sz w:val="24"/>
                      </w:rPr>
                    </w:pPr>
                    <w:r>
                      <w:rPr>
                        <w:rFonts w:ascii="宋体" w:eastAsia="宋体" w:hAnsi="宋体" w:cs="宋体" w:hint="eastAsia"/>
                        <w:sz w:val="24"/>
                      </w:rPr>
                      <w:fldChar w:fldCharType="begin"/>
                    </w:r>
                    <w:r>
                      <w:rPr>
                        <w:rFonts w:ascii="宋体" w:eastAsia="宋体" w:hAnsi="宋体" w:cs="宋体" w:hint="eastAsia"/>
                        <w:sz w:val="24"/>
                      </w:rPr>
                      <w:instrText xml:space="preserve"> PAGE  \* MERGEFORMAT </w:instrText>
                    </w:r>
                    <w:r>
                      <w:rPr>
                        <w:rFonts w:ascii="宋体" w:eastAsia="宋体" w:hAnsi="宋体" w:cs="宋体" w:hint="eastAsia"/>
                        <w:sz w:val="24"/>
                      </w:rPr>
                      <w:fldChar w:fldCharType="separate"/>
                    </w:r>
                    <w:r w:rsidR="00932E2D">
                      <w:rPr>
                        <w:rFonts w:ascii="宋体" w:eastAsia="宋体" w:hAnsi="宋体" w:cs="宋体"/>
                        <w:noProof/>
                        <w:sz w:val="24"/>
                      </w:rPr>
                      <w:t>22</w:t>
                    </w:r>
                    <w:r>
                      <w:rPr>
                        <w:rFonts w:ascii="宋体" w:eastAsia="宋体" w:hAnsi="宋体" w:cs="宋体"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7DE" w:rsidRDefault="00E327DE">
      <w:r>
        <w:separator/>
      </w:r>
    </w:p>
  </w:footnote>
  <w:footnote w:type="continuationSeparator" w:id="0">
    <w:p w:rsidR="00E327DE" w:rsidRDefault="00E32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72E"/>
    <w:rsid w:val="B6DFFFE7"/>
    <w:rsid w:val="B9CF5330"/>
    <w:rsid w:val="BA0FE21C"/>
    <w:rsid w:val="BDD67C97"/>
    <w:rsid w:val="BDE15E43"/>
    <w:rsid w:val="BDFFE7B3"/>
    <w:rsid w:val="BED855C4"/>
    <w:rsid w:val="BF1779CD"/>
    <w:rsid w:val="BF93BC5D"/>
    <w:rsid w:val="C3F139CD"/>
    <w:rsid w:val="C4FA237C"/>
    <w:rsid w:val="CBFF1A59"/>
    <w:rsid w:val="CFFE3C95"/>
    <w:rsid w:val="D37FCBC3"/>
    <w:rsid w:val="D67A76F9"/>
    <w:rsid w:val="D7B39CB2"/>
    <w:rsid w:val="D8DA13D4"/>
    <w:rsid w:val="DAF7940B"/>
    <w:rsid w:val="DB6F5E14"/>
    <w:rsid w:val="DBED3319"/>
    <w:rsid w:val="DDAF128F"/>
    <w:rsid w:val="DECD1764"/>
    <w:rsid w:val="DECF901A"/>
    <w:rsid w:val="DF4E3CA2"/>
    <w:rsid w:val="DFBA8627"/>
    <w:rsid w:val="DFEF5582"/>
    <w:rsid w:val="E3E5A47F"/>
    <w:rsid w:val="E767098B"/>
    <w:rsid w:val="E77F0321"/>
    <w:rsid w:val="E8FFAAC3"/>
    <w:rsid w:val="ECB341AD"/>
    <w:rsid w:val="ECBFF386"/>
    <w:rsid w:val="ECF3067B"/>
    <w:rsid w:val="EEFF46A8"/>
    <w:rsid w:val="EF3D73BA"/>
    <w:rsid w:val="EF7EA21C"/>
    <w:rsid w:val="EF7F9AE0"/>
    <w:rsid w:val="EFB15E8D"/>
    <w:rsid w:val="EFBF67AD"/>
    <w:rsid w:val="EFFEF141"/>
    <w:rsid w:val="F1B38FD5"/>
    <w:rsid w:val="F34F2529"/>
    <w:rsid w:val="F3EFBCF6"/>
    <w:rsid w:val="F7BFA30D"/>
    <w:rsid w:val="F7DA3CD8"/>
    <w:rsid w:val="F7DCC1F1"/>
    <w:rsid w:val="F7FEFF8D"/>
    <w:rsid w:val="FAFF7853"/>
    <w:rsid w:val="FB3BB684"/>
    <w:rsid w:val="FB6A1606"/>
    <w:rsid w:val="FBCB1465"/>
    <w:rsid w:val="FCBE751D"/>
    <w:rsid w:val="FDEFFE2C"/>
    <w:rsid w:val="FE6F49C0"/>
    <w:rsid w:val="FE7776F0"/>
    <w:rsid w:val="FEA7E8C1"/>
    <w:rsid w:val="FEB99198"/>
    <w:rsid w:val="FEDEBFFB"/>
    <w:rsid w:val="FEFF9896"/>
    <w:rsid w:val="FF77AAA3"/>
    <w:rsid w:val="FF7D999B"/>
    <w:rsid w:val="FF7FFE43"/>
    <w:rsid w:val="FFCEF905"/>
    <w:rsid w:val="FFED08B9"/>
    <w:rsid w:val="FFFD7355"/>
    <w:rsid w:val="FFFF3B3B"/>
    <w:rsid w:val="FFFFA9C4"/>
    <w:rsid w:val="00103FB9"/>
    <w:rsid w:val="00104637"/>
    <w:rsid w:val="00107D63"/>
    <w:rsid w:val="0019643A"/>
    <w:rsid w:val="0021272E"/>
    <w:rsid w:val="0022093B"/>
    <w:rsid w:val="00243C1C"/>
    <w:rsid w:val="002658DC"/>
    <w:rsid w:val="00270BDE"/>
    <w:rsid w:val="003072C4"/>
    <w:rsid w:val="00325E14"/>
    <w:rsid w:val="00490530"/>
    <w:rsid w:val="004D1523"/>
    <w:rsid w:val="007F1178"/>
    <w:rsid w:val="008D5D0E"/>
    <w:rsid w:val="00920A66"/>
    <w:rsid w:val="00932E2D"/>
    <w:rsid w:val="009340D1"/>
    <w:rsid w:val="00977B39"/>
    <w:rsid w:val="009F155D"/>
    <w:rsid w:val="00B01277"/>
    <w:rsid w:val="00C339C4"/>
    <w:rsid w:val="00C43474"/>
    <w:rsid w:val="00D46227"/>
    <w:rsid w:val="00D804A5"/>
    <w:rsid w:val="00DE0712"/>
    <w:rsid w:val="00E327DE"/>
    <w:rsid w:val="00E3625F"/>
    <w:rsid w:val="0115521B"/>
    <w:rsid w:val="01EA19BA"/>
    <w:rsid w:val="028D12D9"/>
    <w:rsid w:val="038A1589"/>
    <w:rsid w:val="054C7DEB"/>
    <w:rsid w:val="06314567"/>
    <w:rsid w:val="0889068B"/>
    <w:rsid w:val="0AD32091"/>
    <w:rsid w:val="0BA07177"/>
    <w:rsid w:val="0F36F3C5"/>
    <w:rsid w:val="0FF5E7D0"/>
    <w:rsid w:val="106A3C74"/>
    <w:rsid w:val="133F3E83"/>
    <w:rsid w:val="15442DF3"/>
    <w:rsid w:val="17A8AEF4"/>
    <w:rsid w:val="181F7418"/>
    <w:rsid w:val="18925339"/>
    <w:rsid w:val="18CB084B"/>
    <w:rsid w:val="191A70DD"/>
    <w:rsid w:val="1DD106B2"/>
    <w:rsid w:val="1E4569AA"/>
    <w:rsid w:val="1F7F979A"/>
    <w:rsid w:val="1F8B2AE2"/>
    <w:rsid w:val="1FF64E02"/>
    <w:rsid w:val="1FF70A50"/>
    <w:rsid w:val="213A031C"/>
    <w:rsid w:val="222A4E12"/>
    <w:rsid w:val="238916A4"/>
    <w:rsid w:val="24EA3E14"/>
    <w:rsid w:val="26807F58"/>
    <w:rsid w:val="27737134"/>
    <w:rsid w:val="27CE7A10"/>
    <w:rsid w:val="281731DB"/>
    <w:rsid w:val="286B210C"/>
    <w:rsid w:val="2A1E4562"/>
    <w:rsid w:val="2AFC1E07"/>
    <w:rsid w:val="2C613AF6"/>
    <w:rsid w:val="2DC8748F"/>
    <w:rsid w:val="2F8F217B"/>
    <w:rsid w:val="2FBA6D93"/>
    <w:rsid w:val="2FF47773"/>
    <w:rsid w:val="3041265D"/>
    <w:rsid w:val="307F4548"/>
    <w:rsid w:val="310962B6"/>
    <w:rsid w:val="311326AC"/>
    <w:rsid w:val="319D6E9C"/>
    <w:rsid w:val="31D653F9"/>
    <w:rsid w:val="32957357"/>
    <w:rsid w:val="32F91A72"/>
    <w:rsid w:val="342F5CDB"/>
    <w:rsid w:val="34FE3CD8"/>
    <w:rsid w:val="357CA632"/>
    <w:rsid w:val="377E4A13"/>
    <w:rsid w:val="37E527B2"/>
    <w:rsid w:val="37F723CC"/>
    <w:rsid w:val="37FFF28D"/>
    <w:rsid w:val="386615A8"/>
    <w:rsid w:val="3BBD1E1E"/>
    <w:rsid w:val="3BF7E786"/>
    <w:rsid w:val="3CE76C45"/>
    <w:rsid w:val="3DFDE7A5"/>
    <w:rsid w:val="3DFFF66C"/>
    <w:rsid w:val="3F6F1FDE"/>
    <w:rsid w:val="3FBDB38E"/>
    <w:rsid w:val="40896772"/>
    <w:rsid w:val="428533D4"/>
    <w:rsid w:val="4597548E"/>
    <w:rsid w:val="4612161E"/>
    <w:rsid w:val="46B12F19"/>
    <w:rsid w:val="48180B08"/>
    <w:rsid w:val="48C447EC"/>
    <w:rsid w:val="49675482"/>
    <w:rsid w:val="4D0E24D9"/>
    <w:rsid w:val="4D31441A"/>
    <w:rsid w:val="4D993583"/>
    <w:rsid w:val="4EAE3DAC"/>
    <w:rsid w:val="4FEE82F7"/>
    <w:rsid w:val="51CD1CAD"/>
    <w:rsid w:val="51EFBB5D"/>
    <w:rsid w:val="51FF798D"/>
    <w:rsid w:val="534742A0"/>
    <w:rsid w:val="537DAD86"/>
    <w:rsid w:val="54240834"/>
    <w:rsid w:val="556B68E0"/>
    <w:rsid w:val="55FD4C24"/>
    <w:rsid w:val="55FDE7D7"/>
    <w:rsid w:val="56236D75"/>
    <w:rsid w:val="57825F9E"/>
    <w:rsid w:val="5923730C"/>
    <w:rsid w:val="5AC461A2"/>
    <w:rsid w:val="5AED46B9"/>
    <w:rsid w:val="5BE8052C"/>
    <w:rsid w:val="5DDFB31C"/>
    <w:rsid w:val="5E5F02BF"/>
    <w:rsid w:val="5E7C1B9E"/>
    <w:rsid w:val="5F3F3990"/>
    <w:rsid w:val="5FFDB2B4"/>
    <w:rsid w:val="5FFF3DD0"/>
    <w:rsid w:val="60275934"/>
    <w:rsid w:val="60443049"/>
    <w:rsid w:val="610E08A2"/>
    <w:rsid w:val="61610FEB"/>
    <w:rsid w:val="62AE304C"/>
    <w:rsid w:val="64041AE8"/>
    <w:rsid w:val="673FFC1B"/>
    <w:rsid w:val="67FE7BEE"/>
    <w:rsid w:val="68633537"/>
    <w:rsid w:val="69FD2A8B"/>
    <w:rsid w:val="6B303356"/>
    <w:rsid w:val="6B785296"/>
    <w:rsid w:val="6B9DDC53"/>
    <w:rsid w:val="6BFE1016"/>
    <w:rsid w:val="6BFF6A8B"/>
    <w:rsid w:val="6C117498"/>
    <w:rsid w:val="6C692C46"/>
    <w:rsid w:val="6CBD4441"/>
    <w:rsid w:val="6CE32BE3"/>
    <w:rsid w:val="6CFE1ACC"/>
    <w:rsid w:val="6CFF8ED5"/>
    <w:rsid w:val="6DDD32D0"/>
    <w:rsid w:val="6DF77B0F"/>
    <w:rsid w:val="6E7E235F"/>
    <w:rsid w:val="6FBA161D"/>
    <w:rsid w:val="6FEA072C"/>
    <w:rsid w:val="6FFE5F86"/>
    <w:rsid w:val="711F455E"/>
    <w:rsid w:val="7384DFAE"/>
    <w:rsid w:val="739F1D99"/>
    <w:rsid w:val="743B9614"/>
    <w:rsid w:val="74A0760B"/>
    <w:rsid w:val="755EFF31"/>
    <w:rsid w:val="75A650F5"/>
    <w:rsid w:val="76DDA844"/>
    <w:rsid w:val="76EAA9E6"/>
    <w:rsid w:val="77533D92"/>
    <w:rsid w:val="77DD4D1C"/>
    <w:rsid w:val="799F856C"/>
    <w:rsid w:val="79B3A42B"/>
    <w:rsid w:val="79FCC5C2"/>
    <w:rsid w:val="7A85352B"/>
    <w:rsid w:val="7AE7E0AF"/>
    <w:rsid w:val="7AEE1724"/>
    <w:rsid w:val="7AFFAB50"/>
    <w:rsid w:val="7B7D9630"/>
    <w:rsid w:val="7B9F11B6"/>
    <w:rsid w:val="7BB15EA8"/>
    <w:rsid w:val="7BBA8F84"/>
    <w:rsid w:val="7C6B3358"/>
    <w:rsid w:val="7C8D62D7"/>
    <w:rsid w:val="7CFD6ED7"/>
    <w:rsid w:val="7CFE2367"/>
    <w:rsid w:val="7D5B3087"/>
    <w:rsid w:val="7D6F49FF"/>
    <w:rsid w:val="7D87A4D3"/>
    <w:rsid w:val="7D9F8253"/>
    <w:rsid w:val="7DBD1736"/>
    <w:rsid w:val="7E867872"/>
    <w:rsid w:val="7EB72958"/>
    <w:rsid w:val="7EF73974"/>
    <w:rsid w:val="7EFD85E4"/>
    <w:rsid w:val="7F6BAB70"/>
    <w:rsid w:val="7F6FB0E0"/>
    <w:rsid w:val="7F970844"/>
    <w:rsid w:val="7F9FDAA4"/>
    <w:rsid w:val="7FB7498F"/>
    <w:rsid w:val="7FBB83D4"/>
    <w:rsid w:val="7FD4A306"/>
    <w:rsid w:val="7FDF04E5"/>
    <w:rsid w:val="7FEF34E4"/>
    <w:rsid w:val="7FFE85F0"/>
    <w:rsid w:val="7FFF0AF5"/>
    <w:rsid w:val="7FFF42B4"/>
    <w:rsid w:val="7FFFFFF0"/>
    <w:rsid w:val="83DF6694"/>
    <w:rsid w:val="8EED7A65"/>
    <w:rsid w:val="93FF24A8"/>
    <w:rsid w:val="A3D6F57C"/>
    <w:rsid w:val="AEBF7C2D"/>
    <w:rsid w:val="AFED0C03"/>
    <w:rsid w:val="AFF1110D"/>
    <w:rsid w:val="B3BF95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widowControl/>
      <w:spacing w:before="120" w:after="60" w:line="500" w:lineRule="exact"/>
      <w:ind w:firstLine="800"/>
      <w:jc w:val="left"/>
      <w:outlineLvl w:val="0"/>
    </w:pPr>
    <w:rPr>
      <w:rFonts w:eastAsia="黑体"/>
      <w:bCs/>
      <w:color w:val="000000"/>
      <w:kern w:val="0"/>
      <w:szCs w:val="28"/>
    </w:rPr>
  </w:style>
  <w:style w:type="paragraph" w:styleId="2">
    <w:name w:val="heading 2"/>
    <w:basedOn w:val="a"/>
    <w:next w:val="a"/>
    <w:link w:val="2Char"/>
    <w:qFormat/>
    <w:pPr>
      <w:keepNext/>
      <w:keepLines/>
      <w:widowControl/>
      <w:spacing w:before="120" w:after="60" w:line="500" w:lineRule="exact"/>
      <w:ind w:firstLineChars="200" w:firstLine="800"/>
      <w:jc w:val="left"/>
      <w:outlineLvl w:val="1"/>
    </w:pPr>
    <w:rPr>
      <w:rFonts w:ascii="Times New Roman" w:eastAsia="楷体_GB2312" w:hAnsi="Times New Roman"/>
      <w:bCs/>
      <w:color w:val="000000"/>
      <w:kern w:val="0"/>
      <w:sz w:val="32"/>
      <w:szCs w:val="26"/>
    </w:rPr>
  </w:style>
  <w:style w:type="paragraph" w:styleId="3">
    <w:name w:val="heading 3"/>
    <w:basedOn w:val="a"/>
    <w:next w:val="a"/>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uiPriority w:val="99"/>
    <w:unhideWhenUsed/>
    <w:qFormat/>
    <w:pPr>
      <w:widowControl w:val="0"/>
      <w:tabs>
        <w:tab w:val="left" w:pos="0"/>
      </w:tabs>
      <w:jc w:val="both"/>
    </w:pPr>
    <w:rPr>
      <w:rFonts w:ascii="宋体" w:eastAsia="仿宋_GB2312" w:hAnsi="宋体"/>
      <w:color w:val="000000"/>
      <w:kern w:val="2"/>
      <w:sz w:val="24"/>
      <w:szCs w:val="21"/>
    </w:rPr>
  </w:style>
  <w:style w:type="paragraph" w:styleId="a5">
    <w:name w:val="Body Text Indent"/>
    <w:basedOn w:val="a"/>
    <w:next w:val="a"/>
    <w:qFormat/>
    <w:pPr>
      <w:widowControl/>
      <w:spacing w:before="100" w:beforeAutospacing="1" w:after="100" w:afterAutospacing="1"/>
      <w:jc w:val="left"/>
    </w:pPr>
    <w:rPr>
      <w:rFonts w:ascii="宋体" w:eastAsia="宋体" w:hAnsi="宋体"/>
      <w:kern w:val="0"/>
      <w:sz w:val="24"/>
    </w:rPr>
  </w:style>
  <w:style w:type="paragraph" w:styleId="a6">
    <w:name w:val="Balloon Text"/>
    <w:basedOn w:val="a"/>
    <w:link w:val="Char"/>
    <w:qFormat/>
    <w:rPr>
      <w:sz w:val="18"/>
      <w:szCs w:val="18"/>
    </w:rPr>
  </w:style>
  <w:style w:type="paragraph" w:styleId="a7">
    <w:name w:val="footer"/>
    <w:basedOn w:val="a"/>
    <w:link w:val="Char0"/>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9">
    <w:name w:val="Title"/>
    <w:basedOn w:val="a"/>
    <w:next w:val="a"/>
    <w:qFormat/>
    <w:pPr>
      <w:adjustRightInd w:val="0"/>
      <w:snapToGrid w:val="0"/>
      <w:spacing w:line="360" w:lineRule="auto"/>
      <w:ind w:firstLineChars="200" w:firstLine="800"/>
      <w:jc w:val="left"/>
      <w:outlineLvl w:val="0"/>
    </w:pPr>
    <w:rPr>
      <w:rFonts w:ascii="Arial" w:eastAsia="仿宋" w:hAnsi="Arial"/>
      <w:sz w:val="32"/>
      <w:szCs w:val="32"/>
    </w:rPr>
  </w:style>
  <w:style w:type="paragraph" w:styleId="21">
    <w:name w:val="Body Text First Indent 2"/>
    <w:basedOn w:val="a5"/>
    <w:uiPriority w:val="99"/>
    <w:unhideWhenUsed/>
    <w:qFormat/>
    <w:pPr>
      <w:ind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a"/>
    <w:next w:val="ab"/>
    <w:uiPriority w:val="99"/>
    <w:unhideWhenUsed/>
    <w:qFormat/>
    <w:pPr>
      <w:spacing w:line="360" w:lineRule="auto"/>
      <w:ind w:firstLineChars="200" w:firstLine="420"/>
      <w:jc w:val="left"/>
    </w:pPr>
    <w:rPr>
      <w:rFonts w:ascii="Times New Roman" w:eastAsia="仿宋" w:hAnsi="Times New Roman"/>
      <w:sz w:val="32"/>
      <w:lang w:eastAsia="zh-TW"/>
    </w:rPr>
  </w:style>
  <w:style w:type="paragraph" w:styleId="ab">
    <w:name w:val="List Paragraph"/>
    <w:basedOn w:val="a"/>
    <w:uiPriority w:val="34"/>
    <w:qFormat/>
    <w:pPr>
      <w:ind w:firstLineChars="200" w:firstLine="420"/>
    </w:p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11">
    <w:name w:val="font11"/>
    <w:basedOn w:val="a0"/>
    <w:qFormat/>
    <w:rPr>
      <w:rFonts w:ascii="黑体" w:eastAsia="黑体" w:hAnsi="宋体" w:cs="黑体" w:hint="default"/>
      <w:color w:val="000000"/>
      <w:sz w:val="20"/>
      <w:szCs w:val="20"/>
      <w:u w:val="none"/>
    </w:rPr>
  </w:style>
  <w:style w:type="character" w:customStyle="1" w:styleId="font21">
    <w:name w:val="font21"/>
    <w:basedOn w:val="a0"/>
    <w:qFormat/>
    <w:rPr>
      <w:rFonts w:ascii="黑体" w:eastAsia="黑体" w:hAnsi="宋体" w:cs="黑体" w:hint="default"/>
      <w:color w:val="000000"/>
      <w:sz w:val="20"/>
      <w:szCs w:val="20"/>
      <w:u w:val="none"/>
    </w:rPr>
  </w:style>
  <w:style w:type="paragraph" w:customStyle="1" w:styleId="11">
    <w:name w:val="正文1"/>
    <w:autoRedefine/>
    <w:qFormat/>
    <w:pPr>
      <w:widowControl w:val="0"/>
      <w:jc w:val="both"/>
    </w:pPr>
    <w:rPr>
      <w:kern w:val="2"/>
      <w:sz w:val="21"/>
      <w:szCs w:val="24"/>
    </w:rPr>
  </w:style>
  <w:style w:type="character" w:customStyle="1" w:styleId="2Char">
    <w:name w:val="标题 2 Char"/>
    <w:link w:val="2"/>
    <w:qFormat/>
    <w:rPr>
      <w:rFonts w:ascii="Times New Roman" w:eastAsia="楷体_GB2312" w:hAnsi="Times New Roman"/>
      <w:bCs/>
      <w:color w:val="000000"/>
      <w:kern w:val="0"/>
      <w:sz w:val="32"/>
      <w:szCs w:val="26"/>
    </w:rPr>
  </w:style>
  <w:style w:type="character" w:customStyle="1" w:styleId="1Char">
    <w:name w:val="标题 1 Char"/>
    <w:link w:val="1"/>
    <w:qFormat/>
    <w:rPr>
      <w:rFonts w:eastAsia="黑体"/>
      <w:bCs/>
      <w:color w:val="000000"/>
      <w:kern w:val="0"/>
      <w:szCs w:val="28"/>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Char0">
    <w:name w:val="页脚 Char"/>
    <w:basedOn w:val="a0"/>
    <w:link w:val="a7"/>
    <w:uiPriority w:val="99"/>
    <w:qFormat/>
    <w:rPr>
      <w:rFonts w:asciiTheme="minorHAnsi" w:eastAsiaTheme="minorEastAsia" w:hAnsiTheme="minorHAnsi" w:cstheme="minorBidi"/>
      <w:kern w:val="2"/>
      <w:sz w:val="18"/>
      <w:szCs w:val="24"/>
    </w:rPr>
  </w:style>
  <w:style w:type="paragraph" w:customStyle="1" w:styleId="ac">
    <w:name w:val="正文格式"/>
    <w:qFormat/>
    <w:pPr>
      <w:snapToGrid w:val="0"/>
      <w:spacing w:line="400" w:lineRule="atLeast"/>
      <w:ind w:firstLine="482"/>
      <w:jc w:val="both"/>
      <w:textAlignment w:val="baseline"/>
    </w:pPr>
    <w:rPr>
      <w:sz w:val="24"/>
      <w:szCs w:val="24"/>
    </w:rPr>
  </w:style>
  <w:style w:type="character" w:customStyle="1" w:styleId="Char">
    <w:name w:val="批注框文本 Char"/>
    <w:basedOn w:val="a0"/>
    <w:link w:val="a6"/>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widowControl/>
      <w:spacing w:before="120" w:after="60" w:line="500" w:lineRule="exact"/>
      <w:ind w:firstLine="800"/>
      <w:jc w:val="left"/>
      <w:outlineLvl w:val="0"/>
    </w:pPr>
    <w:rPr>
      <w:rFonts w:eastAsia="黑体"/>
      <w:bCs/>
      <w:color w:val="000000"/>
      <w:kern w:val="0"/>
      <w:szCs w:val="28"/>
    </w:rPr>
  </w:style>
  <w:style w:type="paragraph" w:styleId="2">
    <w:name w:val="heading 2"/>
    <w:basedOn w:val="a"/>
    <w:next w:val="a"/>
    <w:link w:val="2Char"/>
    <w:qFormat/>
    <w:pPr>
      <w:keepNext/>
      <w:keepLines/>
      <w:widowControl/>
      <w:spacing w:before="120" w:after="60" w:line="500" w:lineRule="exact"/>
      <w:ind w:firstLineChars="200" w:firstLine="800"/>
      <w:jc w:val="left"/>
      <w:outlineLvl w:val="1"/>
    </w:pPr>
    <w:rPr>
      <w:rFonts w:ascii="Times New Roman" w:eastAsia="楷体_GB2312" w:hAnsi="Times New Roman"/>
      <w:bCs/>
      <w:color w:val="000000"/>
      <w:kern w:val="0"/>
      <w:sz w:val="32"/>
      <w:szCs w:val="26"/>
    </w:rPr>
  </w:style>
  <w:style w:type="paragraph" w:styleId="3">
    <w:name w:val="heading 3"/>
    <w:basedOn w:val="a"/>
    <w:next w:val="a"/>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uiPriority w:val="99"/>
    <w:unhideWhenUsed/>
    <w:qFormat/>
    <w:pPr>
      <w:widowControl w:val="0"/>
      <w:tabs>
        <w:tab w:val="left" w:pos="0"/>
      </w:tabs>
      <w:jc w:val="both"/>
    </w:pPr>
    <w:rPr>
      <w:rFonts w:ascii="宋体" w:eastAsia="仿宋_GB2312" w:hAnsi="宋体"/>
      <w:color w:val="000000"/>
      <w:kern w:val="2"/>
      <w:sz w:val="24"/>
      <w:szCs w:val="21"/>
    </w:rPr>
  </w:style>
  <w:style w:type="paragraph" w:styleId="a5">
    <w:name w:val="Body Text Indent"/>
    <w:basedOn w:val="a"/>
    <w:next w:val="a"/>
    <w:qFormat/>
    <w:pPr>
      <w:widowControl/>
      <w:spacing w:before="100" w:beforeAutospacing="1" w:after="100" w:afterAutospacing="1"/>
      <w:jc w:val="left"/>
    </w:pPr>
    <w:rPr>
      <w:rFonts w:ascii="宋体" w:eastAsia="宋体" w:hAnsi="宋体"/>
      <w:kern w:val="0"/>
      <w:sz w:val="24"/>
    </w:rPr>
  </w:style>
  <w:style w:type="paragraph" w:styleId="a6">
    <w:name w:val="Balloon Text"/>
    <w:basedOn w:val="a"/>
    <w:link w:val="Char"/>
    <w:qFormat/>
    <w:rPr>
      <w:sz w:val="18"/>
      <w:szCs w:val="18"/>
    </w:rPr>
  </w:style>
  <w:style w:type="paragraph" w:styleId="a7">
    <w:name w:val="footer"/>
    <w:basedOn w:val="a"/>
    <w:link w:val="Char0"/>
    <w:uiPriority w:val="99"/>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20">
    <w:name w:val="toc 2"/>
    <w:basedOn w:val="a"/>
    <w:next w:val="a"/>
    <w:qFormat/>
    <w:pPr>
      <w:ind w:leftChars="200" w:left="420"/>
    </w:pPr>
  </w:style>
  <w:style w:type="paragraph" w:styleId="a9">
    <w:name w:val="Title"/>
    <w:basedOn w:val="a"/>
    <w:next w:val="a"/>
    <w:qFormat/>
    <w:pPr>
      <w:adjustRightInd w:val="0"/>
      <w:snapToGrid w:val="0"/>
      <w:spacing w:line="360" w:lineRule="auto"/>
      <w:ind w:firstLineChars="200" w:firstLine="800"/>
      <w:jc w:val="left"/>
      <w:outlineLvl w:val="0"/>
    </w:pPr>
    <w:rPr>
      <w:rFonts w:ascii="Arial" w:eastAsia="仿宋" w:hAnsi="Arial"/>
      <w:sz w:val="32"/>
      <w:szCs w:val="32"/>
    </w:rPr>
  </w:style>
  <w:style w:type="paragraph" w:styleId="21">
    <w:name w:val="Body Text First Indent 2"/>
    <w:basedOn w:val="a5"/>
    <w:uiPriority w:val="99"/>
    <w:unhideWhenUsed/>
    <w:qFormat/>
    <w:pPr>
      <w:ind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_Style 3"/>
    <w:basedOn w:val="a"/>
    <w:next w:val="ab"/>
    <w:uiPriority w:val="99"/>
    <w:unhideWhenUsed/>
    <w:qFormat/>
    <w:pPr>
      <w:spacing w:line="360" w:lineRule="auto"/>
      <w:ind w:firstLineChars="200" w:firstLine="420"/>
      <w:jc w:val="left"/>
    </w:pPr>
    <w:rPr>
      <w:rFonts w:ascii="Times New Roman" w:eastAsia="仿宋" w:hAnsi="Times New Roman"/>
      <w:sz w:val="32"/>
      <w:lang w:eastAsia="zh-TW"/>
    </w:rPr>
  </w:style>
  <w:style w:type="paragraph" w:styleId="ab">
    <w:name w:val="List Paragraph"/>
    <w:basedOn w:val="a"/>
    <w:uiPriority w:val="34"/>
    <w:qFormat/>
    <w:pPr>
      <w:ind w:firstLineChars="200" w:firstLine="420"/>
    </w:p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font11">
    <w:name w:val="font11"/>
    <w:basedOn w:val="a0"/>
    <w:qFormat/>
    <w:rPr>
      <w:rFonts w:ascii="黑体" w:eastAsia="黑体" w:hAnsi="宋体" w:cs="黑体" w:hint="default"/>
      <w:color w:val="000000"/>
      <w:sz w:val="20"/>
      <w:szCs w:val="20"/>
      <w:u w:val="none"/>
    </w:rPr>
  </w:style>
  <w:style w:type="character" w:customStyle="1" w:styleId="font21">
    <w:name w:val="font21"/>
    <w:basedOn w:val="a0"/>
    <w:qFormat/>
    <w:rPr>
      <w:rFonts w:ascii="黑体" w:eastAsia="黑体" w:hAnsi="宋体" w:cs="黑体" w:hint="default"/>
      <w:color w:val="000000"/>
      <w:sz w:val="20"/>
      <w:szCs w:val="20"/>
      <w:u w:val="none"/>
    </w:rPr>
  </w:style>
  <w:style w:type="paragraph" w:customStyle="1" w:styleId="11">
    <w:name w:val="正文1"/>
    <w:autoRedefine/>
    <w:qFormat/>
    <w:pPr>
      <w:widowControl w:val="0"/>
      <w:jc w:val="both"/>
    </w:pPr>
    <w:rPr>
      <w:kern w:val="2"/>
      <w:sz w:val="21"/>
      <w:szCs w:val="24"/>
    </w:rPr>
  </w:style>
  <w:style w:type="character" w:customStyle="1" w:styleId="2Char">
    <w:name w:val="标题 2 Char"/>
    <w:link w:val="2"/>
    <w:qFormat/>
    <w:rPr>
      <w:rFonts w:ascii="Times New Roman" w:eastAsia="楷体_GB2312" w:hAnsi="Times New Roman"/>
      <w:bCs/>
      <w:color w:val="000000"/>
      <w:kern w:val="0"/>
      <w:sz w:val="32"/>
      <w:szCs w:val="26"/>
    </w:rPr>
  </w:style>
  <w:style w:type="character" w:customStyle="1" w:styleId="1Char">
    <w:name w:val="标题 1 Char"/>
    <w:link w:val="1"/>
    <w:qFormat/>
    <w:rPr>
      <w:rFonts w:eastAsia="黑体"/>
      <w:bCs/>
      <w:color w:val="000000"/>
      <w:kern w:val="0"/>
      <w:szCs w:val="28"/>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Char0">
    <w:name w:val="页脚 Char"/>
    <w:basedOn w:val="a0"/>
    <w:link w:val="a7"/>
    <w:uiPriority w:val="99"/>
    <w:qFormat/>
    <w:rPr>
      <w:rFonts w:asciiTheme="minorHAnsi" w:eastAsiaTheme="minorEastAsia" w:hAnsiTheme="minorHAnsi" w:cstheme="minorBidi"/>
      <w:kern w:val="2"/>
      <w:sz w:val="18"/>
      <w:szCs w:val="24"/>
    </w:rPr>
  </w:style>
  <w:style w:type="paragraph" w:customStyle="1" w:styleId="ac">
    <w:name w:val="正文格式"/>
    <w:qFormat/>
    <w:pPr>
      <w:snapToGrid w:val="0"/>
      <w:spacing w:line="400" w:lineRule="atLeast"/>
      <w:ind w:firstLine="482"/>
      <w:jc w:val="both"/>
      <w:textAlignment w:val="baseline"/>
    </w:pPr>
    <w:rPr>
      <w:sz w:val="24"/>
      <w:szCs w:val="24"/>
    </w:rPr>
  </w:style>
  <w:style w:type="character" w:customStyle="1" w:styleId="Char">
    <w:name w:val="批注框文本 Char"/>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1975</Words>
  <Characters>11258</Characters>
  <Application>Microsoft Office Word</Application>
  <DocSecurity>0</DocSecurity>
  <Lines>93</Lines>
  <Paragraphs>26</Paragraphs>
  <ScaleCrop>false</ScaleCrop>
  <Company>WRGHO.COM</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2025-08-12T02:32:00Z</cp:lastPrinted>
  <dcterms:created xsi:type="dcterms:W3CDTF">2025-09-22T07:24:00Z</dcterms:created>
  <dcterms:modified xsi:type="dcterms:W3CDTF">2025-09-23T01:16:00Z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9ADA3B20EFAC17A67FD76D685EF58CB9_43</vt:lpwstr>
  </property>
  <property fmtid="{D5CDD505-2E9C-101B-9397-08002B2CF9AE}" pid="4" name="KSOTemplateDocerSaveRecord">
    <vt:lpwstr>eyJoZGlkIjoiNzBkMGY2OTFiMDc4YWZiNmU2ZDFhODMyZmJkYmNiOWEiLCJ1c2VySWQiOiI0MDk1MzMyOTgifQ==</vt:lpwstr>
  </property>
</Properties>
</file>