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山东产业技术研究院项目</w:t>
      </w:r>
    </w:p>
    <w:p>
      <w:pPr>
        <w:keepNext w:val="0"/>
        <w:keepLines w:val="0"/>
        <w:pageBreakBefore w:val="0"/>
        <w:kinsoku/>
        <w:wordWrap/>
        <w:overflowPunct/>
        <w:topLinePunct w:val="0"/>
        <w:autoSpaceDE/>
        <w:autoSpaceDN/>
        <w:bidi w:val="0"/>
        <w:spacing w:line="600" w:lineRule="exact"/>
        <w:jc w:val="center"/>
        <w:textAlignment w:val="auto"/>
        <w:outlineLvl w:val="9"/>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绩效评价报告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ascii="黑体" w:hAnsi="黑体" w:eastAsia="黑体" w:cs="黑体"/>
          <w:color w:val="auto"/>
          <w:sz w:val="32"/>
          <w:szCs w:val="40"/>
          <w:highlight w:val="none"/>
        </w:rPr>
      </w:pPr>
      <w:bookmarkStart w:id="0" w:name="_Toc19628"/>
      <w:bookmarkStart w:id="1" w:name="_Toc20617"/>
      <w:r>
        <w:rPr>
          <w:rFonts w:hint="eastAsia" w:ascii="黑体" w:hAnsi="黑体" w:eastAsia="黑体" w:cs="黑体"/>
          <w:color w:val="auto"/>
          <w:sz w:val="32"/>
          <w:szCs w:val="40"/>
          <w:highlight w:val="none"/>
          <w:lang w:val="en-US" w:eastAsia="zh-CN"/>
        </w:rPr>
        <w:t>一、项目基本情况</w:t>
      </w:r>
      <w:bookmarkEnd w:id="0"/>
      <w:bookmarkEnd w:id="1"/>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（一）项目概况</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rPr>
        <w:t>1.项目背景</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color w:val="auto"/>
          <w:sz w:val="32"/>
          <w:szCs w:val="40"/>
          <w:highlight w:val="none"/>
        </w:rPr>
        <w:t>山东产业技术研究院（以下简称“山东产研院”）是山东省人民政府面向国家新旧动能转换综合实验区建设重大战略，以需求为导向、运行机制灵活、研发体系健全、对接国际水平的新型研发机构。为进一步加强青岛市与山东产研院的战略合作，充分发挥山东产研院对青岛市经济社会发展的推动作用，2020年12月10日，青岛市人民政府与山东产研院签订《战略合作协议》，围绕青岛经济社会发展需求</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依托山东产业技术研究院技术攻关与产业孵化的体制机制优势、人才与创新团队的优势，共建山东产业技术研究院（青岛）（以下简称“产研院（青岛）”）</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打造带动青岛市创新驱动发展的核心引擎，创新产业技术，促进先进成果在青岛市实现落地转化和产业化，助推青岛市实施创新驱动发展战略，建设创新型城市</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2021年3月，山东产研院、青岛</w:t>
      </w:r>
      <w:r>
        <w:rPr>
          <w:rFonts w:hint="eastAsia" w:ascii="仿宋_GB2312" w:hAnsi="仿宋_GB2312" w:eastAsia="仿宋_GB2312" w:cs="仿宋_GB2312"/>
          <w:color w:val="auto"/>
          <w:sz w:val="32"/>
          <w:szCs w:val="40"/>
          <w:highlight w:val="none"/>
          <w:lang w:val="en-US" w:eastAsia="zh-CN"/>
        </w:rPr>
        <w:t>市</w:t>
      </w:r>
      <w:r>
        <w:rPr>
          <w:rFonts w:hint="eastAsia" w:ascii="仿宋_GB2312" w:hAnsi="仿宋_GB2312" w:eastAsia="仿宋_GB2312" w:cs="仿宋_GB2312"/>
          <w:color w:val="auto"/>
          <w:sz w:val="32"/>
          <w:szCs w:val="40"/>
          <w:highlight w:val="none"/>
        </w:rPr>
        <w:t>科学技术局（以下简称“市科技局”）、崂山区人民政府签署</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共建协议</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，由市、区两级财政提供建设运营资金，崂山区提供青岛国际创新园办公及研发场地，产研院（青岛）正式落户并启动建设</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该院</w:t>
      </w:r>
      <w:r>
        <w:rPr>
          <w:rFonts w:hint="eastAsia" w:ascii="仿宋_GB2312" w:hAnsi="仿宋_GB2312" w:eastAsia="仿宋_GB2312" w:cs="仿宋_GB2312"/>
          <w:color w:val="auto"/>
          <w:sz w:val="32"/>
          <w:szCs w:val="40"/>
          <w:highlight w:val="none"/>
        </w:rPr>
        <w:t>按照“转化先进技术、培育科创企业、服务产业创新”的总体要求，</w:t>
      </w:r>
      <w:r>
        <w:rPr>
          <w:rFonts w:hint="eastAsia" w:ascii="仿宋_GB2312" w:hAnsi="仿宋_GB2312" w:eastAsia="仿宋_GB2312" w:cs="仿宋_GB2312"/>
          <w:color w:val="auto"/>
          <w:sz w:val="32"/>
          <w:szCs w:val="40"/>
          <w:highlight w:val="none"/>
          <w:lang w:val="en-US" w:eastAsia="zh-CN"/>
        </w:rPr>
        <w:t>整合优势资源、汇聚创新力量，健全完善科技成果高质量供给与高效转化的生态，赋</w:t>
      </w:r>
      <w:r>
        <w:rPr>
          <w:rFonts w:hint="eastAsia" w:ascii="仿宋_GB2312" w:hAnsi="仿宋_GB2312" w:eastAsia="仿宋_GB2312" w:cs="仿宋_GB2312"/>
          <w:color w:val="auto"/>
          <w:sz w:val="32"/>
          <w:szCs w:val="40"/>
          <w:highlight w:val="none"/>
        </w:rPr>
        <w:t>能新质生产力</w:t>
      </w:r>
      <w:r>
        <w:rPr>
          <w:rFonts w:hint="eastAsia" w:ascii="仿宋_GB2312" w:hAnsi="仿宋_GB2312" w:eastAsia="仿宋_GB2312" w:cs="仿宋_GB2312"/>
          <w:color w:val="auto"/>
          <w:sz w:val="32"/>
          <w:szCs w:val="40"/>
          <w:highlight w:val="none"/>
          <w:lang w:val="en-US" w:eastAsia="zh-CN"/>
        </w:rPr>
        <w:t>持续涌现和快速</w:t>
      </w:r>
      <w:r>
        <w:rPr>
          <w:rFonts w:hint="eastAsia" w:ascii="仿宋_GB2312" w:hAnsi="仿宋_GB2312" w:eastAsia="仿宋_GB2312" w:cs="仿宋_GB2312"/>
          <w:color w:val="auto"/>
          <w:sz w:val="32"/>
          <w:szCs w:val="40"/>
          <w:highlight w:val="none"/>
        </w:rPr>
        <w:t>发展。</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b/>
          <w:bCs/>
          <w:color w:val="auto"/>
          <w:sz w:val="32"/>
          <w:szCs w:val="40"/>
          <w:highlight w:val="none"/>
        </w:rPr>
        <w:t>2.项目主要内容</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color w:val="auto"/>
          <w:sz w:val="32"/>
          <w:szCs w:val="40"/>
          <w:highlight w:val="none"/>
        </w:rPr>
        <w:t>围绕青岛创新发展实际需要，集聚优质创新资源，优先布局落地青岛市进行创新转化</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建立和完善管理体系和运行机制，成立山东产业技术研究院（青岛）投资发展有限公司（以下简称“产研投（青岛）公司”），代表产研院（青岛）开展企业股权投资和经营性资产管理，</w:t>
      </w:r>
      <w:r>
        <w:rPr>
          <w:rFonts w:hint="eastAsia" w:ascii="仿宋_GB2312" w:hAnsi="仿宋_GB2312" w:eastAsia="仿宋_GB2312" w:cs="仿宋_GB2312"/>
          <w:color w:val="auto"/>
          <w:sz w:val="32"/>
          <w:szCs w:val="40"/>
          <w:highlight w:val="none"/>
        </w:rPr>
        <w:t>通过项目合作、股权投入等方式，</w:t>
      </w:r>
      <w:r>
        <w:rPr>
          <w:rFonts w:hint="eastAsia" w:ascii="仿宋_GB2312" w:hAnsi="仿宋_GB2312" w:eastAsia="仿宋_GB2312" w:cs="仿宋_GB2312"/>
          <w:color w:val="auto"/>
          <w:sz w:val="32"/>
          <w:szCs w:val="40"/>
          <w:highlight w:val="none"/>
          <w:lang w:val="en-US" w:eastAsia="zh-CN"/>
        </w:rPr>
        <w:t>吸引、培育科技型企业</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助推青岛市实施创新驱动发展战略，建设创新型城市。</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仿宋_GB2312" w:hAnsi="仿宋_GB2312" w:eastAsia="仿宋_GB2312" w:cs="仿宋_GB2312"/>
          <w:color w:val="auto"/>
          <w:sz w:val="32"/>
          <w:szCs w:val="40"/>
          <w:highlight w:val="none"/>
          <w:lang w:val="en-US"/>
        </w:rPr>
      </w:pPr>
      <w:r>
        <w:rPr>
          <w:rFonts w:hint="eastAsia" w:ascii="仿宋_GB2312" w:hAnsi="仿宋_GB2312" w:eastAsia="仿宋_GB2312" w:cs="仿宋_GB2312"/>
          <w:b/>
          <w:bCs/>
          <w:color w:val="auto"/>
          <w:sz w:val="32"/>
          <w:szCs w:val="40"/>
          <w:highlight w:val="none"/>
        </w:rPr>
        <w:t>3.项目实施情况</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b w:val="0"/>
          <w:bCs w:val="0"/>
          <w:color w:val="auto"/>
          <w:sz w:val="32"/>
          <w:szCs w:val="40"/>
          <w:highlight w:val="none"/>
          <w:lang w:val="en-US" w:eastAsia="zh-CN"/>
        </w:rPr>
        <w:t>根据《共建协议》，项目以重大科技项目为实施载体，在创新平台、人才团队、科研开发与成果转化等方面提供政策支持。</w:t>
      </w:r>
      <w:r>
        <w:rPr>
          <w:rFonts w:hint="eastAsia" w:ascii="仿宋_GB2312" w:eastAsia="仿宋_GB2312"/>
          <w:color w:val="auto"/>
          <w:sz w:val="32"/>
          <w:szCs w:val="32"/>
          <w:highlight w:val="none"/>
        </w:rPr>
        <w:t>产研院（青岛）建设经费按照“包干制”+负面清单模式管理，实行以结果为导向的年度绩效评价机制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根据《关于加强山东产业技术研究院（青岛）建设经费管理使用的通知》（青科基字〔2022〕9号），项目共分五年完成共建协议约定任务，本次评价第四年建设任务开展情况。由</w:t>
      </w:r>
      <w:r>
        <w:rPr>
          <w:rFonts w:hint="eastAsia" w:ascii="仿宋_GB2312" w:eastAsia="仿宋_GB2312"/>
          <w:color w:val="auto"/>
          <w:sz w:val="32"/>
          <w:szCs w:val="32"/>
          <w:highlight w:val="none"/>
        </w:rPr>
        <w:t>市科技局根据年度预算安排，下达计划后与产研院（青岛）签订任务书，明确年度建设任务和年度绩效指标，</w:t>
      </w:r>
      <w:r>
        <w:rPr>
          <w:rFonts w:hint="eastAsia" w:ascii="仿宋_GB2312" w:eastAsia="仿宋_GB2312"/>
          <w:color w:val="auto"/>
          <w:sz w:val="32"/>
          <w:szCs w:val="32"/>
          <w:highlight w:val="none"/>
          <w:lang w:val="en-US" w:eastAsia="zh-CN"/>
        </w:rPr>
        <w:t>负责</w:t>
      </w:r>
      <w:r>
        <w:rPr>
          <w:rFonts w:hint="eastAsia" w:ascii="仿宋_GB2312" w:hAnsi="仿宋_GB2312" w:eastAsia="仿宋_GB2312" w:cs="仿宋_GB2312"/>
          <w:color w:val="auto"/>
          <w:sz w:val="32"/>
          <w:szCs w:val="40"/>
          <w:highlight w:val="none"/>
          <w:lang w:val="en-US" w:eastAsia="zh-CN"/>
        </w:rPr>
        <w:t>对项目实施过程管理，组织中期检查和评估，对资金使用情况进行监管；项目主管单位崂山区工业和信息化局（以下简称“崂山区工信局”）负责督促项目承担单位按期完成项目任务，开展项目执行情况的中期检查，报告项目年度执行情况；项目承担单位产研院（青岛）负责按规定期限完成项目任务，按照规定管理和使用财政资金，按要求报送科技报告、审计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仿宋_GB2312"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bCs/>
          <w:color w:val="auto"/>
          <w:sz w:val="32"/>
          <w:szCs w:val="40"/>
          <w:highlight w:val="none"/>
        </w:rPr>
        <w:t>4.资金投入及使用情况</w:t>
      </w:r>
      <w:r>
        <w:rPr>
          <w:rFonts w:hint="eastAsia" w:ascii="仿宋_GB2312" w:hAnsi="仿宋_GB2312" w:eastAsia="仿宋_GB2312" w:cs="仿宋_GB2312"/>
          <w:b/>
          <w:bCs/>
          <w:color w:val="auto"/>
          <w:sz w:val="32"/>
          <w:szCs w:val="40"/>
          <w:highlight w:val="none"/>
          <w:lang w:eastAsia="zh-CN"/>
        </w:rPr>
        <w:t>。</w:t>
      </w:r>
      <w:r>
        <w:rPr>
          <w:rFonts w:hint="default" w:ascii="仿宋_GB2312" w:eastAsia="仿宋_GB2312"/>
          <w:b w:val="0"/>
          <w:bCs w:val="0"/>
          <w:color w:val="auto"/>
          <w:sz w:val="32"/>
          <w:szCs w:val="32"/>
          <w:highlight w:val="none"/>
          <w:lang w:val="en-US" w:eastAsia="zh-CN"/>
        </w:rPr>
        <w:t>根据《山东产业技术研究院（青岛）共建协议》</w:t>
      </w:r>
      <w:r>
        <w:rPr>
          <w:rFonts w:hint="eastAsia" w:ascii="仿宋_GB2312" w:eastAsia="仿宋_GB2312"/>
          <w:b w:val="0"/>
          <w:bCs w:val="0"/>
          <w:color w:val="auto"/>
          <w:sz w:val="32"/>
          <w:szCs w:val="32"/>
          <w:highlight w:val="none"/>
          <w:lang w:val="en-US" w:eastAsia="zh-CN"/>
        </w:rPr>
        <w:t>，项目由市、区两级共同支持建设，其中：市级</w:t>
      </w:r>
      <w:r>
        <w:rPr>
          <w:rFonts w:hint="default" w:ascii="仿宋_GB2312" w:eastAsia="仿宋_GB2312"/>
          <w:b w:val="0"/>
          <w:bCs w:val="0"/>
          <w:color w:val="auto"/>
          <w:sz w:val="32"/>
          <w:szCs w:val="32"/>
          <w:highlight w:val="none"/>
          <w:lang w:val="en-US" w:eastAsia="zh-CN"/>
        </w:rPr>
        <w:t>提供建设、运营及项目转化资金</w:t>
      </w:r>
      <w:r>
        <w:rPr>
          <w:rFonts w:hint="eastAsia" w:ascii="仿宋_GB2312" w:eastAsia="仿宋_GB2312"/>
          <w:b w:val="0"/>
          <w:bCs w:val="0"/>
          <w:color w:val="auto"/>
          <w:sz w:val="32"/>
          <w:szCs w:val="32"/>
          <w:highlight w:val="none"/>
          <w:lang w:val="en-US" w:eastAsia="zh-CN"/>
        </w:rPr>
        <w:t>10000万</w:t>
      </w:r>
      <w:r>
        <w:rPr>
          <w:rFonts w:hint="default" w:ascii="仿宋_GB2312" w:eastAsia="仿宋_GB2312"/>
          <w:b w:val="0"/>
          <w:bCs w:val="0"/>
          <w:color w:val="auto"/>
          <w:sz w:val="32"/>
          <w:szCs w:val="32"/>
          <w:highlight w:val="none"/>
          <w:lang w:val="en-US" w:eastAsia="zh-CN"/>
        </w:rPr>
        <w:t>元</w:t>
      </w:r>
      <w:r>
        <w:rPr>
          <w:rFonts w:hint="eastAsia" w:ascii="仿宋_GB2312" w:eastAsia="仿宋_GB2312"/>
          <w:b w:val="0"/>
          <w:bCs w:val="0"/>
          <w:color w:val="auto"/>
          <w:sz w:val="32"/>
          <w:szCs w:val="32"/>
          <w:highlight w:val="none"/>
          <w:lang w:val="en-US" w:eastAsia="zh-CN"/>
        </w:rPr>
        <w:t>；崂山区给予</w:t>
      </w:r>
      <w:r>
        <w:rPr>
          <w:rFonts w:hint="default" w:ascii="仿宋_GB2312" w:eastAsia="仿宋_GB2312"/>
          <w:b w:val="0"/>
          <w:bCs w:val="0"/>
          <w:color w:val="auto"/>
          <w:sz w:val="32"/>
          <w:szCs w:val="32"/>
          <w:highlight w:val="none"/>
          <w:lang w:val="en-US" w:eastAsia="zh-CN"/>
        </w:rPr>
        <w:t>运营经费补贴</w:t>
      </w:r>
      <w:r>
        <w:rPr>
          <w:rFonts w:hint="eastAsia" w:ascii="仿宋_GB2312" w:eastAsia="仿宋_GB2312"/>
          <w:b w:val="0"/>
          <w:bCs w:val="0"/>
          <w:color w:val="auto"/>
          <w:sz w:val="32"/>
          <w:szCs w:val="32"/>
          <w:highlight w:val="none"/>
          <w:lang w:val="en-US" w:eastAsia="zh-CN"/>
        </w:rPr>
        <w:t>20000万</w:t>
      </w:r>
      <w:r>
        <w:rPr>
          <w:rFonts w:hint="default" w:ascii="仿宋_GB2312" w:eastAsia="仿宋_GB2312"/>
          <w:b w:val="0"/>
          <w:bCs w:val="0"/>
          <w:color w:val="auto"/>
          <w:sz w:val="32"/>
          <w:szCs w:val="32"/>
          <w:highlight w:val="none"/>
          <w:lang w:val="en-US" w:eastAsia="zh-CN"/>
        </w:rPr>
        <w:t>元</w:t>
      </w:r>
      <w:r>
        <w:rPr>
          <w:rFonts w:hint="eastAsia" w:ascii="仿宋_GB2312" w:eastAsia="仿宋_GB2312"/>
          <w:b w:val="0"/>
          <w:bCs w:val="0"/>
          <w:color w:val="auto"/>
          <w:sz w:val="32"/>
          <w:szCs w:val="32"/>
          <w:highlight w:val="none"/>
          <w:lang w:val="en-US" w:eastAsia="zh-CN"/>
        </w:rPr>
        <w:t>，并</w:t>
      </w:r>
      <w:r>
        <w:rPr>
          <w:rFonts w:hint="default" w:ascii="仿宋_GB2312" w:eastAsia="仿宋_GB2312"/>
          <w:b w:val="0"/>
          <w:bCs w:val="0"/>
          <w:color w:val="auto"/>
          <w:sz w:val="32"/>
          <w:szCs w:val="32"/>
          <w:highlight w:val="none"/>
          <w:lang w:val="en-US" w:eastAsia="zh-CN"/>
        </w:rPr>
        <w:t>提供青岛国际创新园J座楼宇</w:t>
      </w:r>
      <w:r>
        <w:rPr>
          <w:rFonts w:hint="eastAsia" w:ascii="仿宋_GB2312" w:eastAsia="仿宋_GB2312"/>
          <w:b w:val="0"/>
          <w:bCs w:val="0"/>
          <w:color w:val="auto"/>
          <w:sz w:val="32"/>
          <w:szCs w:val="32"/>
          <w:highlight w:val="none"/>
          <w:lang w:val="en-US" w:eastAsia="zh-CN"/>
        </w:rPr>
        <w:t>29597.84㎡</w:t>
      </w:r>
      <w:r>
        <w:rPr>
          <w:rFonts w:hint="default" w:ascii="仿宋_GB2312" w:eastAsia="仿宋_GB2312"/>
          <w:b w:val="0"/>
          <w:bCs w:val="0"/>
          <w:color w:val="auto"/>
          <w:sz w:val="32"/>
          <w:szCs w:val="32"/>
          <w:highlight w:val="none"/>
          <w:lang w:val="en-US" w:eastAsia="zh-CN"/>
        </w:rPr>
        <w:t>作为产研院（青岛）总部，免房租使用期限</w:t>
      </w:r>
      <w:r>
        <w:rPr>
          <w:rFonts w:hint="eastAsia" w:ascii="仿宋_GB2312" w:eastAsia="仿宋_GB2312"/>
          <w:b w:val="0"/>
          <w:bCs w:val="0"/>
          <w:color w:val="auto"/>
          <w:sz w:val="32"/>
          <w:szCs w:val="32"/>
          <w:highlight w:val="none"/>
          <w:lang w:val="en-US" w:eastAsia="zh-CN"/>
        </w:rPr>
        <w:t>5年（</w:t>
      </w:r>
      <w:r>
        <w:rPr>
          <w:rFonts w:hint="default" w:ascii="仿宋_GB2312" w:eastAsia="仿宋_GB2312"/>
          <w:b w:val="0"/>
          <w:bCs w:val="0"/>
          <w:color w:val="auto"/>
          <w:sz w:val="32"/>
          <w:szCs w:val="32"/>
          <w:highlight w:val="none"/>
          <w:lang w:val="en-US" w:eastAsia="zh-CN"/>
        </w:rPr>
        <w:t>202</w:t>
      </w:r>
      <w:r>
        <w:rPr>
          <w:rFonts w:hint="eastAsia" w:ascii="仿宋_GB2312" w:eastAsia="仿宋_GB2312"/>
          <w:b w:val="0"/>
          <w:bCs w:val="0"/>
          <w:color w:val="auto"/>
          <w:sz w:val="32"/>
          <w:szCs w:val="32"/>
          <w:highlight w:val="none"/>
          <w:lang w:val="en-US" w:eastAsia="zh-CN"/>
        </w:rPr>
        <w:t>2年—</w:t>
      </w:r>
      <w:r>
        <w:rPr>
          <w:rFonts w:hint="default" w:ascii="仿宋_GB2312" w:eastAsia="仿宋_GB2312"/>
          <w:b w:val="0"/>
          <w:bCs w:val="0"/>
          <w:color w:val="auto"/>
          <w:sz w:val="32"/>
          <w:szCs w:val="32"/>
          <w:highlight w:val="none"/>
          <w:lang w:val="en-US" w:eastAsia="zh-CN"/>
        </w:rPr>
        <w:t>202</w:t>
      </w:r>
      <w:r>
        <w:rPr>
          <w:rFonts w:hint="eastAsia" w:ascii="仿宋_GB2312" w:eastAsia="仿宋_GB2312"/>
          <w:b w:val="0"/>
          <w:bCs w:val="0"/>
          <w:color w:val="auto"/>
          <w:sz w:val="32"/>
          <w:szCs w:val="32"/>
          <w:highlight w:val="none"/>
          <w:lang w:val="en-US" w:eastAsia="zh-CN"/>
        </w:rPr>
        <w:t>6</w:t>
      </w:r>
      <w:r>
        <w:rPr>
          <w:rFonts w:hint="default" w:ascii="仿宋_GB2312" w:eastAsia="仿宋_GB2312"/>
          <w:b w:val="0"/>
          <w:bCs w:val="0"/>
          <w:color w:val="auto"/>
          <w:sz w:val="32"/>
          <w:szCs w:val="32"/>
          <w:highlight w:val="none"/>
          <w:lang w:val="en-US" w:eastAsia="zh-CN"/>
        </w:rPr>
        <w:t>年）</w:t>
      </w:r>
      <w:r>
        <w:rPr>
          <w:rFonts w:hint="eastAsia" w:ascii="仿宋_GB2312" w:eastAsia="仿宋_GB2312"/>
          <w:b w:val="0"/>
          <w:bCs w:val="0"/>
          <w:color w:val="auto"/>
          <w:sz w:val="32"/>
          <w:szCs w:val="32"/>
          <w:highlight w:val="none"/>
          <w:lang w:val="en-US" w:eastAsia="zh-CN"/>
        </w:rPr>
        <w:t>，同时给予装修补贴不超过2500万元。截至2024年底，市、区两级累计拨付运营补贴14500万元（市级9500万元、崂山区5000万元），</w:t>
      </w:r>
      <w:r>
        <w:rPr>
          <w:rFonts w:hint="eastAsia" w:ascii="仿宋_GB2312" w:hAnsi="Times New Roman" w:eastAsia="仿宋_GB2312" w:cs="Times New Roman"/>
          <w:b w:val="0"/>
          <w:bCs w:val="0"/>
          <w:color w:val="auto"/>
          <w:sz w:val="32"/>
          <w:szCs w:val="32"/>
          <w:highlight w:val="none"/>
          <w:lang w:val="en-US" w:eastAsia="zh-CN"/>
        </w:rPr>
        <w:t>实际执行12386.23万元；崂山区已拨付</w:t>
      </w:r>
      <w:r>
        <w:rPr>
          <w:rFonts w:hint="eastAsia" w:ascii="仿宋_GB2312" w:eastAsia="仿宋_GB2312"/>
          <w:b w:val="0"/>
          <w:bCs w:val="0"/>
          <w:color w:val="auto"/>
          <w:sz w:val="32"/>
          <w:szCs w:val="32"/>
          <w:highlight w:val="none"/>
          <w:lang w:val="en-US" w:eastAsia="zh-CN"/>
        </w:rPr>
        <w:t>装修补贴1850万元，实际执行1850万元。</w:t>
      </w:r>
      <w:r>
        <w:rPr>
          <w:rFonts w:hint="eastAsia" w:ascii="仿宋_GB2312" w:hAnsi="Times New Roman" w:eastAsia="仿宋_GB2312" w:cs="Times New Roman"/>
          <w:b w:val="0"/>
          <w:bCs w:val="0"/>
          <w:color w:val="auto"/>
          <w:sz w:val="32"/>
          <w:szCs w:val="32"/>
          <w:highlight w:val="none"/>
          <w:lang w:val="en-US" w:eastAsia="zh-CN"/>
        </w:rPr>
        <w:t>2024年度，市级专项资金预算2000万元，实际执行842.64万元。具体如下表所示。</w:t>
      </w:r>
    </w:p>
    <w:p>
      <w:pPr>
        <w:pStyle w:val="1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表1-1产研院（青岛）资金与场地支持情况表</w:t>
      </w:r>
    </w:p>
    <w:tbl>
      <w:tblPr>
        <w:tblStyle w:val="13"/>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982"/>
        <w:gridCol w:w="1995"/>
        <w:gridCol w:w="1287"/>
        <w:gridCol w:w="1200"/>
        <w:gridCol w:w="900"/>
        <w:gridCol w:w="1217"/>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605" w:type="dxa"/>
            <w:vMerge w:val="restart"/>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支持主体</w:t>
            </w:r>
          </w:p>
        </w:tc>
        <w:tc>
          <w:tcPr>
            <w:tcW w:w="982" w:type="dxa"/>
            <w:vMerge w:val="restart"/>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支持类型</w:t>
            </w:r>
          </w:p>
        </w:tc>
        <w:tc>
          <w:tcPr>
            <w:tcW w:w="1995" w:type="dxa"/>
            <w:vMerge w:val="restart"/>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支持方式</w:t>
            </w:r>
            <w:r>
              <w:rPr>
                <w:rFonts w:hint="eastAsia" w:ascii="宋体" w:hAnsi="宋体" w:cs="宋体"/>
                <w:b/>
                <w:bCs/>
                <w:color w:val="auto"/>
                <w:sz w:val="18"/>
                <w:szCs w:val="18"/>
                <w:highlight w:val="none"/>
                <w:vertAlign w:val="baseline"/>
                <w:lang w:val="en-US" w:eastAsia="zh-CN"/>
              </w:rPr>
              <w:t>及规模</w:t>
            </w:r>
          </w:p>
        </w:tc>
        <w:tc>
          <w:tcPr>
            <w:tcW w:w="2487" w:type="dxa"/>
            <w:gridSpan w:val="2"/>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已落实到位情况</w:t>
            </w:r>
          </w:p>
        </w:tc>
        <w:tc>
          <w:tcPr>
            <w:tcW w:w="2117" w:type="dxa"/>
            <w:gridSpan w:val="2"/>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实际执行/使用情况</w:t>
            </w:r>
          </w:p>
        </w:tc>
        <w:tc>
          <w:tcPr>
            <w:tcW w:w="950" w:type="dxa"/>
            <w:vMerge w:val="restart"/>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trPr>
        <w:tc>
          <w:tcPr>
            <w:tcW w:w="605"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p>
        </w:tc>
        <w:tc>
          <w:tcPr>
            <w:tcW w:w="982"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p>
        </w:tc>
        <w:tc>
          <w:tcPr>
            <w:tcW w:w="1995"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p>
        </w:tc>
        <w:tc>
          <w:tcPr>
            <w:tcW w:w="128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累计</w:t>
            </w:r>
          </w:p>
        </w:tc>
        <w:tc>
          <w:tcPr>
            <w:tcW w:w="12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2024年度</w:t>
            </w:r>
          </w:p>
        </w:tc>
        <w:tc>
          <w:tcPr>
            <w:tcW w:w="9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累计</w:t>
            </w:r>
          </w:p>
        </w:tc>
        <w:tc>
          <w:tcPr>
            <w:tcW w:w="121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至2025年7月31日</w:t>
            </w:r>
          </w:p>
        </w:tc>
        <w:tc>
          <w:tcPr>
            <w:tcW w:w="950"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605"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市级</w:t>
            </w:r>
          </w:p>
        </w:tc>
        <w:tc>
          <w:tcPr>
            <w:tcW w:w="982"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建设、运营及项目转化</w:t>
            </w:r>
            <w:r>
              <w:rPr>
                <w:rFonts w:hint="eastAsia" w:ascii="宋体" w:hAnsi="宋体" w:cs="宋体"/>
                <w:b w:val="0"/>
                <w:bCs w:val="0"/>
                <w:color w:val="auto"/>
                <w:sz w:val="18"/>
                <w:szCs w:val="18"/>
                <w:highlight w:val="none"/>
                <w:vertAlign w:val="baseline"/>
                <w:lang w:val="en-US" w:eastAsia="zh-CN"/>
              </w:rPr>
              <w:t>落地</w:t>
            </w:r>
            <w:r>
              <w:rPr>
                <w:rFonts w:hint="eastAsia" w:ascii="宋体" w:hAnsi="宋体" w:eastAsia="宋体" w:cs="宋体"/>
                <w:b w:val="0"/>
                <w:bCs w:val="0"/>
                <w:color w:val="auto"/>
                <w:sz w:val="18"/>
                <w:szCs w:val="18"/>
                <w:highlight w:val="none"/>
                <w:vertAlign w:val="baseline"/>
                <w:lang w:val="en-US" w:eastAsia="zh-CN"/>
              </w:rPr>
              <w:t>资金</w:t>
            </w:r>
          </w:p>
        </w:tc>
        <w:tc>
          <w:tcPr>
            <w:tcW w:w="1995"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累计提供资金10000万元，</w:t>
            </w:r>
            <w:r>
              <w:rPr>
                <w:rFonts w:hint="eastAsia" w:ascii="宋体" w:hAnsi="宋体" w:eastAsia="宋体" w:cs="宋体"/>
                <w:b w:val="0"/>
                <w:bCs w:val="0"/>
                <w:color w:val="auto"/>
                <w:sz w:val="18"/>
                <w:szCs w:val="18"/>
                <w:highlight w:val="none"/>
                <w:vertAlign w:val="baseline"/>
                <w:lang w:val="en-US" w:eastAsia="zh-CN"/>
              </w:rPr>
              <w:t>根据项目进度及绩效分年度拨付</w:t>
            </w:r>
          </w:p>
        </w:tc>
        <w:tc>
          <w:tcPr>
            <w:tcW w:w="128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9500万元</w:t>
            </w:r>
          </w:p>
        </w:tc>
        <w:tc>
          <w:tcPr>
            <w:tcW w:w="12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2000万元</w:t>
            </w:r>
          </w:p>
        </w:tc>
        <w:tc>
          <w:tcPr>
            <w:tcW w:w="9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7386.23万元</w:t>
            </w:r>
          </w:p>
        </w:tc>
        <w:tc>
          <w:tcPr>
            <w:tcW w:w="121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842.64万元</w:t>
            </w:r>
          </w:p>
        </w:tc>
        <w:tc>
          <w:tcPr>
            <w:tcW w:w="95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应付未付964.37万元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05" w:type="dxa"/>
            <w:vMerge w:val="restart"/>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崂山区</w:t>
            </w:r>
          </w:p>
        </w:tc>
        <w:tc>
          <w:tcPr>
            <w:tcW w:w="982" w:type="dxa"/>
            <w:vMerge w:val="restart"/>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场地支持</w:t>
            </w:r>
          </w:p>
        </w:tc>
        <w:tc>
          <w:tcPr>
            <w:tcW w:w="1995"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提供青岛国际创新园J座楼宇作为总部，免房租</w:t>
            </w:r>
            <w:r>
              <w:rPr>
                <w:rFonts w:hint="eastAsia" w:ascii="宋体" w:hAnsi="宋体" w:cs="宋体"/>
                <w:b w:val="0"/>
                <w:bCs w:val="0"/>
                <w:color w:val="auto"/>
                <w:sz w:val="18"/>
                <w:szCs w:val="18"/>
                <w:highlight w:val="none"/>
                <w:vertAlign w:val="baseline"/>
                <w:lang w:val="en-US" w:eastAsia="zh-CN"/>
              </w:rPr>
              <w:t>5年（2022—2026年）</w:t>
            </w:r>
          </w:p>
        </w:tc>
        <w:tc>
          <w:tcPr>
            <w:tcW w:w="128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提供青岛国际创新园J座</w:t>
            </w:r>
            <w:r>
              <w:rPr>
                <w:rFonts w:hint="eastAsia" w:ascii="宋体" w:hAnsi="宋体" w:cs="宋体"/>
                <w:b w:val="0"/>
                <w:bCs w:val="0"/>
                <w:color w:val="auto"/>
                <w:sz w:val="18"/>
                <w:szCs w:val="18"/>
                <w:highlight w:val="none"/>
                <w:vertAlign w:val="baseline"/>
                <w:lang w:val="en-US" w:eastAsia="zh-CN"/>
              </w:rPr>
              <w:t>29597.84㎡</w:t>
            </w:r>
            <w:r>
              <w:rPr>
                <w:rFonts w:hint="eastAsia" w:ascii="宋体" w:hAnsi="宋体" w:eastAsia="宋体" w:cs="宋体"/>
                <w:b w:val="0"/>
                <w:bCs w:val="0"/>
                <w:color w:val="auto"/>
                <w:sz w:val="18"/>
                <w:szCs w:val="18"/>
                <w:highlight w:val="none"/>
                <w:vertAlign w:val="baseline"/>
                <w:lang w:val="en-US" w:eastAsia="zh-CN"/>
              </w:rPr>
              <w:t>作为总部，免房租</w:t>
            </w:r>
            <w:r>
              <w:rPr>
                <w:rFonts w:hint="eastAsia" w:ascii="宋体" w:hAnsi="宋体" w:cs="宋体"/>
                <w:b w:val="0"/>
                <w:bCs w:val="0"/>
                <w:color w:val="auto"/>
                <w:sz w:val="18"/>
                <w:szCs w:val="18"/>
                <w:highlight w:val="none"/>
                <w:vertAlign w:val="baseline"/>
                <w:lang w:val="en-US" w:eastAsia="zh-CN"/>
              </w:rPr>
              <w:t>5年（2022年—2026年）</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提供青岛国际创新园J座</w:t>
            </w:r>
            <w:r>
              <w:rPr>
                <w:rFonts w:hint="eastAsia" w:ascii="宋体" w:hAnsi="宋体" w:cs="宋体"/>
                <w:b w:val="0"/>
                <w:bCs w:val="0"/>
                <w:color w:val="auto"/>
                <w:sz w:val="18"/>
                <w:szCs w:val="18"/>
                <w:highlight w:val="none"/>
                <w:vertAlign w:val="baseline"/>
                <w:lang w:val="en-US" w:eastAsia="zh-CN"/>
              </w:rPr>
              <w:t>29597.84㎡</w:t>
            </w:r>
            <w:r>
              <w:rPr>
                <w:rFonts w:hint="eastAsia" w:ascii="宋体" w:hAnsi="宋体" w:eastAsia="宋体" w:cs="宋体"/>
                <w:b w:val="0"/>
                <w:bCs w:val="0"/>
                <w:color w:val="auto"/>
                <w:sz w:val="18"/>
                <w:szCs w:val="18"/>
                <w:highlight w:val="none"/>
                <w:vertAlign w:val="baseline"/>
                <w:lang w:val="en-US" w:eastAsia="zh-CN"/>
              </w:rPr>
              <w:t>作为总部，免房租</w:t>
            </w:r>
            <w:r>
              <w:rPr>
                <w:rFonts w:hint="eastAsia" w:ascii="宋体" w:hAnsi="宋体" w:cs="宋体"/>
                <w:b w:val="0"/>
                <w:bCs w:val="0"/>
                <w:color w:val="auto"/>
                <w:sz w:val="18"/>
                <w:szCs w:val="18"/>
                <w:highlight w:val="none"/>
                <w:vertAlign w:val="baseline"/>
                <w:lang w:val="en-US" w:eastAsia="zh-CN"/>
              </w:rPr>
              <w:t>5年（2022年—2026年）</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w:t>
            </w:r>
          </w:p>
        </w:tc>
        <w:tc>
          <w:tcPr>
            <w:tcW w:w="121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实际使用面积</w:t>
            </w:r>
            <w:r>
              <w:rPr>
                <w:rFonts w:hint="default" w:ascii="宋体" w:hAnsi="宋体" w:eastAsia="宋体" w:cs="宋体"/>
                <w:b w:val="0"/>
                <w:bCs w:val="0"/>
                <w:color w:val="auto"/>
                <w:sz w:val="18"/>
                <w:szCs w:val="18"/>
                <w:highlight w:val="none"/>
                <w:vertAlign w:val="baseline"/>
                <w:lang w:val="en-US" w:eastAsia="zh-CN"/>
              </w:rPr>
              <w:t>23419.49㎡</w:t>
            </w:r>
            <w:r>
              <w:rPr>
                <w:rFonts w:hint="eastAsia" w:ascii="宋体" w:hAnsi="宋体" w:cs="宋体"/>
                <w:b w:val="0"/>
                <w:bCs w:val="0"/>
                <w:color w:val="auto"/>
                <w:sz w:val="18"/>
                <w:szCs w:val="18"/>
                <w:highlight w:val="none"/>
                <w:vertAlign w:val="baseline"/>
                <w:lang w:val="en-US" w:eastAsia="zh-CN"/>
              </w:rPr>
              <w:t>（使用率79.1%）</w:t>
            </w:r>
          </w:p>
        </w:tc>
        <w:tc>
          <w:tcPr>
            <w:tcW w:w="95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605"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p>
        </w:tc>
        <w:tc>
          <w:tcPr>
            <w:tcW w:w="982"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p>
        </w:tc>
        <w:tc>
          <w:tcPr>
            <w:tcW w:w="1995"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给予装修补贴</w:t>
            </w:r>
            <w:r>
              <w:rPr>
                <w:rFonts w:hint="eastAsia" w:ascii="宋体" w:hAnsi="宋体" w:cs="宋体"/>
                <w:b w:val="0"/>
                <w:bCs w:val="0"/>
                <w:color w:val="auto"/>
                <w:sz w:val="18"/>
                <w:szCs w:val="18"/>
                <w:highlight w:val="none"/>
                <w:vertAlign w:val="baseline"/>
                <w:lang w:val="en-US" w:eastAsia="zh-CN"/>
              </w:rPr>
              <w:t>不超过</w:t>
            </w:r>
            <w:r>
              <w:rPr>
                <w:rFonts w:hint="eastAsia" w:ascii="宋体" w:hAnsi="宋体" w:eastAsia="宋体" w:cs="宋体"/>
                <w:b w:val="0"/>
                <w:bCs w:val="0"/>
                <w:color w:val="auto"/>
                <w:sz w:val="18"/>
                <w:szCs w:val="18"/>
                <w:highlight w:val="none"/>
                <w:vertAlign w:val="baseline"/>
                <w:lang w:val="en-US" w:eastAsia="zh-CN"/>
              </w:rPr>
              <w:t>2500万元</w:t>
            </w:r>
            <w:r>
              <w:rPr>
                <w:rFonts w:hint="eastAsia" w:ascii="宋体" w:hAnsi="宋体" w:cs="宋体"/>
                <w:b w:val="0"/>
                <w:bCs w:val="0"/>
                <w:color w:val="auto"/>
                <w:sz w:val="18"/>
                <w:szCs w:val="18"/>
                <w:highlight w:val="none"/>
                <w:vertAlign w:val="baseline"/>
                <w:lang w:val="en-US" w:eastAsia="zh-CN"/>
              </w:rPr>
              <w:t>，用于</w:t>
            </w:r>
            <w:r>
              <w:rPr>
                <w:rFonts w:hint="eastAsia" w:ascii="宋体" w:hAnsi="宋体" w:eastAsia="宋体" w:cs="宋体"/>
                <w:b w:val="0"/>
                <w:bCs w:val="0"/>
                <w:color w:val="auto"/>
                <w:sz w:val="18"/>
                <w:szCs w:val="18"/>
                <w:highlight w:val="none"/>
                <w:vertAlign w:val="baseline"/>
                <w:lang w:val="en-US" w:eastAsia="zh-CN"/>
              </w:rPr>
              <w:t>创新园J座全部办公区域和展厅进行装修</w:t>
            </w:r>
          </w:p>
        </w:tc>
        <w:tc>
          <w:tcPr>
            <w:tcW w:w="128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1850万元</w:t>
            </w:r>
          </w:p>
        </w:tc>
        <w:tc>
          <w:tcPr>
            <w:tcW w:w="12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w:t>
            </w:r>
          </w:p>
        </w:tc>
        <w:tc>
          <w:tcPr>
            <w:tcW w:w="9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1850</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万元</w:t>
            </w:r>
          </w:p>
        </w:tc>
        <w:tc>
          <w:tcPr>
            <w:tcW w:w="121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w:t>
            </w:r>
          </w:p>
        </w:tc>
        <w:tc>
          <w:tcPr>
            <w:tcW w:w="95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05"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p>
        </w:tc>
        <w:tc>
          <w:tcPr>
            <w:tcW w:w="982"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人才公寓</w:t>
            </w:r>
          </w:p>
        </w:tc>
        <w:tc>
          <w:tcPr>
            <w:tcW w:w="1995"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配套享受优惠政策的人才公寓100套</w:t>
            </w:r>
          </w:p>
        </w:tc>
        <w:tc>
          <w:tcPr>
            <w:tcW w:w="128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按需提供人才公寓</w:t>
            </w:r>
          </w:p>
        </w:tc>
        <w:tc>
          <w:tcPr>
            <w:tcW w:w="12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提供公寓60套</w:t>
            </w:r>
          </w:p>
        </w:tc>
        <w:tc>
          <w:tcPr>
            <w:tcW w:w="9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w:t>
            </w:r>
          </w:p>
        </w:tc>
        <w:tc>
          <w:tcPr>
            <w:tcW w:w="121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2025年7月4日—16日退还30套，剩余30套人才公寓使用19套，使用率63.33%）</w:t>
            </w:r>
          </w:p>
        </w:tc>
        <w:tc>
          <w:tcPr>
            <w:tcW w:w="95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05" w:type="dxa"/>
            <w:vMerge w:val="continue"/>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p>
        </w:tc>
        <w:tc>
          <w:tcPr>
            <w:tcW w:w="982"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运营经费补贴</w:t>
            </w:r>
          </w:p>
        </w:tc>
        <w:tc>
          <w:tcPr>
            <w:tcW w:w="1995"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提供运营经费补贴20000万元</w:t>
            </w:r>
            <w:r>
              <w:rPr>
                <w:rFonts w:hint="eastAsia" w:ascii="宋体" w:hAnsi="宋体" w:cs="宋体"/>
                <w:b w:val="0"/>
                <w:bCs w:val="0"/>
                <w:color w:val="auto"/>
                <w:sz w:val="18"/>
                <w:szCs w:val="18"/>
                <w:highlight w:val="none"/>
                <w:vertAlign w:val="baseline"/>
                <w:lang w:val="en-US" w:eastAsia="zh-CN"/>
              </w:rPr>
              <w:t>（</w:t>
            </w:r>
            <w:r>
              <w:rPr>
                <w:rFonts w:hint="eastAsia" w:ascii="宋体" w:hAnsi="宋体" w:eastAsia="宋体" w:cs="宋体"/>
                <w:b w:val="0"/>
                <w:bCs w:val="0"/>
                <w:color w:val="auto"/>
                <w:sz w:val="18"/>
                <w:szCs w:val="18"/>
                <w:highlight w:val="none"/>
                <w:vertAlign w:val="baseline"/>
                <w:lang w:val="en-US" w:eastAsia="zh-CN"/>
              </w:rPr>
              <w:t>其中，</w:t>
            </w:r>
            <w:r>
              <w:rPr>
                <w:rFonts w:hint="default" w:ascii="宋体" w:hAnsi="宋体" w:eastAsia="宋体" w:cs="宋体"/>
                <w:b w:val="0"/>
                <w:bCs w:val="0"/>
                <w:color w:val="auto"/>
                <w:sz w:val="18"/>
                <w:szCs w:val="18"/>
                <w:highlight w:val="none"/>
                <w:vertAlign w:val="baseline"/>
                <w:lang w:val="en-US" w:eastAsia="zh-CN"/>
              </w:rPr>
              <w:t>2021年1</w:t>
            </w:r>
            <w:r>
              <w:rPr>
                <w:rFonts w:hint="eastAsia" w:ascii="宋体" w:hAnsi="宋体" w:eastAsia="宋体" w:cs="宋体"/>
                <w:b w:val="0"/>
                <w:bCs w:val="0"/>
                <w:color w:val="auto"/>
                <w:sz w:val="18"/>
                <w:szCs w:val="18"/>
                <w:highlight w:val="none"/>
                <w:vertAlign w:val="baseline"/>
                <w:lang w:val="en-US" w:eastAsia="zh-CN"/>
              </w:rPr>
              <w:t>0000万</w:t>
            </w:r>
            <w:r>
              <w:rPr>
                <w:rFonts w:hint="default" w:ascii="宋体" w:hAnsi="宋体" w:eastAsia="宋体" w:cs="宋体"/>
                <w:b w:val="0"/>
                <w:bCs w:val="0"/>
                <w:color w:val="auto"/>
                <w:sz w:val="18"/>
                <w:szCs w:val="18"/>
                <w:highlight w:val="none"/>
                <w:vertAlign w:val="baseline"/>
                <w:lang w:val="en-US" w:eastAsia="zh-CN"/>
              </w:rPr>
              <w:t>元、2022年5000万元、2023年5000万元</w:t>
            </w:r>
            <w:r>
              <w:rPr>
                <w:rFonts w:hint="eastAsia" w:ascii="宋体" w:hAnsi="宋体" w:eastAsia="宋体" w:cs="宋体"/>
                <w:b w:val="0"/>
                <w:bCs w:val="0"/>
                <w:color w:val="auto"/>
                <w:sz w:val="18"/>
                <w:szCs w:val="18"/>
                <w:highlight w:val="none"/>
                <w:vertAlign w:val="baseline"/>
                <w:lang w:val="en-US" w:eastAsia="zh-CN"/>
              </w:rPr>
              <w:t>）</w:t>
            </w:r>
          </w:p>
        </w:tc>
        <w:tc>
          <w:tcPr>
            <w:tcW w:w="128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5000万元</w:t>
            </w:r>
          </w:p>
        </w:tc>
        <w:tc>
          <w:tcPr>
            <w:tcW w:w="12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w:t>
            </w:r>
          </w:p>
        </w:tc>
        <w:tc>
          <w:tcPr>
            <w:tcW w:w="90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5000</w:t>
            </w:r>
          </w:p>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万元</w:t>
            </w:r>
          </w:p>
        </w:tc>
        <w:tc>
          <w:tcPr>
            <w:tcW w:w="1217"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b w:val="0"/>
                <w:bCs w:val="0"/>
                <w:color w:val="auto"/>
                <w:sz w:val="18"/>
                <w:szCs w:val="18"/>
                <w:highlight w:val="none"/>
                <w:vertAlign w:val="baseline"/>
                <w:lang w:val="en-US" w:eastAsia="zh-CN"/>
              </w:rPr>
            </w:pPr>
            <w:r>
              <w:rPr>
                <w:rFonts w:hint="eastAsia" w:ascii="宋体" w:hAnsi="宋体" w:cs="宋体"/>
                <w:b w:val="0"/>
                <w:bCs w:val="0"/>
                <w:color w:val="auto"/>
                <w:sz w:val="18"/>
                <w:szCs w:val="18"/>
                <w:highlight w:val="none"/>
                <w:vertAlign w:val="baseline"/>
                <w:lang w:val="en-US" w:eastAsia="zh-CN"/>
              </w:rPr>
              <w:t>-</w:t>
            </w:r>
          </w:p>
        </w:tc>
        <w:tc>
          <w:tcPr>
            <w:tcW w:w="950"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sz w:val="18"/>
                <w:szCs w:val="18"/>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line="59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（二）项目绩效目标</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1.总体目标</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b w:val="0"/>
          <w:bCs w:val="0"/>
          <w:color w:val="auto"/>
          <w:sz w:val="32"/>
          <w:szCs w:val="40"/>
          <w:highlight w:val="none"/>
          <w:lang w:eastAsia="zh-CN"/>
        </w:rPr>
        <w:t>根据</w:t>
      </w:r>
      <w:r>
        <w:rPr>
          <w:rFonts w:hint="eastAsia" w:ascii="仿宋_GB2312" w:hAnsi="仿宋_GB2312" w:eastAsia="仿宋_GB2312" w:cs="仿宋_GB2312"/>
          <w:b w:val="0"/>
          <w:bCs w:val="0"/>
          <w:color w:val="auto"/>
          <w:sz w:val="32"/>
          <w:szCs w:val="40"/>
          <w:highlight w:val="none"/>
          <w:lang w:val="en-US" w:eastAsia="zh-CN"/>
        </w:rPr>
        <w:t>山东产研院与</w:t>
      </w:r>
      <w:r>
        <w:rPr>
          <w:rFonts w:hint="eastAsia" w:ascii="仿宋_GB2312" w:hAnsi="仿宋_GB2312" w:eastAsia="仿宋_GB2312" w:cs="仿宋_GB2312"/>
          <w:b w:val="0"/>
          <w:bCs w:val="0"/>
          <w:color w:val="auto"/>
          <w:sz w:val="32"/>
          <w:szCs w:val="40"/>
          <w:highlight w:val="none"/>
          <w:lang w:eastAsia="zh-CN"/>
        </w:rPr>
        <w:t>市科技局、</w:t>
      </w:r>
      <w:r>
        <w:rPr>
          <w:rFonts w:hint="eastAsia" w:ascii="仿宋_GB2312" w:hAnsi="仿宋_GB2312" w:eastAsia="仿宋_GB2312" w:cs="仿宋_GB2312"/>
          <w:b w:val="0"/>
          <w:bCs w:val="0"/>
          <w:color w:val="auto"/>
          <w:sz w:val="32"/>
          <w:szCs w:val="40"/>
          <w:highlight w:val="none"/>
          <w:lang w:val="en-US" w:eastAsia="zh-CN"/>
        </w:rPr>
        <w:t>崂山</w:t>
      </w:r>
      <w:r>
        <w:rPr>
          <w:rFonts w:hint="eastAsia" w:ascii="仿宋_GB2312" w:hAnsi="仿宋_GB2312" w:eastAsia="仿宋_GB2312" w:cs="仿宋_GB2312"/>
          <w:b w:val="0"/>
          <w:bCs w:val="0"/>
          <w:color w:val="auto"/>
          <w:sz w:val="32"/>
          <w:szCs w:val="40"/>
          <w:highlight w:val="none"/>
          <w:lang w:eastAsia="zh-CN"/>
        </w:rPr>
        <w:t>区人民政府签订的《</w:t>
      </w:r>
      <w:r>
        <w:rPr>
          <w:rFonts w:hint="eastAsia" w:ascii="仿宋_GB2312" w:hAnsi="仿宋_GB2312" w:eastAsia="仿宋_GB2312" w:cs="仿宋_GB2312"/>
          <w:b w:val="0"/>
          <w:bCs w:val="0"/>
          <w:color w:val="auto"/>
          <w:sz w:val="32"/>
          <w:szCs w:val="40"/>
          <w:highlight w:val="none"/>
          <w:lang w:val="en-US" w:eastAsia="zh-CN"/>
        </w:rPr>
        <w:t>共建协议</w:t>
      </w:r>
      <w:r>
        <w:rPr>
          <w:rFonts w:hint="eastAsia" w:ascii="仿宋_GB2312" w:hAnsi="仿宋_GB2312" w:eastAsia="仿宋_GB2312" w:cs="仿宋_GB2312"/>
          <w:b w:val="0"/>
          <w:bCs w:val="0"/>
          <w:color w:val="auto"/>
          <w:sz w:val="32"/>
          <w:szCs w:val="40"/>
          <w:highlight w:val="none"/>
          <w:lang w:eastAsia="zh-CN"/>
        </w:rPr>
        <w:t>》</w:t>
      </w:r>
      <w:r>
        <w:rPr>
          <w:rFonts w:hint="eastAsia" w:ascii="仿宋_GB2312" w:hAnsi="仿宋_GB2312" w:eastAsia="仿宋_GB2312" w:cs="仿宋_GB2312"/>
          <w:b w:val="0"/>
          <w:bCs w:val="0"/>
          <w:color w:val="auto"/>
          <w:sz w:val="32"/>
          <w:szCs w:val="40"/>
          <w:highlight w:val="none"/>
          <w:lang w:val="en-US" w:eastAsia="zh-CN"/>
        </w:rPr>
        <w:t>及青科基字〔2022〕9号</w:t>
      </w:r>
      <w:r>
        <w:rPr>
          <w:rFonts w:hint="eastAsia" w:ascii="仿宋_GB2312" w:hAnsi="仿宋_GB2312" w:eastAsia="仿宋_GB2312" w:cs="仿宋_GB2312"/>
          <w:b w:val="0"/>
          <w:bCs w:val="0"/>
          <w:color w:val="auto"/>
          <w:sz w:val="32"/>
          <w:szCs w:val="40"/>
          <w:highlight w:val="none"/>
          <w:lang w:eastAsia="zh-CN"/>
        </w:rPr>
        <w:t>，</w:t>
      </w:r>
      <w:r>
        <w:rPr>
          <w:rFonts w:hint="eastAsia" w:ascii="仿宋_GB2312" w:hAnsi="仿宋_GB2312" w:eastAsia="仿宋_GB2312" w:cs="仿宋_GB2312"/>
          <w:b w:val="0"/>
          <w:bCs w:val="0"/>
          <w:color w:val="auto"/>
          <w:sz w:val="32"/>
          <w:szCs w:val="40"/>
          <w:highlight w:val="none"/>
          <w:lang w:val="en-US" w:eastAsia="zh-CN"/>
        </w:rPr>
        <w:t>本</w:t>
      </w:r>
      <w:r>
        <w:rPr>
          <w:rFonts w:hint="eastAsia" w:ascii="仿宋_GB2312" w:hAnsi="仿宋_GB2312" w:eastAsia="仿宋_GB2312" w:cs="仿宋_GB2312"/>
          <w:b w:val="0"/>
          <w:bCs w:val="0"/>
          <w:color w:val="auto"/>
          <w:sz w:val="32"/>
          <w:szCs w:val="40"/>
          <w:highlight w:val="none"/>
          <w:lang w:eastAsia="zh-CN"/>
        </w:rPr>
        <w:t>项目的总体目标为：</w:t>
      </w:r>
      <w:r>
        <w:rPr>
          <w:rFonts w:hint="eastAsia" w:ascii="仿宋_GB2312" w:hAnsi="仿宋_GB2312" w:eastAsia="仿宋_GB2312" w:cs="仿宋_GB2312"/>
          <w:color w:val="auto"/>
          <w:sz w:val="32"/>
          <w:szCs w:val="40"/>
          <w:highlight w:val="none"/>
          <w:lang w:val="en-US" w:eastAsia="zh-CN"/>
        </w:rPr>
        <w:t>至</w:t>
      </w:r>
      <w:r>
        <w:rPr>
          <w:rFonts w:hint="eastAsia" w:ascii="仿宋_GB2312" w:hAnsi="仿宋_GB2312" w:eastAsia="仿宋_GB2312" w:cs="仿宋_GB2312"/>
          <w:color w:val="auto"/>
          <w:sz w:val="32"/>
          <w:szCs w:val="40"/>
          <w:highlight w:val="none"/>
        </w:rPr>
        <w:t>202</w:t>
      </w:r>
      <w:r>
        <w:rPr>
          <w:rFonts w:hint="eastAsia" w:ascii="仿宋_GB2312" w:hAnsi="仿宋_GB2312" w:eastAsia="仿宋_GB2312" w:cs="仿宋_GB2312"/>
          <w:color w:val="auto"/>
          <w:sz w:val="32"/>
          <w:szCs w:val="40"/>
          <w:highlight w:val="none"/>
          <w:lang w:val="en-US" w:eastAsia="zh-CN"/>
        </w:rPr>
        <w:t>6</w:t>
      </w:r>
      <w:r>
        <w:rPr>
          <w:rFonts w:hint="eastAsia" w:ascii="仿宋_GB2312" w:hAnsi="仿宋_GB2312" w:eastAsia="仿宋_GB2312" w:cs="仿宋_GB2312"/>
          <w:color w:val="auto"/>
          <w:sz w:val="32"/>
          <w:szCs w:val="40"/>
          <w:highlight w:val="none"/>
        </w:rPr>
        <w:t>年</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原计划为2025年，因办公场地交付延期，任务期延后</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，以崂山区为主引进及孵化企业120家以上，撬动社会投资50亿元以上，转移转化先进技术200项以上</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培育高新技术企业30家，引进、培育各类上市企业3-5家</w:t>
      </w:r>
      <w:r>
        <w:rPr>
          <w:rStyle w:val="16"/>
          <w:rFonts w:hint="eastAsia" w:ascii="仿宋_GB2312" w:hAnsi="仿宋_GB2312" w:eastAsia="仿宋_GB2312" w:cs="仿宋_GB2312"/>
          <w:color w:val="auto"/>
          <w:sz w:val="32"/>
          <w:szCs w:val="40"/>
          <w:highlight w:val="none"/>
        </w:rPr>
        <w:footnoteReference w:id="0"/>
      </w:r>
      <w:r>
        <w:rPr>
          <w:rFonts w:hint="eastAsia" w:ascii="仿宋_GB2312" w:hAnsi="仿宋_GB2312" w:eastAsia="仿宋_GB2312" w:cs="仿宋_GB2312"/>
          <w:color w:val="auto"/>
          <w:sz w:val="32"/>
          <w:szCs w:val="40"/>
          <w:highlight w:val="none"/>
        </w:rPr>
        <w:t>。</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2.</w:t>
      </w:r>
      <w:r>
        <w:rPr>
          <w:rFonts w:hint="eastAsia" w:ascii="仿宋_GB2312" w:hAnsi="仿宋_GB2312" w:eastAsia="仿宋_GB2312" w:cs="仿宋_GB2312"/>
          <w:b/>
          <w:bCs/>
          <w:color w:val="auto"/>
          <w:sz w:val="32"/>
          <w:szCs w:val="40"/>
          <w:highlight w:val="none"/>
          <w:lang w:val="en-US" w:eastAsia="zh-CN"/>
        </w:rPr>
        <w:t>年度</w:t>
      </w:r>
      <w:r>
        <w:rPr>
          <w:rFonts w:hint="eastAsia" w:ascii="仿宋_GB2312" w:hAnsi="仿宋_GB2312" w:eastAsia="仿宋_GB2312" w:cs="仿宋_GB2312"/>
          <w:b/>
          <w:bCs/>
          <w:color w:val="auto"/>
          <w:sz w:val="32"/>
          <w:szCs w:val="40"/>
          <w:highlight w:val="none"/>
        </w:rPr>
        <w:t>目标。</w:t>
      </w:r>
      <w:r>
        <w:rPr>
          <w:rFonts w:hint="eastAsia" w:ascii="仿宋_GB2312" w:hAnsi="仿宋_GB2312" w:eastAsia="仿宋_GB2312" w:cs="仿宋_GB2312"/>
          <w:color w:val="auto"/>
          <w:sz w:val="32"/>
          <w:szCs w:val="40"/>
          <w:highlight w:val="none"/>
          <w:lang w:val="en-US" w:eastAsia="zh-CN"/>
        </w:rPr>
        <w:t>根据《</w:t>
      </w:r>
      <w:r>
        <w:rPr>
          <w:rFonts w:hint="eastAsia" w:ascii="仿宋_GB2312" w:hAnsi="仿宋_GB2312" w:eastAsia="仿宋_GB2312" w:cs="仿宋_GB2312"/>
          <w:b w:val="0"/>
          <w:bCs w:val="0"/>
          <w:color w:val="auto"/>
          <w:sz w:val="32"/>
          <w:szCs w:val="40"/>
          <w:highlight w:val="none"/>
          <w:lang w:val="en-US" w:eastAsia="zh-CN"/>
        </w:rPr>
        <w:t>青岛市科技计划项目任务书》及青科基字〔2022〕9号“按资金应到位情况调整评估量化指标</w:t>
      </w:r>
      <w:r>
        <w:rPr>
          <w:rFonts w:hint="default" w:ascii="仿宋_GB2312" w:hAnsi="仿宋_GB2312" w:eastAsia="仿宋_GB2312" w:cs="仿宋_GB2312"/>
          <w:b w:val="0"/>
          <w:bCs w:val="0"/>
          <w:color w:val="auto"/>
          <w:sz w:val="32"/>
          <w:szCs w:val="40"/>
          <w:highlight w:val="none"/>
          <w:lang w:val="en-US" w:eastAsia="zh-CN"/>
        </w:rPr>
        <w:t>”</w:t>
      </w:r>
      <w:r>
        <w:rPr>
          <w:rFonts w:hint="eastAsia" w:ascii="仿宋_GB2312" w:hAnsi="仿宋_GB2312" w:eastAsia="仿宋_GB2312" w:cs="仿宋_GB2312"/>
          <w:b w:val="0"/>
          <w:bCs w:val="0"/>
          <w:color w:val="auto"/>
          <w:sz w:val="32"/>
          <w:szCs w:val="40"/>
          <w:highlight w:val="none"/>
          <w:lang w:val="en-US" w:eastAsia="zh-CN"/>
        </w:rPr>
        <w:t>的规定，</w:t>
      </w:r>
      <w:r>
        <w:rPr>
          <w:rFonts w:hint="eastAsia" w:ascii="仿宋_GB2312" w:hAnsi="仿宋_GB2312" w:eastAsia="仿宋_GB2312" w:cs="仿宋_GB2312"/>
          <w:color w:val="auto"/>
          <w:sz w:val="32"/>
          <w:szCs w:val="40"/>
          <w:highlight w:val="none"/>
          <w:lang w:val="en-US" w:eastAsia="zh-CN"/>
        </w:rPr>
        <w:t>梳理本次评价期间（2024年8月1日—2025年7月31日）项目主要绩效目标为：</w:t>
      </w:r>
      <w:r>
        <w:rPr>
          <w:rFonts w:hint="eastAsia" w:ascii="仿宋_GB2312" w:hAnsi="仿宋_GB2312" w:eastAsia="仿宋_GB2312" w:cs="仿宋_GB2312"/>
          <w:color w:val="auto"/>
          <w:sz w:val="32"/>
          <w:szCs w:val="40"/>
          <w:highlight w:val="none"/>
        </w:rPr>
        <w:t>搭建转化平台</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对接本地高校院所，选择具有产业化前景的科研项目，高效率支持科技成果转化，引进、培育科技型企业，引进孵化具有高成长性的早期科创企业，做实人才引育留用，新增</w:t>
      </w:r>
      <w:r>
        <w:rPr>
          <w:rFonts w:hint="eastAsia" w:ascii="仿宋_GB2312" w:hAnsi="仿宋_GB2312" w:eastAsia="仿宋_GB2312" w:cs="仿宋_GB2312"/>
          <w:color w:val="auto"/>
          <w:sz w:val="32"/>
          <w:szCs w:val="40"/>
          <w:highlight w:val="none"/>
        </w:rPr>
        <w:t>引进及孵化培育企业</w:t>
      </w:r>
      <w:r>
        <w:rPr>
          <w:rFonts w:hint="eastAsia" w:ascii="仿宋_GB2312" w:hAnsi="仿宋_GB2312" w:eastAsia="仿宋_GB2312" w:cs="仿宋_GB2312"/>
          <w:color w:val="auto"/>
          <w:sz w:val="32"/>
          <w:szCs w:val="40"/>
          <w:highlight w:val="none"/>
          <w:lang w:val="en-US" w:eastAsia="zh-CN"/>
        </w:rPr>
        <w:t>15</w:t>
      </w:r>
      <w:r>
        <w:rPr>
          <w:rFonts w:hint="eastAsia" w:ascii="仿宋_GB2312" w:hAnsi="仿宋_GB2312" w:eastAsia="仿宋_GB2312" w:cs="仿宋_GB2312"/>
          <w:color w:val="auto"/>
          <w:sz w:val="32"/>
          <w:szCs w:val="40"/>
          <w:highlight w:val="none"/>
        </w:rPr>
        <w:t>家（累计</w:t>
      </w:r>
      <w:r>
        <w:rPr>
          <w:rFonts w:hint="eastAsia" w:ascii="仿宋_GB2312" w:hAnsi="仿宋_GB2312" w:eastAsia="仿宋_GB2312" w:cs="仿宋_GB2312"/>
          <w:color w:val="auto"/>
          <w:sz w:val="32"/>
          <w:szCs w:val="40"/>
          <w:highlight w:val="none"/>
          <w:lang w:val="en-US" w:eastAsia="zh-CN"/>
        </w:rPr>
        <w:t>49</w:t>
      </w:r>
      <w:r>
        <w:rPr>
          <w:rFonts w:hint="eastAsia" w:ascii="仿宋_GB2312" w:hAnsi="仿宋_GB2312" w:eastAsia="仿宋_GB2312" w:cs="仿宋_GB2312"/>
          <w:color w:val="auto"/>
          <w:sz w:val="32"/>
          <w:szCs w:val="40"/>
          <w:highlight w:val="none"/>
        </w:rPr>
        <w:t>家），带动社会投融资金额</w:t>
      </w:r>
      <w:r>
        <w:rPr>
          <w:rFonts w:hint="eastAsia" w:ascii="仿宋_GB2312" w:hAnsi="仿宋_GB2312" w:eastAsia="仿宋_GB2312" w:cs="仿宋_GB2312"/>
          <w:color w:val="auto"/>
          <w:sz w:val="32"/>
          <w:szCs w:val="40"/>
          <w:highlight w:val="none"/>
          <w:lang w:val="en-US" w:eastAsia="zh-CN"/>
        </w:rPr>
        <w:t>4.83</w:t>
      </w:r>
      <w:r>
        <w:rPr>
          <w:rFonts w:hint="eastAsia" w:ascii="仿宋_GB2312" w:hAnsi="仿宋_GB2312" w:eastAsia="仿宋_GB2312" w:cs="仿宋_GB2312"/>
          <w:color w:val="auto"/>
          <w:sz w:val="32"/>
          <w:szCs w:val="40"/>
          <w:highlight w:val="none"/>
        </w:rPr>
        <w:t>亿元（累计</w:t>
      </w:r>
      <w:r>
        <w:rPr>
          <w:rFonts w:hint="eastAsia" w:ascii="仿宋_GB2312" w:hAnsi="仿宋_GB2312" w:eastAsia="仿宋_GB2312" w:cs="仿宋_GB2312"/>
          <w:color w:val="auto"/>
          <w:sz w:val="32"/>
          <w:szCs w:val="40"/>
          <w:highlight w:val="none"/>
          <w:lang w:val="en-US" w:eastAsia="zh-CN"/>
        </w:rPr>
        <w:t>16.92</w:t>
      </w:r>
      <w:r>
        <w:rPr>
          <w:rFonts w:hint="eastAsia" w:ascii="仿宋_GB2312" w:hAnsi="仿宋_GB2312" w:eastAsia="仿宋_GB2312" w:cs="仿宋_GB2312"/>
          <w:color w:val="auto"/>
          <w:sz w:val="32"/>
          <w:szCs w:val="40"/>
          <w:highlight w:val="none"/>
        </w:rPr>
        <w:t>亿元），转移转化先进技术</w:t>
      </w:r>
      <w:r>
        <w:rPr>
          <w:rFonts w:hint="eastAsia" w:ascii="仿宋_GB2312" w:hAnsi="仿宋_GB2312" w:eastAsia="仿宋_GB2312" w:cs="仿宋_GB2312"/>
          <w:color w:val="auto"/>
          <w:sz w:val="32"/>
          <w:szCs w:val="40"/>
          <w:highlight w:val="none"/>
          <w:lang w:val="en-US" w:eastAsia="zh-CN"/>
        </w:rPr>
        <w:t>20</w:t>
      </w:r>
      <w:r>
        <w:rPr>
          <w:rFonts w:hint="eastAsia" w:ascii="仿宋_GB2312" w:hAnsi="仿宋_GB2312" w:eastAsia="仿宋_GB2312" w:cs="仿宋_GB2312"/>
          <w:color w:val="auto"/>
          <w:sz w:val="32"/>
          <w:szCs w:val="40"/>
          <w:highlight w:val="none"/>
        </w:rPr>
        <w:t>项（累计</w:t>
      </w:r>
      <w:r>
        <w:rPr>
          <w:rFonts w:hint="eastAsia" w:ascii="仿宋_GB2312" w:hAnsi="仿宋_GB2312" w:eastAsia="仿宋_GB2312" w:cs="仿宋_GB2312"/>
          <w:color w:val="auto"/>
          <w:sz w:val="32"/>
          <w:szCs w:val="40"/>
          <w:highlight w:val="none"/>
          <w:lang w:val="en-US" w:eastAsia="zh-CN"/>
        </w:rPr>
        <w:t>73项</w:t>
      </w:r>
      <w:r>
        <w:rPr>
          <w:rFonts w:hint="eastAsia" w:ascii="仿宋_GB2312" w:hAnsi="仿宋_GB2312" w:eastAsia="仿宋_GB2312" w:cs="仿宋_GB2312"/>
          <w:color w:val="auto"/>
          <w:sz w:val="32"/>
          <w:szCs w:val="40"/>
          <w:highlight w:val="none"/>
        </w:rPr>
        <w:t>），培育高新技术企业</w:t>
      </w:r>
      <w:r>
        <w:rPr>
          <w:rFonts w:hint="eastAsia" w:ascii="仿宋_GB2312" w:hAnsi="仿宋_GB2312" w:eastAsia="仿宋_GB2312" w:cs="仿宋_GB2312"/>
          <w:color w:val="auto"/>
          <w:sz w:val="32"/>
          <w:szCs w:val="40"/>
          <w:highlight w:val="none"/>
          <w:lang w:val="en-US" w:eastAsia="zh-CN"/>
        </w:rPr>
        <w:t>5</w:t>
      </w:r>
      <w:r>
        <w:rPr>
          <w:rFonts w:hint="eastAsia" w:ascii="仿宋_GB2312" w:hAnsi="仿宋_GB2312" w:eastAsia="仿宋_GB2312" w:cs="仿宋_GB2312"/>
          <w:color w:val="auto"/>
          <w:sz w:val="32"/>
          <w:szCs w:val="40"/>
          <w:highlight w:val="none"/>
        </w:rPr>
        <w:t>家（累计</w:t>
      </w:r>
      <w:r>
        <w:rPr>
          <w:rFonts w:hint="eastAsia" w:ascii="仿宋_GB2312" w:hAnsi="仿宋_GB2312" w:eastAsia="仿宋_GB2312" w:cs="仿宋_GB2312"/>
          <w:color w:val="auto"/>
          <w:sz w:val="32"/>
          <w:szCs w:val="40"/>
          <w:highlight w:val="none"/>
          <w:lang w:val="en-US" w:eastAsia="zh-CN"/>
        </w:rPr>
        <w:t>8</w:t>
      </w:r>
      <w:r>
        <w:rPr>
          <w:rFonts w:hint="eastAsia" w:ascii="仿宋_GB2312" w:hAnsi="仿宋_GB2312" w:eastAsia="仿宋_GB2312" w:cs="仿宋_GB2312"/>
          <w:color w:val="auto"/>
          <w:sz w:val="32"/>
          <w:szCs w:val="40"/>
          <w:highlight w:val="none"/>
        </w:rPr>
        <w:t>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ascii="黑体" w:hAnsi="黑体" w:eastAsia="黑体" w:cs="黑体"/>
          <w:color w:val="auto"/>
          <w:sz w:val="32"/>
          <w:szCs w:val="40"/>
          <w:highlight w:val="none"/>
        </w:rPr>
      </w:pPr>
      <w:bookmarkStart w:id="2" w:name="_Toc21424"/>
      <w:bookmarkStart w:id="3" w:name="_Toc15224"/>
      <w:r>
        <w:rPr>
          <w:rFonts w:hint="eastAsia" w:ascii="黑体" w:hAnsi="黑体" w:eastAsia="黑体" w:cs="黑体"/>
          <w:color w:val="auto"/>
          <w:sz w:val="32"/>
          <w:szCs w:val="40"/>
          <w:highlight w:val="none"/>
        </w:rPr>
        <w:t>二、绩效评价工作开展情况</w:t>
      </w:r>
      <w:bookmarkEnd w:id="2"/>
      <w:bookmarkEnd w:id="3"/>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（一）评价目的、评价对象和范围</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1.评价目的</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通过对该项目开展绩效评价，全面评估项目实施的规范程度和创新成果转化效能，以及在</w:t>
      </w:r>
      <w:r>
        <w:rPr>
          <w:rFonts w:hint="eastAsia" w:ascii="仿宋_GB2312" w:hAnsi="仿宋_GB2312" w:eastAsia="仿宋_GB2312" w:cs="仿宋_GB2312"/>
          <w:b w:val="0"/>
          <w:bCs w:val="0"/>
          <w:color w:val="auto"/>
          <w:sz w:val="32"/>
          <w:szCs w:val="32"/>
          <w:highlight w:val="none"/>
          <w:lang w:val="en-US" w:eastAsia="zh-CN"/>
        </w:rPr>
        <w:t>推动科技成果转移转化、助推创新创业</w:t>
      </w:r>
      <w:r>
        <w:rPr>
          <w:rFonts w:hint="eastAsia" w:ascii="仿宋_GB2312" w:hAnsi="仿宋_GB2312" w:eastAsia="仿宋_GB2312" w:cs="仿宋_GB2312"/>
          <w:b w:val="0"/>
          <w:bCs w:val="0"/>
          <w:color w:val="auto"/>
          <w:sz w:val="32"/>
          <w:szCs w:val="32"/>
          <w:highlight w:val="none"/>
          <w:lang w:eastAsia="zh-CN"/>
        </w:rPr>
        <w:t>等预期目标的达成情况，综合衡量财政资金使用效果，剖析实施过程中存在的问题与风险并提出针对性建议，为调整优化项目安排、促进财政资金高效配置、提高预算管理水平提供参考和依据。</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hint="eastAsia" w:eastAsia="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2.评价对象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山东产业技术研究院项目。</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3.评价范围</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2024年度项目</w:t>
      </w:r>
      <w:r>
        <w:rPr>
          <w:rFonts w:hint="eastAsia" w:ascii="仿宋_GB2312" w:hAnsi="仿宋_GB2312" w:eastAsia="仿宋_GB2312" w:cs="仿宋_GB2312"/>
          <w:b w:val="0"/>
          <w:bCs w:val="0"/>
          <w:color w:val="auto"/>
          <w:sz w:val="32"/>
          <w:szCs w:val="32"/>
          <w:highlight w:val="none"/>
          <w:lang w:val="en-US" w:eastAsia="zh-CN"/>
        </w:rPr>
        <w:t>预算200</w:t>
      </w:r>
      <w:r>
        <w:rPr>
          <w:rFonts w:hint="eastAsia" w:ascii="仿宋_GB2312" w:hAnsi="仿宋_GB2312" w:eastAsia="仿宋_GB2312" w:cs="仿宋_GB2312"/>
          <w:b w:val="0"/>
          <w:bCs w:val="0"/>
          <w:color w:val="auto"/>
          <w:sz w:val="32"/>
          <w:szCs w:val="32"/>
          <w:highlight w:val="none"/>
          <w:lang w:eastAsia="zh-CN"/>
        </w:rPr>
        <w:t>0万元所对应的《</w:t>
      </w:r>
      <w:r>
        <w:rPr>
          <w:rFonts w:hint="eastAsia" w:ascii="仿宋_GB2312" w:hAnsi="仿宋_GB2312" w:eastAsia="仿宋_GB2312" w:cs="仿宋_GB2312"/>
          <w:b w:val="0"/>
          <w:bCs w:val="0"/>
          <w:color w:val="auto"/>
          <w:sz w:val="32"/>
          <w:szCs w:val="32"/>
          <w:highlight w:val="none"/>
          <w:lang w:val="en-US" w:eastAsia="zh-CN"/>
        </w:rPr>
        <w:t>共建协议</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lang w:val="en-US" w:eastAsia="zh-CN"/>
        </w:rPr>
        <w:t>青岛市科技计划项目任务书</w:t>
      </w:r>
      <w:r>
        <w:rPr>
          <w:rFonts w:hint="eastAsia" w:ascii="仿宋_GB2312" w:hAnsi="仿宋_GB2312" w:eastAsia="仿宋_GB2312" w:cs="仿宋_GB2312"/>
          <w:b w:val="0"/>
          <w:bCs w:val="0"/>
          <w:color w:val="auto"/>
          <w:sz w:val="32"/>
          <w:szCs w:val="32"/>
          <w:highlight w:val="none"/>
          <w:lang w:eastAsia="zh-CN"/>
        </w:rPr>
        <w:t>》等相关任务完成情况</w:t>
      </w:r>
      <w:r>
        <w:rPr>
          <w:rFonts w:hint="eastAsia" w:ascii="仿宋_GB2312" w:hAnsi="仿宋_GB2312" w:eastAsia="仿宋_GB2312" w:cs="仿宋_GB2312"/>
          <w:b w:val="0"/>
          <w:bCs w:val="0"/>
          <w:color w:val="auto"/>
          <w:sz w:val="32"/>
          <w:szCs w:val="32"/>
          <w:highlight w:val="none"/>
          <w:lang w:val="en-US" w:eastAsia="zh-CN"/>
        </w:rPr>
        <w:t>及实施成效</w:t>
      </w:r>
      <w:r>
        <w:rPr>
          <w:rFonts w:hint="eastAsia" w:ascii="仿宋_GB2312" w:hAnsi="仿宋_GB2312" w:eastAsia="仿宋_GB2312" w:cs="仿宋_GB2312"/>
          <w:b w:val="0"/>
          <w:bCs w:val="0"/>
          <w:color w:val="auto"/>
          <w:sz w:val="32"/>
          <w:szCs w:val="32"/>
          <w:highlight w:val="none"/>
          <w:lang w:eastAsia="zh-CN"/>
        </w:rPr>
        <w:t>，实施期间为2024年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月1日至2025年</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lang w:eastAsia="zh-CN"/>
        </w:rPr>
        <w:t>日。</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（二）评价思路、评价重点、评价指标体系和评价标准</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1.评价思路。</w:t>
      </w:r>
      <w:r>
        <w:rPr>
          <w:rFonts w:hint="eastAsia" w:ascii="仿宋_GB2312" w:hAnsi="仿宋_GB2312" w:eastAsia="仿宋_GB2312" w:cs="仿宋_GB2312"/>
          <w:color w:val="auto"/>
          <w:sz w:val="32"/>
          <w:szCs w:val="40"/>
          <w:highlight w:val="none"/>
        </w:rPr>
        <w:t>本次评价坚持绩效导向、客观公正、操作可行、主体分明的原则，根据</w:t>
      </w:r>
      <w:r>
        <w:rPr>
          <w:rFonts w:hint="eastAsia" w:ascii="仿宋_GB2312" w:hAnsi="仿宋_GB2312" w:eastAsia="仿宋_GB2312" w:cs="仿宋_GB2312"/>
          <w:color w:val="auto"/>
          <w:sz w:val="32"/>
          <w:szCs w:val="40"/>
          <w:highlight w:val="none"/>
          <w:lang w:val="en-US" w:eastAsia="zh-CN"/>
        </w:rPr>
        <w:t>财政部关于印发</w:t>
      </w:r>
      <w:r>
        <w:rPr>
          <w:rFonts w:hint="eastAsia" w:ascii="仿宋_GB2312" w:hAnsi="仿宋_GB2312" w:eastAsia="仿宋_GB2312" w:cs="仿宋_GB2312"/>
          <w:color w:val="auto"/>
          <w:sz w:val="32"/>
          <w:szCs w:val="40"/>
          <w:highlight w:val="none"/>
        </w:rPr>
        <w:t>《项目支出绩效评价管理办法》</w:t>
      </w:r>
      <w:r>
        <w:rPr>
          <w:rFonts w:hint="eastAsia" w:ascii="仿宋_GB2312" w:hAnsi="仿宋_GB2312" w:eastAsia="仿宋_GB2312" w:cs="仿宋_GB2312"/>
          <w:color w:val="auto"/>
          <w:sz w:val="32"/>
          <w:szCs w:val="40"/>
          <w:highlight w:val="none"/>
          <w:lang w:val="en-US" w:eastAsia="zh-CN"/>
        </w:rPr>
        <w:t>的通知</w:t>
      </w:r>
      <w:r>
        <w:rPr>
          <w:rFonts w:hint="eastAsia" w:ascii="仿宋_GB2312" w:hAnsi="仿宋_GB2312" w:eastAsia="仿宋_GB2312" w:cs="仿宋_GB2312"/>
          <w:color w:val="auto"/>
          <w:sz w:val="32"/>
          <w:szCs w:val="40"/>
          <w:highlight w:val="none"/>
        </w:rPr>
        <w:t>（财预〔2020〕10号）及《市级项目支出部门绩效评价操作规程》（青财绩〔2020〕8号）等文件要求制定绩效评价指标体系及具体评价方案。评价过程中结合</w:t>
      </w:r>
      <w:r>
        <w:rPr>
          <w:rFonts w:hint="eastAsia" w:ascii="仿宋_GB2312" w:hAnsi="仿宋_GB2312" w:eastAsia="仿宋_GB2312" w:cs="仿宋_GB2312"/>
          <w:color w:val="auto"/>
          <w:sz w:val="32"/>
          <w:szCs w:val="40"/>
          <w:highlight w:val="none"/>
          <w:lang w:val="en-US" w:eastAsia="zh-CN"/>
        </w:rPr>
        <w:t>共建协议</w:t>
      </w:r>
      <w:r>
        <w:rPr>
          <w:rFonts w:hint="eastAsia" w:ascii="仿宋_GB2312" w:hAnsi="仿宋_GB2312" w:eastAsia="仿宋_GB2312" w:cs="仿宋_GB2312"/>
          <w:color w:val="auto"/>
          <w:sz w:val="32"/>
          <w:szCs w:val="40"/>
          <w:highlight w:val="none"/>
        </w:rPr>
        <w:t>确定目标及</w:t>
      </w:r>
      <w:r>
        <w:rPr>
          <w:rFonts w:hint="eastAsia" w:ascii="仿宋_GB2312" w:hAnsi="仿宋_GB2312" w:eastAsia="仿宋_GB2312" w:cs="仿宋_GB2312"/>
          <w:color w:val="auto"/>
          <w:sz w:val="32"/>
          <w:szCs w:val="40"/>
          <w:highlight w:val="none"/>
          <w:lang w:val="en-US" w:eastAsia="zh-CN"/>
        </w:rPr>
        <w:t>产研院（青岛）</w:t>
      </w:r>
      <w:r>
        <w:rPr>
          <w:rFonts w:hint="eastAsia" w:ascii="仿宋_GB2312" w:hAnsi="仿宋_GB2312" w:eastAsia="仿宋_GB2312" w:cs="仿宋_GB2312"/>
          <w:color w:val="auto"/>
          <w:sz w:val="32"/>
          <w:szCs w:val="40"/>
          <w:highlight w:val="none"/>
        </w:rPr>
        <w:t>项目的特点，有针对性地梳理项目资料，核查项目实施管理规范性、任务目标完成度及资金使用合规性，综合评估项目在创新成果转化、产业赋能、人才培育等方面的实施成效，聚焦问题导向</w:t>
      </w:r>
      <w:r>
        <w:rPr>
          <w:rFonts w:hint="eastAsia" w:ascii="仿宋_GB2312" w:hAnsi="仿宋_GB2312" w:eastAsia="仿宋_GB2312" w:cs="仿宋_GB2312"/>
          <w:color w:val="auto"/>
          <w:sz w:val="32"/>
          <w:szCs w:val="40"/>
          <w:highlight w:val="none"/>
          <w:lang w:eastAsia="zh-CN"/>
        </w:rPr>
        <w:t>，有</w:t>
      </w:r>
      <w:r>
        <w:rPr>
          <w:rFonts w:hint="eastAsia" w:ascii="仿宋_GB2312" w:hAnsi="仿宋_GB2312" w:eastAsia="仿宋_GB2312" w:cs="仿宋_GB2312"/>
          <w:color w:val="auto"/>
          <w:sz w:val="32"/>
          <w:szCs w:val="40"/>
          <w:highlight w:val="none"/>
        </w:rPr>
        <w:t>针对性地提出合理化建议。</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hint="eastAsia" w:ascii="仿宋_GB2312" w:hAnsi="仿宋_GB2312" w:eastAsia="仿宋_GB2312" w:cs="仿宋_GB2312"/>
          <w:b w:val="0"/>
          <w:bCs w:val="0"/>
          <w:color w:val="auto"/>
          <w:sz w:val="32"/>
          <w:szCs w:val="40"/>
          <w:highlight w:val="none"/>
        </w:rPr>
      </w:pPr>
      <w:r>
        <w:rPr>
          <w:rFonts w:hint="eastAsia" w:ascii="仿宋_GB2312" w:hAnsi="仿宋_GB2312" w:eastAsia="仿宋_GB2312" w:cs="仿宋_GB2312"/>
          <w:b/>
          <w:bCs/>
          <w:color w:val="auto"/>
          <w:sz w:val="32"/>
          <w:szCs w:val="40"/>
          <w:highlight w:val="none"/>
        </w:rPr>
        <w:t>2.评价重点。</w:t>
      </w:r>
      <w:r>
        <w:rPr>
          <w:rFonts w:hint="eastAsia" w:ascii="仿宋_GB2312" w:hAnsi="仿宋_GB2312" w:eastAsia="仿宋_GB2312" w:cs="仿宋_GB2312"/>
          <w:b w:val="0"/>
          <w:bCs w:val="0"/>
          <w:color w:val="auto"/>
          <w:sz w:val="32"/>
          <w:szCs w:val="40"/>
          <w:highlight w:val="none"/>
        </w:rPr>
        <w:t>本次绩效评价重点关注项目实施管理的规范性、实际产出效益，以及项目的可持续性与示范价值。</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eastAsia="zh-CN"/>
        </w:rPr>
        <w:t>（1）过程实施管理。依据相关管理办法，审查项目全流程实施管理的规范性。重点关注市、区两级管理部门是否对项目实施有效的过程管理，定期开展监督检查（中期评估）及绩效评价，及时跟踪项目进度并协调解决问题；项目承担单位是否严格执行青岛市科技计划项目管理和科技专项资金管理有关规定</w:t>
      </w:r>
      <w:r>
        <w:rPr>
          <w:rFonts w:hint="eastAsia" w:ascii="仿宋_GB2312" w:hAnsi="仿宋_GB2312" w:eastAsia="仿宋_GB2312" w:cs="仿宋_GB2312"/>
          <w:color w:val="auto"/>
          <w:sz w:val="32"/>
          <w:szCs w:val="40"/>
          <w:highlight w:val="none"/>
          <w:lang w:val="en-US" w:eastAsia="zh-CN"/>
        </w:rPr>
        <w:t>等规范实施</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ascii="Segoe UI" w:hAnsi="Segoe UI" w:eastAsia="Segoe UI" w:cs="Segoe UI"/>
          <w:i w:val="0"/>
          <w:iCs w:val="0"/>
          <w:caps w:val="0"/>
          <w:color w:val="auto"/>
          <w:spacing w:val="0"/>
          <w:sz w:val="24"/>
          <w:szCs w:val="24"/>
          <w:highlight w:val="none"/>
          <w:shd w:val="clear" w:fill="EFF0F1"/>
        </w:rPr>
      </w:pP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lang w:eastAsia="zh-CN"/>
        </w:rPr>
        <w:t>）实际产出效益</w:t>
      </w:r>
      <w:r>
        <w:rPr>
          <w:rFonts w:hint="eastAsia" w:ascii="仿宋_GB2312" w:hAnsi="仿宋_GB2312" w:eastAsia="仿宋_GB2312" w:cs="仿宋_GB2312"/>
          <w:color w:val="auto"/>
          <w:sz w:val="32"/>
          <w:szCs w:val="40"/>
          <w:highlight w:val="none"/>
          <w:lang w:val="en-US" w:eastAsia="zh-CN"/>
        </w:rPr>
        <w:t>。重点关注项目在平台建设、企业引进孵化、企业发展赋能、人才引育等核心工作的推进情况与实施质量，财政投入与项目实际成效的适配性，以及项目在带动社会投融资、转移转化先进技术成果、新增培育高新技术企业等方面的实际贡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3</w:t>
      </w:r>
      <w:r>
        <w:rPr>
          <w:rFonts w:hint="eastAsia" w:ascii="仿宋_GB2312" w:hAnsi="仿宋_GB2312" w:eastAsia="仿宋_GB2312" w:cs="仿宋_GB2312"/>
          <w:color w:val="auto"/>
          <w:sz w:val="32"/>
          <w:szCs w:val="40"/>
          <w:highlight w:val="none"/>
          <w:lang w:eastAsia="zh-CN"/>
        </w:rPr>
        <w:t>）项目的可持续性与示范价值。重点评价</w:t>
      </w:r>
      <w:r>
        <w:rPr>
          <w:rFonts w:hint="eastAsia" w:ascii="仿宋_GB2312" w:hAnsi="仿宋_GB2312" w:eastAsia="仿宋_GB2312" w:cs="仿宋_GB2312"/>
          <w:color w:val="auto"/>
          <w:sz w:val="32"/>
          <w:szCs w:val="40"/>
          <w:highlight w:val="none"/>
          <w:lang w:val="en-US" w:eastAsia="zh-CN"/>
        </w:rPr>
        <w:t>产研院（青岛）</w:t>
      </w:r>
      <w:r>
        <w:rPr>
          <w:rFonts w:hint="eastAsia" w:ascii="仿宋_GB2312" w:hAnsi="仿宋_GB2312" w:eastAsia="仿宋_GB2312" w:cs="仿宋_GB2312"/>
          <w:color w:val="auto"/>
          <w:sz w:val="32"/>
          <w:szCs w:val="40"/>
          <w:highlight w:val="none"/>
          <w:lang w:eastAsia="zh-CN"/>
        </w:rPr>
        <w:t>打造带动青岛市创新驱动发展的核心引擎，创新</w:t>
      </w:r>
      <w:r>
        <w:rPr>
          <w:rFonts w:hint="eastAsia" w:ascii="仿宋_GB2312" w:hAnsi="仿宋_GB2312" w:eastAsia="仿宋_GB2312" w:cs="仿宋_GB2312"/>
          <w:color w:val="auto"/>
          <w:sz w:val="32"/>
          <w:szCs w:val="40"/>
          <w:highlight w:val="none"/>
          <w:lang w:val="en-US" w:eastAsia="zh-CN"/>
        </w:rPr>
        <w:t>生产</w:t>
      </w:r>
      <w:r>
        <w:rPr>
          <w:rFonts w:hint="eastAsia" w:ascii="仿宋_GB2312" w:hAnsi="仿宋_GB2312" w:eastAsia="仿宋_GB2312" w:cs="仿宋_GB2312"/>
          <w:color w:val="auto"/>
          <w:sz w:val="32"/>
          <w:szCs w:val="40"/>
          <w:highlight w:val="none"/>
          <w:lang w:eastAsia="zh-CN"/>
        </w:rPr>
        <w:t>技术，促进先进成果在青岛市实现落地转化和产业化，形成可复制推广的样板；</w:t>
      </w:r>
      <w:r>
        <w:rPr>
          <w:rFonts w:hint="eastAsia" w:ascii="仿宋_GB2312" w:hAnsi="仿宋_GB2312" w:eastAsia="仿宋_GB2312" w:cs="仿宋_GB2312"/>
          <w:color w:val="auto"/>
          <w:sz w:val="32"/>
          <w:szCs w:val="40"/>
          <w:highlight w:val="none"/>
          <w:lang w:val="en-US" w:eastAsia="zh-CN"/>
        </w:rPr>
        <w:t>以及通过</w:t>
      </w:r>
      <w:r>
        <w:rPr>
          <w:rFonts w:hint="eastAsia" w:ascii="仿宋_GB2312" w:hAnsi="仿宋_GB2312" w:eastAsia="仿宋_GB2312" w:cs="仿宋_GB2312"/>
          <w:color w:val="auto"/>
          <w:sz w:val="32"/>
          <w:szCs w:val="40"/>
          <w:highlight w:val="none"/>
          <w:lang w:eastAsia="zh-CN"/>
        </w:rPr>
        <w:t>股权投资、课题研究、技术赋能、人才培育等方式获得收益，</w:t>
      </w:r>
      <w:r>
        <w:rPr>
          <w:rFonts w:hint="eastAsia" w:ascii="仿宋_GB2312" w:hAnsi="仿宋_GB2312" w:eastAsia="仿宋_GB2312" w:cs="仿宋_GB2312"/>
          <w:color w:val="auto"/>
          <w:sz w:val="32"/>
          <w:szCs w:val="40"/>
          <w:highlight w:val="none"/>
          <w:lang w:val="en-US" w:eastAsia="zh-CN"/>
        </w:rPr>
        <w:t>保障可持续运转的能力</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3.评价指标体系。</w:t>
      </w:r>
      <w:r>
        <w:rPr>
          <w:rFonts w:hint="eastAsia" w:ascii="仿宋_GB2312" w:hAnsi="仿宋_GB2312" w:eastAsia="仿宋_GB2312" w:cs="仿宋_GB2312"/>
          <w:color w:val="auto"/>
          <w:sz w:val="32"/>
          <w:szCs w:val="40"/>
          <w:highlight w:val="none"/>
        </w:rPr>
        <w:t>本次绩效评价围绕产研院（青岛）项目四期</w:t>
      </w:r>
      <w:r>
        <w:rPr>
          <w:rFonts w:hint="eastAsia" w:ascii="仿宋_GB2312" w:hAnsi="仿宋_GB2312" w:eastAsia="仿宋_GB2312" w:cs="仿宋_GB2312"/>
          <w:color w:val="auto"/>
          <w:sz w:val="32"/>
          <w:szCs w:val="40"/>
          <w:highlight w:val="none"/>
          <w:lang w:val="en-US" w:eastAsia="zh-CN"/>
        </w:rPr>
        <w:t>建设任务</w:t>
      </w:r>
      <w:r>
        <w:rPr>
          <w:rFonts w:hint="eastAsia" w:ascii="仿宋_GB2312" w:hAnsi="仿宋_GB2312" w:eastAsia="仿宋_GB2312" w:cs="仿宋_GB2312"/>
          <w:color w:val="auto"/>
          <w:sz w:val="32"/>
          <w:szCs w:val="40"/>
          <w:highlight w:val="none"/>
        </w:rPr>
        <w:t>，从项目决策（10%）、过程（25%）、产出（25%）和效益（40%）4个维度制定绩效评价指标体系，聚焦项目实施效果差异化设置评价指标及权重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详见附件1</w:t>
      </w:r>
      <w:r>
        <w:rPr>
          <w:rFonts w:hint="eastAsia" w:ascii="仿宋_GB2312" w:hAnsi="仿宋_GB2312" w:eastAsia="仿宋_GB2312" w:cs="仿宋_GB2312"/>
          <w:color w:val="auto"/>
          <w:sz w:val="32"/>
          <w:szCs w:val="40"/>
          <w:highlight w:val="none"/>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（1）项目决策情况。包括项目立项、绩效目标和资金投入3个二级指标，主要考核项目立项充分性、程序规范性，绩效目标合理性、明确性及与建设任务匹配度；重点关注预算安排与《</w:t>
      </w:r>
      <w:r>
        <w:rPr>
          <w:rFonts w:hint="eastAsia" w:ascii="仿宋_GB2312" w:hAnsi="仿宋_GB2312" w:eastAsia="仿宋_GB2312" w:cs="仿宋_GB2312"/>
          <w:color w:val="auto"/>
          <w:sz w:val="32"/>
          <w:szCs w:val="40"/>
          <w:highlight w:val="none"/>
          <w:lang w:val="en-US" w:eastAsia="zh-CN"/>
        </w:rPr>
        <w:t>共建协议</w:t>
      </w:r>
      <w:r>
        <w:rPr>
          <w:rFonts w:hint="eastAsia" w:ascii="仿宋_GB2312" w:hAnsi="仿宋_GB2312" w:eastAsia="仿宋_GB2312" w:cs="仿宋_GB2312"/>
          <w:color w:val="auto"/>
          <w:sz w:val="32"/>
          <w:szCs w:val="40"/>
          <w:highlight w:val="none"/>
          <w:lang w:eastAsia="zh-CN"/>
        </w:rPr>
        <w:t>》任务目标匹配度、资金分配合理性。</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2）项目过程情况。包括资金管理和组织实施2个二级指标，主要考核资金到位及执行情况、组织实施规范性、制度健全性，重点核实市科技局监督验收、区（市）政府项目推进、承担单位任务执行等职责履行情况。</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（3）项目产出情况。包括产出数量、质量、时效和成本4个二级指标，聚焦项目建设任务，重点核实</w:t>
      </w:r>
      <w:r>
        <w:rPr>
          <w:rFonts w:hint="eastAsia" w:ascii="仿宋_GB2312" w:hAnsi="仿宋_GB2312" w:eastAsia="仿宋_GB2312" w:cs="仿宋_GB2312"/>
          <w:color w:val="auto"/>
          <w:sz w:val="32"/>
          <w:szCs w:val="40"/>
          <w:highlight w:val="none"/>
          <w:lang w:val="en-US" w:eastAsia="zh-CN"/>
        </w:rPr>
        <w:t>引进及孵化企业</w:t>
      </w:r>
      <w:r>
        <w:rPr>
          <w:rFonts w:hint="eastAsia" w:ascii="仿宋_GB2312" w:hAnsi="仿宋_GB2312" w:eastAsia="仿宋_GB2312" w:cs="仿宋_GB2312"/>
          <w:color w:val="auto"/>
          <w:sz w:val="32"/>
          <w:szCs w:val="40"/>
          <w:highlight w:val="none"/>
          <w:lang w:eastAsia="zh-CN"/>
        </w:rPr>
        <w:t>、平台建设、</w:t>
      </w:r>
      <w:r>
        <w:rPr>
          <w:rFonts w:hint="eastAsia" w:ascii="仿宋_GB2312" w:hAnsi="仿宋_GB2312" w:eastAsia="仿宋_GB2312" w:cs="仿宋_GB2312"/>
          <w:color w:val="auto"/>
          <w:sz w:val="32"/>
          <w:szCs w:val="40"/>
          <w:highlight w:val="none"/>
          <w:lang w:val="en-US" w:eastAsia="zh-CN"/>
        </w:rPr>
        <w:t>企业“伴飞行动”</w:t>
      </w:r>
      <w:r>
        <w:rPr>
          <w:rFonts w:hint="eastAsia" w:ascii="仿宋_GB2312" w:hAnsi="仿宋_GB2312" w:eastAsia="仿宋_GB2312" w:cs="仿宋_GB2312"/>
          <w:color w:val="auto"/>
          <w:sz w:val="32"/>
          <w:szCs w:val="40"/>
          <w:highlight w:val="none"/>
          <w:lang w:eastAsia="zh-CN"/>
        </w:rPr>
        <w:t>、人才引育等</w:t>
      </w:r>
      <w:r>
        <w:rPr>
          <w:rFonts w:hint="eastAsia" w:ascii="仿宋_GB2312" w:hAnsi="仿宋_GB2312" w:eastAsia="仿宋_GB2312" w:cs="仿宋_GB2312"/>
          <w:color w:val="auto"/>
          <w:sz w:val="32"/>
          <w:szCs w:val="40"/>
          <w:highlight w:val="none"/>
          <w:lang w:val="en-US" w:eastAsia="zh-CN"/>
        </w:rPr>
        <w:t>工作开展情况及实施进度</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评估各项</w:t>
      </w:r>
      <w:r>
        <w:rPr>
          <w:rFonts w:hint="eastAsia" w:ascii="仿宋_GB2312" w:hAnsi="仿宋_GB2312" w:eastAsia="仿宋_GB2312" w:cs="仿宋_GB2312"/>
          <w:color w:val="auto"/>
          <w:sz w:val="32"/>
          <w:szCs w:val="40"/>
          <w:highlight w:val="none"/>
          <w:lang w:eastAsia="zh-CN"/>
        </w:rPr>
        <w:t>工作</w:t>
      </w:r>
      <w:r>
        <w:rPr>
          <w:rFonts w:hint="eastAsia" w:ascii="仿宋_GB2312" w:hAnsi="仿宋_GB2312" w:eastAsia="仿宋_GB2312" w:cs="仿宋_GB2312"/>
          <w:color w:val="auto"/>
          <w:sz w:val="32"/>
          <w:szCs w:val="40"/>
          <w:highlight w:val="none"/>
          <w:lang w:val="en-US" w:eastAsia="zh-CN"/>
        </w:rPr>
        <w:t>开展</w:t>
      </w:r>
      <w:r>
        <w:rPr>
          <w:rFonts w:hint="eastAsia" w:ascii="仿宋_GB2312" w:hAnsi="仿宋_GB2312" w:eastAsia="仿宋_GB2312" w:cs="仿宋_GB2312"/>
          <w:color w:val="auto"/>
          <w:sz w:val="32"/>
          <w:szCs w:val="40"/>
          <w:highlight w:val="none"/>
          <w:lang w:eastAsia="zh-CN"/>
        </w:rPr>
        <w:t>质量</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eastAsia="zh-CN"/>
        </w:rPr>
        <w:t>分析</w:t>
      </w:r>
      <w:r>
        <w:rPr>
          <w:rFonts w:hint="eastAsia" w:ascii="仿宋_GB2312" w:hAnsi="仿宋_GB2312" w:eastAsia="仿宋_GB2312" w:cs="仿宋_GB2312"/>
          <w:color w:val="auto"/>
          <w:sz w:val="32"/>
          <w:szCs w:val="40"/>
          <w:highlight w:val="none"/>
          <w:lang w:val="en-US" w:eastAsia="zh-CN"/>
        </w:rPr>
        <w:t>项目运营</w:t>
      </w:r>
      <w:r>
        <w:rPr>
          <w:rFonts w:hint="eastAsia" w:ascii="仿宋_GB2312" w:hAnsi="仿宋_GB2312" w:eastAsia="仿宋_GB2312" w:cs="仿宋_GB2312"/>
          <w:color w:val="auto"/>
          <w:sz w:val="32"/>
          <w:szCs w:val="40"/>
          <w:highlight w:val="none"/>
          <w:lang w:eastAsia="zh-CN"/>
        </w:rPr>
        <w:t>投入与</w:t>
      </w:r>
      <w:r>
        <w:rPr>
          <w:rFonts w:hint="eastAsia" w:ascii="仿宋_GB2312" w:hAnsi="仿宋_GB2312" w:eastAsia="仿宋_GB2312" w:cs="仿宋_GB2312"/>
          <w:color w:val="auto"/>
          <w:sz w:val="32"/>
          <w:szCs w:val="40"/>
          <w:highlight w:val="none"/>
          <w:lang w:val="en-US" w:eastAsia="zh-CN"/>
        </w:rPr>
        <w:t>实际需求是否匹配，以及股权投资占比情况</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（4）项目效益情况。包括项目经济效益、社会效益、可持续影响和服务对象满意度4个二级指标。重点核查转移转化先进技术成果、高企培育及社会投融资带动</w:t>
      </w:r>
      <w:r>
        <w:rPr>
          <w:rFonts w:hint="eastAsia" w:ascii="仿宋_GB2312" w:hAnsi="仿宋_GB2312" w:eastAsia="仿宋_GB2312" w:cs="仿宋_GB2312"/>
          <w:color w:val="auto"/>
          <w:sz w:val="32"/>
          <w:szCs w:val="40"/>
          <w:highlight w:val="none"/>
          <w:lang w:val="en-US" w:eastAsia="zh-CN"/>
        </w:rPr>
        <w:t>情况，以</w:t>
      </w:r>
      <w:r>
        <w:rPr>
          <w:rFonts w:hint="eastAsia" w:ascii="仿宋_GB2312" w:hAnsi="仿宋_GB2312" w:eastAsia="仿宋_GB2312" w:cs="仿宋_GB2312"/>
          <w:color w:val="auto"/>
          <w:sz w:val="32"/>
          <w:szCs w:val="40"/>
          <w:highlight w:val="none"/>
          <w:lang w:eastAsia="zh-CN"/>
        </w:rPr>
        <w:t>及</w:t>
      </w:r>
      <w:r>
        <w:rPr>
          <w:rFonts w:hint="eastAsia" w:ascii="仿宋_GB2312" w:hAnsi="仿宋_GB2312" w:eastAsia="仿宋_GB2312" w:cs="仿宋_GB2312"/>
          <w:color w:val="auto"/>
          <w:sz w:val="32"/>
          <w:szCs w:val="40"/>
          <w:highlight w:val="none"/>
          <w:lang w:val="en-US" w:eastAsia="zh-CN"/>
        </w:rPr>
        <w:t>产研院（青岛）机制体制创新成果</w:t>
      </w:r>
      <w:r>
        <w:rPr>
          <w:rFonts w:hint="eastAsia" w:ascii="仿宋_GB2312" w:hAnsi="仿宋_GB2312" w:eastAsia="仿宋_GB2312" w:cs="仿宋_GB2312"/>
          <w:color w:val="auto"/>
          <w:sz w:val="32"/>
          <w:szCs w:val="40"/>
          <w:highlight w:val="none"/>
          <w:lang w:eastAsia="zh-CN"/>
        </w:rPr>
        <w:t>。同时，通过问卷调查、访谈等方式，收集</w:t>
      </w:r>
      <w:r>
        <w:rPr>
          <w:rFonts w:hint="eastAsia" w:ascii="仿宋_GB2312" w:hAnsi="仿宋_GB2312" w:eastAsia="仿宋_GB2312" w:cs="仿宋_GB2312"/>
          <w:color w:val="auto"/>
          <w:sz w:val="32"/>
          <w:szCs w:val="40"/>
          <w:highlight w:val="none"/>
          <w:lang w:val="en-US" w:eastAsia="zh-CN"/>
        </w:rPr>
        <w:t>项目服务</w:t>
      </w:r>
      <w:r>
        <w:rPr>
          <w:rFonts w:hint="eastAsia" w:ascii="仿宋_GB2312" w:hAnsi="仿宋_GB2312" w:eastAsia="仿宋_GB2312" w:cs="仿宋_GB2312"/>
          <w:color w:val="auto"/>
          <w:sz w:val="32"/>
          <w:szCs w:val="40"/>
          <w:highlight w:val="none"/>
          <w:lang w:eastAsia="zh-CN"/>
        </w:rPr>
        <w:t>企业、</w:t>
      </w:r>
      <w:r>
        <w:rPr>
          <w:rFonts w:hint="eastAsia" w:ascii="仿宋_GB2312" w:hAnsi="仿宋_GB2312" w:eastAsia="仿宋_GB2312" w:cs="仿宋_GB2312"/>
          <w:color w:val="auto"/>
          <w:sz w:val="32"/>
          <w:szCs w:val="40"/>
          <w:highlight w:val="none"/>
          <w:lang w:val="en-US" w:eastAsia="zh-CN"/>
        </w:rPr>
        <w:t>高校、科研机构及引育</w:t>
      </w:r>
      <w:r>
        <w:rPr>
          <w:rFonts w:hint="eastAsia" w:ascii="仿宋_GB2312" w:hAnsi="仿宋_GB2312" w:eastAsia="仿宋_GB2312" w:cs="仿宋_GB2312"/>
          <w:color w:val="auto"/>
          <w:sz w:val="32"/>
          <w:szCs w:val="40"/>
          <w:highlight w:val="none"/>
          <w:lang w:eastAsia="zh-CN"/>
        </w:rPr>
        <w:t>人才等服务</w:t>
      </w:r>
      <w:r>
        <w:rPr>
          <w:rFonts w:hint="eastAsia" w:ascii="仿宋_GB2312" w:hAnsi="仿宋_GB2312" w:eastAsia="仿宋_GB2312" w:cs="仿宋_GB2312"/>
          <w:color w:val="auto"/>
          <w:sz w:val="32"/>
          <w:szCs w:val="40"/>
          <w:highlight w:val="none"/>
          <w:lang w:val="en-US" w:eastAsia="zh-CN"/>
        </w:rPr>
        <w:t>群体的</w:t>
      </w:r>
      <w:r>
        <w:rPr>
          <w:rFonts w:hint="eastAsia" w:ascii="仿宋_GB2312" w:hAnsi="仿宋_GB2312" w:eastAsia="仿宋_GB2312" w:cs="仿宋_GB2312"/>
          <w:color w:val="auto"/>
          <w:sz w:val="32"/>
          <w:szCs w:val="40"/>
          <w:highlight w:val="none"/>
          <w:lang w:eastAsia="zh-CN"/>
        </w:rPr>
        <w:t>反馈，评估</w:t>
      </w:r>
      <w:r>
        <w:rPr>
          <w:rFonts w:hint="eastAsia" w:ascii="仿宋_GB2312" w:hAnsi="仿宋_GB2312" w:eastAsia="仿宋_GB2312" w:cs="仿宋_GB2312"/>
          <w:color w:val="auto"/>
          <w:sz w:val="32"/>
          <w:szCs w:val="40"/>
          <w:highlight w:val="none"/>
          <w:lang w:val="en-US" w:eastAsia="zh-CN"/>
        </w:rPr>
        <w:t>其满意度</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4.评价标准。</w:t>
      </w:r>
      <w:r>
        <w:rPr>
          <w:rFonts w:hint="eastAsia" w:ascii="仿宋_GB2312" w:hAnsi="仿宋_GB2312" w:eastAsia="仿宋_GB2312" w:cs="仿宋_GB2312"/>
          <w:color w:val="auto"/>
          <w:sz w:val="32"/>
          <w:szCs w:val="40"/>
          <w:highlight w:val="none"/>
        </w:rPr>
        <w:t>绩效评价标准制定过程中，依据相关管理办法，参考相关行业专家意见，针对项目特点及具体评价指标，确定绩效评价要点和评价标准。具体评定标准以《</w:t>
      </w:r>
      <w:r>
        <w:rPr>
          <w:rFonts w:hint="eastAsia" w:ascii="仿宋_GB2312" w:hAnsi="仿宋_GB2312" w:eastAsia="仿宋_GB2312" w:cs="仿宋_GB2312"/>
          <w:color w:val="auto"/>
          <w:sz w:val="32"/>
          <w:szCs w:val="40"/>
          <w:highlight w:val="none"/>
          <w:lang w:val="en-US" w:eastAsia="zh-CN"/>
        </w:rPr>
        <w:t>战略合作协议</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共建协议</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青岛市科技计划项目任务书</w:t>
      </w:r>
      <w:r>
        <w:rPr>
          <w:rFonts w:hint="eastAsia" w:ascii="仿宋_GB2312" w:hAnsi="仿宋_GB2312" w:eastAsia="仿宋_GB2312" w:cs="仿宋_GB2312"/>
          <w:color w:val="auto"/>
          <w:sz w:val="32"/>
          <w:szCs w:val="40"/>
          <w:highlight w:val="none"/>
        </w:rPr>
        <w:t>》等文件约定的任务目标、行业平均水平、节点计划等为依据，按照评价要点对项目实际执行情况进行量化评分。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项目评价结果总分为100分，根据《青岛市市级项目支出预算绩效管理结果应用办法》（青财绩〔2023〕5号），等级划分为四档：90（含）-100分为优；80（含）-90分为良；60（含）-80分为中；0-60分为差。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（三）评价组织实施与评价方法</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1.评价组织实施。</w:t>
      </w:r>
      <w:r>
        <w:rPr>
          <w:rFonts w:hint="eastAsia" w:ascii="仿宋_GB2312" w:hAnsi="仿宋_GB2312" w:eastAsia="仿宋_GB2312" w:cs="仿宋_GB2312"/>
          <w:color w:val="auto"/>
          <w:sz w:val="32"/>
          <w:szCs w:val="40"/>
          <w:highlight w:val="none"/>
        </w:rPr>
        <w:t>主要包括前期准备、组织实施、撰写及提交绩效评价报告等环节和程序。</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1）前期准备（5月14日—5月31日）。成立评价工作组，梳理项目政策文件，了解项目基本情况及资金安排，明确评价目标与要求，草拟评价工作方案及指标体系。制定项目资料清单，核实分析项目资料及基础数据，结合专家意见完善评价方案及指标体系。征求市财政局、市科技局的意见，根据建议优化实施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（2）组织实施阶段（6月1日—6月30日）。开展现场评价，通过资料审查、数据核验、访谈调研等方式评价项目执行情况。开展社会调查收集服务群体反馈，客观评价项目</w:t>
      </w:r>
      <w:r>
        <w:rPr>
          <w:rFonts w:hint="eastAsia" w:ascii="仿宋_GB2312" w:hAnsi="仿宋_GB2312" w:eastAsia="仿宋_GB2312" w:cs="仿宋_GB2312"/>
          <w:color w:val="auto"/>
          <w:sz w:val="32"/>
          <w:szCs w:val="40"/>
          <w:highlight w:val="none"/>
          <w:lang w:val="en-US" w:eastAsia="zh-CN"/>
        </w:rPr>
        <w:t>实施</w:t>
      </w:r>
      <w:r>
        <w:rPr>
          <w:rFonts w:hint="eastAsia" w:ascii="仿宋_GB2312" w:hAnsi="仿宋_GB2312" w:eastAsia="仿宋_GB2312" w:cs="仿宋_GB2312"/>
          <w:color w:val="auto"/>
          <w:sz w:val="32"/>
          <w:szCs w:val="40"/>
          <w:highlight w:val="none"/>
        </w:rPr>
        <w:t>成效。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（3）撰写提交绩效评价报告（7月1日—7月31日）。综合项目资料、调研结果及专家意见撰写评价报告，经公司内部“三级复核”后向市财政局提交初稿</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rPr>
        <w:t>根据</w:t>
      </w:r>
      <w:r>
        <w:rPr>
          <w:rFonts w:hint="eastAsia" w:ascii="仿宋_GB2312" w:hAnsi="仿宋_GB2312" w:eastAsia="仿宋_GB2312" w:cs="仿宋_GB2312"/>
          <w:color w:val="auto"/>
          <w:sz w:val="32"/>
          <w:szCs w:val="40"/>
          <w:highlight w:val="none"/>
          <w:lang w:val="en-US" w:eastAsia="zh-CN"/>
        </w:rPr>
        <w:t>评审</w:t>
      </w:r>
      <w:r>
        <w:rPr>
          <w:rFonts w:hint="eastAsia" w:ascii="仿宋_GB2312" w:hAnsi="仿宋_GB2312" w:eastAsia="仿宋_GB2312" w:cs="仿宋_GB2312"/>
          <w:color w:val="auto"/>
          <w:sz w:val="32"/>
          <w:szCs w:val="40"/>
          <w:highlight w:val="none"/>
        </w:rPr>
        <w:t>意见修改完善，经市财政局、市科技局确认后，提交正式绩效评价报告并归档。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2.评价方法。</w:t>
      </w:r>
      <w:r>
        <w:rPr>
          <w:rFonts w:hint="eastAsia" w:ascii="仿宋_GB2312" w:hAnsi="仿宋_GB2312" w:eastAsia="仿宋_GB2312" w:cs="仿宋_GB2312"/>
          <w:color w:val="auto"/>
          <w:sz w:val="32"/>
          <w:szCs w:val="40"/>
          <w:highlight w:val="none"/>
        </w:rPr>
        <w:t>本次评价主要采用比较法、因素分析法、成本效益法、公众评判法等方法，通过现场评价的方式开展。</w:t>
      </w:r>
      <w:r>
        <w:rPr>
          <w:rFonts w:hint="eastAsia" w:ascii="仿宋_GB2312" w:hAnsi="仿宋_GB2312" w:eastAsia="仿宋_GB2312" w:cs="仿宋_GB2312"/>
          <w:b/>
          <w:bCs/>
          <w:color w:val="auto"/>
          <w:sz w:val="32"/>
          <w:szCs w:val="40"/>
          <w:highlight w:val="none"/>
        </w:rPr>
        <w:t>一是</w:t>
      </w:r>
      <w:r>
        <w:rPr>
          <w:rFonts w:hint="eastAsia" w:ascii="仿宋_GB2312" w:hAnsi="仿宋_GB2312" w:eastAsia="仿宋_GB2312" w:cs="仿宋_GB2312"/>
          <w:color w:val="auto"/>
          <w:sz w:val="32"/>
          <w:szCs w:val="40"/>
          <w:highlight w:val="none"/>
        </w:rPr>
        <w:t>与市科技局、</w:t>
      </w:r>
      <w:r>
        <w:rPr>
          <w:rFonts w:hint="eastAsia" w:ascii="仿宋_GB2312" w:hAnsi="仿宋_GB2312" w:eastAsia="仿宋_GB2312" w:cs="仿宋_GB2312"/>
          <w:color w:val="auto"/>
          <w:sz w:val="32"/>
          <w:szCs w:val="40"/>
          <w:highlight w:val="none"/>
          <w:lang w:val="en-US" w:eastAsia="zh-CN"/>
        </w:rPr>
        <w:t>崂山区工信</w:t>
      </w:r>
      <w:r>
        <w:rPr>
          <w:rFonts w:hint="eastAsia" w:ascii="仿宋_GB2312" w:hAnsi="仿宋_GB2312" w:eastAsia="仿宋_GB2312" w:cs="仿宋_GB2312"/>
          <w:color w:val="auto"/>
          <w:sz w:val="32"/>
          <w:szCs w:val="40"/>
          <w:highlight w:val="none"/>
        </w:rPr>
        <w:t>局、</w:t>
      </w:r>
      <w:r>
        <w:rPr>
          <w:rFonts w:hint="eastAsia" w:ascii="仿宋_GB2312" w:hAnsi="仿宋_GB2312" w:eastAsia="仿宋_GB2312" w:cs="仿宋_GB2312"/>
          <w:color w:val="auto"/>
          <w:sz w:val="32"/>
          <w:szCs w:val="40"/>
          <w:highlight w:val="none"/>
          <w:lang w:val="en-US" w:eastAsia="zh-CN"/>
        </w:rPr>
        <w:t>产研院（青岛）</w:t>
      </w:r>
      <w:r>
        <w:rPr>
          <w:rFonts w:hint="eastAsia" w:ascii="仿宋_GB2312" w:hAnsi="仿宋_GB2312" w:eastAsia="仿宋_GB2312" w:cs="仿宋_GB2312"/>
          <w:color w:val="auto"/>
          <w:sz w:val="32"/>
          <w:szCs w:val="40"/>
          <w:highlight w:val="none"/>
        </w:rPr>
        <w:t>等部门和单位进行访谈。</w:t>
      </w:r>
      <w:r>
        <w:rPr>
          <w:rFonts w:hint="eastAsia" w:ascii="仿宋_GB2312" w:hAnsi="仿宋_GB2312" w:eastAsia="仿宋_GB2312" w:cs="仿宋_GB2312"/>
          <w:b/>
          <w:bCs/>
          <w:color w:val="auto"/>
          <w:sz w:val="32"/>
          <w:szCs w:val="40"/>
          <w:highlight w:val="none"/>
        </w:rPr>
        <w:t>二是</w:t>
      </w:r>
      <w:r>
        <w:rPr>
          <w:rFonts w:hint="eastAsia" w:ascii="仿宋_GB2312" w:hAnsi="仿宋_GB2312" w:eastAsia="仿宋_GB2312" w:cs="仿宋_GB2312"/>
          <w:color w:val="auto"/>
          <w:sz w:val="32"/>
          <w:szCs w:val="40"/>
          <w:highlight w:val="none"/>
        </w:rPr>
        <w:t>对研究院相关任务完成情况开展调研，对项目实施管理、取得成效进行详细考察。现场评价覆盖项目组织实施单位总量的100%、项目预算总金额的100%。</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0"/>
        <w:rPr>
          <w:rFonts w:ascii="黑体" w:hAnsi="黑体" w:eastAsia="黑体" w:cs="黑体"/>
          <w:color w:val="auto"/>
          <w:sz w:val="32"/>
          <w:szCs w:val="40"/>
          <w:highlight w:val="none"/>
        </w:rPr>
      </w:pPr>
      <w:bookmarkStart w:id="4" w:name="_Toc10013"/>
      <w:bookmarkStart w:id="5" w:name="_Toc15543"/>
      <w:r>
        <w:rPr>
          <w:rFonts w:hint="eastAsia" w:ascii="黑体" w:hAnsi="黑体" w:eastAsia="黑体" w:cs="黑体"/>
          <w:color w:val="auto"/>
          <w:sz w:val="32"/>
          <w:szCs w:val="40"/>
          <w:highlight w:val="none"/>
        </w:rPr>
        <w:t>三、评价结论及分析</w:t>
      </w:r>
      <w:bookmarkEnd w:id="4"/>
      <w:bookmarkEnd w:id="5"/>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（一）综合评价结论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rPr>
        <w:t>该项目绩效评价得分</w:t>
      </w:r>
      <w:r>
        <w:rPr>
          <w:rFonts w:hint="eastAsia" w:ascii="仿宋_GB2312" w:hAnsi="仿宋_GB2312" w:eastAsia="仿宋_GB2312" w:cs="仿宋_GB2312"/>
          <w:color w:val="auto"/>
          <w:sz w:val="32"/>
          <w:szCs w:val="40"/>
          <w:highlight w:val="none"/>
          <w:lang w:val="en-US" w:eastAsia="zh-CN"/>
        </w:rPr>
        <w:t>85.99分（详见表3-1），评价结果为“良”。本项目通过</w:t>
      </w:r>
      <w:r>
        <w:rPr>
          <w:rFonts w:hint="eastAsia" w:ascii="仿宋_GB2312" w:hAnsi="仿宋_GB2312" w:eastAsia="仿宋_GB2312" w:cs="仿宋_GB2312"/>
          <w:color w:val="auto"/>
          <w:sz w:val="32"/>
          <w:szCs w:val="40"/>
          <w:highlight w:val="none"/>
        </w:rPr>
        <w:t>打造带动青岛市创新驱动发展</w:t>
      </w:r>
      <w:r>
        <w:rPr>
          <w:rFonts w:hint="eastAsia" w:ascii="仿宋_GB2312" w:hAnsi="仿宋_GB2312" w:eastAsia="仿宋_GB2312" w:cs="仿宋_GB2312"/>
          <w:color w:val="auto"/>
          <w:sz w:val="32"/>
          <w:szCs w:val="40"/>
          <w:highlight w:val="none"/>
          <w:lang w:val="en-US" w:eastAsia="zh-CN"/>
        </w:rPr>
        <w:t>的</w:t>
      </w:r>
      <w:r>
        <w:rPr>
          <w:rFonts w:hint="eastAsia" w:ascii="仿宋_GB2312" w:hAnsi="仿宋_GB2312" w:eastAsia="仿宋_GB2312" w:cs="仿宋_GB2312"/>
          <w:color w:val="auto"/>
          <w:sz w:val="32"/>
          <w:szCs w:val="40"/>
          <w:highlight w:val="none"/>
        </w:rPr>
        <w:t>核心引擎，</w:t>
      </w:r>
      <w:r>
        <w:rPr>
          <w:rFonts w:hint="eastAsia" w:ascii="仿宋_GB2312" w:hAnsi="仿宋_GB2312" w:eastAsia="仿宋_GB2312" w:cs="仿宋_GB2312"/>
          <w:color w:val="auto"/>
          <w:sz w:val="32"/>
          <w:szCs w:val="40"/>
          <w:highlight w:val="none"/>
          <w:lang w:val="en-US" w:eastAsia="zh-CN"/>
        </w:rPr>
        <w:t>聚焦</w:t>
      </w:r>
      <w:r>
        <w:rPr>
          <w:rFonts w:hint="eastAsia" w:ascii="仿宋_GB2312" w:hAnsi="仿宋_GB2312" w:eastAsia="仿宋_GB2312" w:cs="仿宋_GB2312"/>
          <w:color w:val="auto"/>
          <w:sz w:val="32"/>
          <w:szCs w:val="40"/>
          <w:highlight w:val="none"/>
        </w:rPr>
        <w:t>产业技术创新，</w:t>
      </w:r>
      <w:r>
        <w:rPr>
          <w:rFonts w:hint="eastAsia" w:ascii="仿宋_GB2312" w:hAnsi="仿宋_GB2312" w:eastAsia="仿宋_GB2312" w:cs="仿宋_GB2312"/>
          <w:color w:val="auto"/>
          <w:sz w:val="32"/>
          <w:szCs w:val="40"/>
          <w:highlight w:val="none"/>
          <w:lang w:val="en-US" w:eastAsia="zh-CN"/>
        </w:rPr>
        <w:t>推动</w:t>
      </w:r>
      <w:r>
        <w:rPr>
          <w:rFonts w:hint="eastAsia" w:ascii="仿宋_GB2312" w:hAnsi="仿宋_GB2312" w:eastAsia="仿宋_GB2312" w:cs="仿宋_GB2312"/>
          <w:color w:val="auto"/>
          <w:sz w:val="32"/>
          <w:szCs w:val="40"/>
          <w:highlight w:val="none"/>
        </w:rPr>
        <w:t>先进成果在青岛市落地转化和产业化</w:t>
      </w:r>
      <w:r>
        <w:rPr>
          <w:rFonts w:hint="eastAsia" w:ascii="仿宋_GB2312" w:hAnsi="仿宋_GB2312" w:eastAsia="仿宋_GB2312" w:cs="仿宋_GB2312"/>
          <w:color w:val="auto"/>
          <w:sz w:val="32"/>
          <w:szCs w:val="40"/>
          <w:highlight w:val="none"/>
          <w:lang w:val="en-US" w:eastAsia="zh-CN"/>
        </w:rPr>
        <w:t>，契合《山东省人民政府关于建立山东产业技术研究院推动创新发展的框架意见》（鲁政字〔2019〕26号）精神，立项依据充分。项目由青岛市人民政府与山东产研院签订《战略合作协议》，立项程序规范，建设经费实行“包干制”管理试点，实施管理较为规范。近年来，项目</w:t>
      </w:r>
      <w:r>
        <w:rPr>
          <w:rFonts w:hint="eastAsia" w:ascii="仿宋_GB2312" w:hAnsi="仿宋_GB2312" w:eastAsia="仿宋_GB2312" w:cs="仿宋_GB2312"/>
          <w:color w:val="auto"/>
          <w:sz w:val="32"/>
          <w:szCs w:val="32"/>
          <w:highlight w:val="none"/>
          <w:lang w:val="en-US" w:eastAsia="zh-CN" w:bidi="ar-SA"/>
        </w:rPr>
        <w:t>通过对接高校院所、征集技术成果、</w:t>
      </w:r>
      <w:r>
        <w:rPr>
          <w:rFonts w:hint="eastAsia" w:ascii="仿宋_GB2312" w:hAnsi="仿宋_GB2312" w:eastAsia="仿宋_GB2312" w:cs="仿宋_GB2312"/>
          <w:color w:val="auto"/>
          <w:sz w:val="32"/>
          <w:szCs w:val="40"/>
          <w:highlight w:val="none"/>
          <w:lang w:val="en-US" w:eastAsia="zh-CN"/>
        </w:rPr>
        <w:t>搭建平台建设、服务各发展阶段的企业、调研走访专精特新企业、开展人才引进培育等系列工作，累计</w:t>
      </w:r>
      <w:r>
        <w:rPr>
          <w:rFonts w:hint="eastAsia" w:ascii="仿宋_GB2312" w:hAnsi="仿宋_GB2312" w:eastAsia="仿宋_GB2312" w:cs="仿宋_GB2312"/>
          <w:color w:val="auto"/>
          <w:sz w:val="32"/>
          <w:szCs w:val="40"/>
          <w:highlight w:val="none"/>
        </w:rPr>
        <w:t>引进及孵化企业</w:t>
      </w:r>
      <w:r>
        <w:rPr>
          <w:rFonts w:hint="eastAsia" w:ascii="仿宋_GB2312" w:hAnsi="仿宋_GB2312" w:eastAsia="仿宋_GB2312" w:cs="仿宋_GB2312"/>
          <w:color w:val="auto"/>
          <w:sz w:val="32"/>
          <w:szCs w:val="40"/>
          <w:highlight w:val="none"/>
          <w:lang w:val="en-US" w:eastAsia="zh-CN"/>
        </w:rPr>
        <w:t>56</w:t>
      </w:r>
      <w:r>
        <w:rPr>
          <w:rFonts w:hint="eastAsia" w:ascii="仿宋_GB2312" w:hAnsi="仿宋_GB2312" w:eastAsia="仿宋_GB2312" w:cs="仿宋_GB2312"/>
          <w:color w:val="auto"/>
          <w:sz w:val="32"/>
          <w:szCs w:val="40"/>
          <w:highlight w:val="none"/>
        </w:rPr>
        <w:t>家，带动社会投融资金额</w:t>
      </w:r>
      <w:r>
        <w:rPr>
          <w:rFonts w:hint="eastAsia" w:ascii="仿宋_GB2312" w:hAnsi="仿宋_GB2312" w:eastAsia="仿宋_GB2312" w:cs="仿宋_GB2312"/>
          <w:color w:val="auto"/>
          <w:sz w:val="32"/>
          <w:szCs w:val="40"/>
          <w:highlight w:val="none"/>
          <w:lang w:val="en-US" w:eastAsia="zh-CN"/>
        </w:rPr>
        <w:t>8.11</w:t>
      </w:r>
      <w:r>
        <w:rPr>
          <w:rFonts w:hint="eastAsia" w:ascii="仿宋_GB2312" w:hAnsi="仿宋_GB2312" w:eastAsia="仿宋_GB2312" w:cs="仿宋_GB2312"/>
          <w:color w:val="auto"/>
          <w:sz w:val="32"/>
          <w:szCs w:val="40"/>
          <w:highlight w:val="none"/>
        </w:rPr>
        <w:t>亿元，转移转化先进技术</w:t>
      </w:r>
      <w:r>
        <w:rPr>
          <w:rFonts w:hint="eastAsia" w:ascii="仿宋_GB2312" w:hAnsi="仿宋_GB2312" w:eastAsia="仿宋_GB2312" w:cs="仿宋_GB2312"/>
          <w:color w:val="auto"/>
          <w:sz w:val="32"/>
          <w:szCs w:val="40"/>
          <w:highlight w:val="none"/>
          <w:lang w:val="en-US" w:eastAsia="zh-CN"/>
        </w:rPr>
        <w:t>103</w:t>
      </w:r>
      <w:r>
        <w:rPr>
          <w:rFonts w:hint="eastAsia" w:ascii="仿宋_GB2312" w:hAnsi="仿宋_GB2312" w:eastAsia="仿宋_GB2312" w:cs="仿宋_GB2312"/>
          <w:color w:val="auto"/>
          <w:sz w:val="32"/>
          <w:szCs w:val="40"/>
          <w:highlight w:val="none"/>
        </w:rPr>
        <w:t>项，培育高新技术企业</w:t>
      </w:r>
      <w:r>
        <w:rPr>
          <w:rFonts w:hint="eastAsia" w:ascii="仿宋_GB2312" w:hAnsi="仿宋_GB2312" w:eastAsia="仿宋_GB2312" w:cs="仿宋_GB2312"/>
          <w:color w:val="auto"/>
          <w:sz w:val="32"/>
          <w:szCs w:val="40"/>
          <w:highlight w:val="none"/>
          <w:lang w:val="en-US" w:eastAsia="zh-CN"/>
        </w:rPr>
        <w:t>8</w:t>
      </w:r>
      <w:r>
        <w:rPr>
          <w:rFonts w:hint="eastAsia" w:ascii="仿宋_GB2312" w:hAnsi="仿宋_GB2312" w:eastAsia="仿宋_GB2312" w:cs="仿宋_GB2312"/>
          <w:color w:val="auto"/>
          <w:sz w:val="32"/>
          <w:szCs w:val="40"/>
          <w:highlight w:val="none"/>
        </w:rPr>
        <w:t>家</w:t>
      </w:r>
      <w:r>
        <w:rPr>
          <w:rFonts w:hint="eastAsia" w:ascii="仿宋_GB2312" w:hAnsi="仿宋_GB2312" w:eastAsia="仿宋_GB2312" w:cs="仿宋_GB2312"/>
          <w:color w:val="auto"/>
          <w:sz w:val="32"/>
          <w:szCs w:val="40"/>
          <w:highlight w:val="none"/>
          <w:lang w:val="en-US" w:eastAsia="zh-CN"/>
        </w:rPr>
        <w:t>，取得一定成效。</w:t>
      </w:r>
      <w:r>
        <w:rPr>
          <w:rFonts w:hint="eastAsia" w:ascii="仿宋_GB2312" w:hAnsi="仿宋_GB2312" w:eastAsia="仿宋_GB2312" w:cs="仿宋_GB2312"/>
          <w:color w:val="auto"/>
          <w:sz w:val="32"/>
          <w:szCs w:val="40"/>
          <w:highlight w:val="none"/>
          <w:lang w:eastAsia="zh-CN"/>
        </w:rPr>
        <w:t>但</w:t>
      </w:r>
      <w:r>
        <w:rPr>
          <w:rFonts w:hint="eastAsia" w:ascii="仿宋_GB2312" w:hAnsi="仿宋_GB2312" w:eastAsia="仿宋_GB2312" w:cs="仿宋_GB2312"/>
          <w:color w:val="auto"/>
          <w:sz w:val="32"/>
          <w:szCs w:val="40"/>
          <w:highlight w:val="none"/>
          <w:lang w:val="en-US" w:eastAsia="zh-CN"/>
        </w:rPr>
        <w:t>在</w:t>
      </w:r>
      <w:r>
        <w:rPr>
          <w:rFonts w:hint="eastAsia" w:ascii="仿宋_GB2312" w:hAnsi="仿宋_GB2312" w:eastAsia="仿宋_GB2312" w:cs="仿宋_GB2312"/>
          <w:color w:val="auto"/>
          <w:sz w:val="32"/>
          <w:szCs w:val="40"/>
          <w:highlight w:val="none"/>
          <w:lang w:eastAsia="zh-CN"/>
        </w:rPr>
        <w:t>实施过程中也存在一些问题，如，</w:t>
      </w:r>
      <w:r>
        <w:rPr>
          <w:rFonts w:hint="eastAsia" w:ascii="仿宋_GB2312" w:hAnsi="仿宋_GB2312" w:eastAsia="仿宋_GB2312" w:cs="仿宋_GB2312"/>
          <w:color w:val="auto"/>
          <w:sz w:val="32"/>
          <w:szCs w:val="40"/>
          <w:highlight w:val="none"/>
          <w:lang w:val="en-US" w:eastAsia="zh-CN"/>
        </w:rPr>
        <w:t>任务期内新增引进及孵化企业、带动社会投融资和培育高新技术企业3项核心指标未完成，其中，新增融资完成率25.67%、新增培育高新技术企业</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20</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新增引进及孵化企业</w:t>
      </w:r>
      <w:r>
        <w:rPr>
          <w:rFonts w:hint="eastAsia" w:ascii="仿宋_GB2312" w:hAnsi="仿宋_GB2312" w:eastAsia="仿宋_GB2312" w:cs="仿宋_GB2312"/>
          <w:color w:val="auto"/>
          <w:sz w:val="32"/>
          <w:szCs w:val="40"/>
          <w:highlight w:val="none"/>
          <w:lang w:val="en-US" w:eastAsia="zh-CN"/>
        </w:rPr>
        <w:t>完成率33.33%；引进企业中高成长性企业占比不高，部分企业生存发展能力较弱；租用人才公寓，存在低效使用现象。</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表3-1</w:t>
      </w:r>
      <w:r>
        <w:rPr>
          <w:rFonts w:hint="eastAsia" w:ascii="黑体" w:hAnsi="黑体" w:eastAsia="黑体" w:cs="黑体"/>
          <w:color w:val="auto"/>
          <w:sz w:val="28"/>
          <w:szCs w:val="28"/>
          <w:highlight w:val="none"/>
        </w:rPr>
        <w:t>山东产业技术研究院项目绩效评价得分情况表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一级指标</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指标分值</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得分</w:t>
            </w:r>
          </w:p>
        </w:tc>
        <w:tc>
          <w:tcPr>
            <w:tcW w:w="2088"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决策</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w:t>
            </w:r>
          </w:p>
        </w:tc>
        <w:tc>
          <w:tcPr>
            <w:tcW w:w="2088"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过程</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16.5</w:t>
            </w:r>
          </w:p>
        </w:tc>
        <w:tc>
          <w:tcPr>
            <w:tcW w:w="2088"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产出</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30</w:t>
            </w:r>
          </w:p>
        </w:tc>
        <w:tc>
          <w:tcPr>
            <w:tcW w:w="2087" w:type="dxa"/>
            <w:vAlign w:val="bottom"/>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26.85</w:t>
            </w:r>
          </w:p>
        </w:tc>
        <w:tc>
          <w:tcPr>
            <w:tcW w:w="2088" w:type="dxa"/>
            <w:vAlign w:val="bottom"/>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效益</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w:t>
            </w:r>
          </w:p>
        </w:tc>
        <w:tc>
          <w:tcPr>
            <w:tcW w:w="2087" w:type="dxa"/>
            <w:vAlign w:val="bottom"/>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28.64</w:t>
            </w:r>
          </w:p>
        </w:tc>
        <w:tc>
          <w:tcPr>
            <w:tcW w:w="2088" w:type="dxa"/>
            <w:vAlign w:val="bottom"/>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合计</w:t>
            </w:r>
          </w:p>
        </w:tc>
        <w:tc>
          <w:tcPr>
            <w:tcW w:w="2087" w:type="dxa"/>
            <w:vAlign w:val="center"/>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w:t>
            </w:r>
          </w:p>
        </w:tc>
        <w:tc>
          <w:tcPr>
            <w:tcW w:w="2087" w:type="dxa"/>
            <w:vAlign w:val="bottom"/>
          </w:tcPr>
          <w:p>
            <w:pPr>
              <w:keepNext w:val="0"/>
              <w:keepLines w:val="0"/>
              <w:pageBreakBefore w:val="0"/>
              <w:kinsoku/>
              <w:wordWrap/>
              <w:overflowPunct/>
              <w:topLinePunct w:val="0"/>
              <w:autoSpaceDE/>
              <w:autoSpaceDN/>
              <w:bidi w:val="0"/>
              <w:spacing w:line="600" w:lineRule="exact"/>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85.99</w:t>
            </w:r>
          </w:p>
        </w:tc>
        <w:tc>
          <w:tcPr>
            <w:tcW w:w="2088" w:type="dxa"/>
            <w:vAlign w:val="bottom"/>
          </w:tcPr>
          <w:p>
            <w:pPr>
              <w:keepNext w:val="0"/>
              <w:keepLines w:val="0"/>
              <w:pageBreakBefore w:val="0"/>
              <w:kinsoku/>
              <w:wordWrap/>
              <w:overflowPunct/>
              <w:topLinePunct w:val="0"/>
              <w:autoSpaceDE/>
              <w:autoSpaceDN/>
              <w:bidi w:val="0"/>
              <w:spacing w:line="6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85.99%</w:t>
            </w:r>
          </w:p>
        </w:tc>
      </w:tr>
    </w:tbl>
    <w:p>
      <w:pPr>
        <w:keepNext w:val="0"/>
        <w:keepLines w:val="0"/>
        <w:pageBreakBefore w:val="0"/>
        <w:widowControl w:val="0"/>
        <w:kinsoku/>
        <w:wordWrap/>
        <w:overflowPunct/>
        <w:topLinePunct w:val="0"/>
        <w:autoSpaceDE/>
        <w:autoSpaceDN/>
        <w:bidi w:val="0"/>
        <w:adjustRightInd w:val="0"/>
        <w:snapToGrid w:val="0"/>
        <w:spacing w:before="157" w:beforeLines="50" w:line="580" w:lineRule="exact"/>
        <w:ind w:firstLine="640" w:firstLineChars="200"/>
        <w:textAlignment w:val="auto"/>
        <w:outlineLvl w:val="9"/>
        <w:rPr>
          <w:rFonts w:ascii="楷体_GB2312" w:hAnsi="楷体_GB2312" w:eastAsia="楷体_GB2312" w:cs="楷体_GB2312"/>
          <w:color w:val="auto"/>
          <w:sz w:val="32"/>
          <w:szCs w:val="40"/>
          <w:highlight w:val="none"/>
        </w:rPr>
      </w:pPr>
      <w:r>
        <w:rPr>
          <w:rFonts w:hint="eastAsia" w:ascii="楷体_GB2312" w:hAnsi="楷体_GB2312" w:eastAsia="楷体_GB2312" w:cs="楷体_GB2312"/>
          <w:color w:val="auto"/>
          <w:sz w:val="32"/>
          <w:szCs w:val="40"/>
          <w:highlight w:val="none"/>
        </w:rPr>
        <w:t>（二）指标分析</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sz w:val="32"/>
          <w:szCs w:val="40"/>
          <w:highlight w:val="none"/>
        </w:rPr>
        <w:t>1.决策指标分析</w:t>
      </w:r>
      <w:r>
        <w:rPr>
          <w:rFonts w:hint="eastAsia" w:ascii="仿宋_GB2312" w:hAnsi="仿宋_GB2312" w:eastAsia="仿宋_GB2312" w:cs="仿宋_GB2312"/>
          <w:b/>
          <w:bCs/>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指标分值15分，得分14分，得分率93.33%。本项目依据青岛市人民政府与山东产研院签订的《战略合作协议》立项，依托山东产业技术研究院在技术攻关、产业孵化的体制机制优势及人才与创新团队的优势，成立新型产业化创新机构，旨在促进先进成果在青岛市实现落地转化和产业化，立项依据充分，立项程序规范。2021年3月，山东产研院、市科技局、崂山区人民政府签署《共建协议》，明确建设思路、运行模式及主要建设内容，由市、区两级投入运营资金及场地公寓保障项目实施。项目按照共建协议约定期限及任务目标，分期签订《青岛市科技计划项目任务书》明确年度考核指标，依据《关于加强山东产业技术研究院（青岛）建设经费管理使用的通知》（青科基字〔2022〕9号）考核，按照考核结果确定年度预算安排。项目按规定与预算申请同步编制了年度绩效目标，但绩效指标值设置不够规范，存在指标值与项目约定任务数不匹配的现象，</w:t>
      </w:r>
      <w:r>
        <w:rPr>
          <w:rFonts w:hint="eastAsia" w:ascii="仿宋_GB2312" w:hAnsi="仿宋_GB2312" w:eastAsia="仿宋_GB2312" w:cs="仿宋_GB2312"/>
          <w:b w:val="0"/>
          <w:bCs w:val="0"/>
          <w:color w:val="auto"/>
          <w:sz w:val="32"/>
          <w:szCs w:val="40"/>
          <w:highlight w:val="none"/>
          <w:lang w:val="en-US" w:eastAsia="zh-CN"/>
        </w:rPr>
        <w:t>如，将在崂山区累计完成值设定为年度指标值，与任务约定的青岛市全域完成值目标存在口径偏差。</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rPr>
        <w:t>2.过程指标分析</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color w:val="auto"/>
          <w:sz w:val="32"/>
          <w:szCs w:val="40"/>
          <w:highlight w:val="none"/>
          <w:lang w:eastAsia="zh-CN"/>
        </w:rPr>
        <w:t>指标分值</w:t>
      </w:r>
      <w:r>
        <w:rPr>
          <w:rFonts w:hint="eastAsia" w:ascii="仿宋_GB2312" w:hAnsi="仿宋_GB2312" w:eastAsia="仿宋_GB2312" w:cs="仿宋_GB2312"/>
          <w:color w:val="auto"/>
          <w:sz w:val="32"/>
          <w:szCs w:val="40"/>
          <w:highlight w:val="none"/>
          <w:lang w:val="en-US" w:eastAsia="zh-CN"/>
        </w:rPr>
        <w:t>20分，得分16.5分，得分率82.5%。根据《共建协议》，市、区两级共需提供</w:t>
      </w:r>
      <w:r>
        <w:rPr>
          <w:rFonts w:hint="eastAsia" w:ascii="仿宋_GB2312" w:hAnsi="仿宋_GB2312" w:eastAsia="仿宋_GB2312" w:cs="仿宋_GB2312"/>
          <w:color w:val="auto"/>
          <w:sz w:val="32"/>
          <w:szCs w:val="40"/>
          <w:highlight w:val="none"/>
          <w:lang w:eastAsia="zh-CN"/>
        </w:rPr>
        <w:t>项目</w:t>
      </w:r>
      <w:r>
        <w:rPr>
          <w:rFonts w:hint="eastAsia" w:ascii="仿宋_GB2312" w:hAnsi="仿宋_GB2312" w:eastAsia="仿宋_GB2312" w:cs="仿宋_GB2312"/>
          <w:color w:val="auto"/>
          <w:sz w:val="32"/>
          <w:szCs w:val="40"/>
          <w:highlight w:val="none"/>
          <w:lang w:val="en-US" w:eastAsia="zh-CN"/>
        </w:rPr>
        <w:t>运营补助</w:t>
      </w:r>
      <w:r>
        <w:rPr>
          <w:rFonts w:hint="eastAsia" w:ascii="仿宋_GB2312" w:hAnsi="仿宋_GB2312" w:eastAsia="仿宋_GB2312" w:cs="仿宋_GB2312"/>
          <w:color w:val="auto"/>
          <w:sz w:val="32"/>
          <w:szCs w:val="40"/>
          <w:highlight w:val="none"/>
          <w:lang w:eastAsia="zh-CN"/>
        </w:rPr>
        <w:t>资金</w:t>
      </w:r>
      <w:r>
        <w:rPr>
          <w:rFonts w:hint="eastAsia" w:ascii="仿宋_GB2312" w:hAnsi="仿宋_GB2312" w:eastAsia="仿宋_GB2312" w:cs="仿宋_GB2312"/>
          <w:color w:val="auto"/>
          <w:sz w:val="32"/>
          <w:szCs w:val="40"/>
          <w:highlight w:val="none"/>
          <w:lang w:val="en-US" w:eastAsia="zh-CN"/>
        </w:rPr>
        <w:t>300</w:t>
      </w:r>
      <w:r>
        <w:rPr>
          <w:rFonts w:hint="eastAsia" w:ascii="仿宋_GB2312" w:hAnsi="仿宋_GB2312" w:eastAsia="仿宋_GB2312" w:cs="仿宋_GB2312"/>
          <w:color w:val="auto"/>
          <w:sz w:val="32"/>
          <w:szCs w:val="40"/>
          <w:highlight w:val="none"/>
          <w:lang w:eastAsia="zh-CN"/>
        </w:rPr>
        <w:t>00万元（市级</w:t>
      </w:r>
      <w:r>
        <w:rPr>
          <w:rFonts w:hint="eastAsia" w:ascii="仿宋_GB2312" w:hAnsi="仿宋_GB2312" w:eastAsia="仿宋_GB2312" w:cs="仿宋_GB2312"/>
          <w:color w:val="auto"/>
          <w:sz w:val="32"/>
          <w:szCs w:val="40"/>
          <w:highlight w:val="none"/>
          <w:lang w:val="en-US" w:eastAsia="zh-CN"/>
        </w:rPr>
        <w:t>100</w:t>
      </w:r>
      <w:r>
        <w:rPr>
          <w:rFonts w:hint="eastAsia" w:ascii="仿宋_GB2312" w:hAnsi="仿宋_GB2312" w:eastAsia="仿宋_GB2312" w:cs="仿宋_GB2312"/>
          <w:color w:val="auto"/>
          <w:sz w:val="32"/>
          <w:szCs w:val="40"/>
          <w:highlight w:val="none"/>
          <w:lang w:eastAsia="zh-CN"/>
        </w:rPr>
        <w:t>00万元、</w:t>
      </w:r>
      <w:r>
        <w:rPr>
          <w:rFonts w:hint="eastAsia" w:ascii="仿宋_GB2312" w:hAnsi="仿宋_GB2312" w:eastAsia="仿宋_GB2312" w:cs="仿宋_GB2312"/>
          <w:color w:val="auto"/>
          <w:sz w:val="32"/>
          <w:szCs w:val="40"/>
          <w:highlight w:val="none"/>
          <w:lang w:val="en-US" w:eastAsia="zh-CN"/>
        </w:rPr>
        <w:t>崂山</w:t>
      </w:r>
      <w:r>
        <w:rPr>
          <w:rFonts w:hint="eastAsia" w:ascii="仿宋_GB2312" w:hAnsi="仿宋_GB2312" w:eastAsia="仿宋_GB2312" w:cs="仿宋_GB2312"/>
          <w:color w:val="auto"/>
          <w:sz w:val="32"/>
          <w:szCs w:val="40"/>
          <w:highlight w:val="none"/>
          <w:lang w:eastAsia="zh-CN"/>
        </w:rPr>
        <w:t>区级2</w:t>
      </w:r>
      <w:r>
        <w:rPr>
          <w:rFonts w:hint="eastAsia" w:ascii="仿宋_GB2312" w:hAnsi="仿宋_GB2312" w:eastAsia="仿宋_GB2312" w:cs="仿宋_GB2312"/>
          <w:color w:val="auto"/>
          <w:sz w:val="32"/>
          <w:szCs w:val="40"/>
          <w:highlight w:val="none"/>
          <w:lang w:val="en-US" w:eastAsia="zh-CN"/>
        </w:rPr>
        <w:t>00</w:t>
      </w:r>
      <w:r>
        <w:rPr>
          <w:rFonts w:hint="eastAsia" w:ascii="仿宋_GB2312" w:hAnsi="仿宋_GB2312" w:eastAsia="仿宋_GB2312" w:cs="仿宋_GB2312"/>
          <w:color w:val="auto"/>
          <w:sz w:val="32"/>
          <w:szCs w:val="40"/>
          <w:highlight w:val="none"/>
          <w:lang w:eastAsia="zh-CN"/>
        </w:rPr>
        <w:t>00万元），</w:t>
      </w:r>
      <w:r>
        <w:rPr>
          <w:rFonts w:hint="eastAsia" w:ascii="仿宋_GB2312" w:hAnsi="仿宋_GB2312" w:eastAsia="仿宋_GB2312" w:cs="仿宋_GB2312"/>
          <w:color w:val="auto"/>
          <w:sz w:val="32"/>
          <w:szCs w:val="40"/>
          <w:highlight w:val="none"/>
          <w:lang w:val="en-US" w:eastAsia="zh-CN"/>
        </w:rPr>
        <w:t>截至2024年底，</w:t>
      </w:r>
      <w:r>
        <w:rPr>
          <w:rFonts w:hint="eastAsia" w:ascii="仿宋_GB2312" w:hAnsi="仿宋_GB2312" w:eastAsia="仿宋_GB2312" w:cs="仿宋_GB2312"/>
          <w:color w:val="auto"/>
          <w:sz w:val="32"/>
          <w:szCs w:val="40"/>
          <w:highlight w:val="none"/>
          <w:lang w:eastAsia="zh-CN"/>
        </w:rPr>
        <w:t>实际到位</w:t>
      </w:r>
      <w:r>
        <w:rPr>
          <w:rFonts w:hint="eastAsia" w:ascii="仿宋_GB2312" w:hAnsi="仿宋_GB2312" w:eastAsia="仿宋_GB2312" w:cs="仿宋_GB2312"/>
          <w:color w:val="auto"/>
          <w:sz w:val="32"/>
          <w:szCs w:val="40"/>
          <w:highlight w:val="none"/>
          <w:lang w:val="en-US" w:eastAsia="zh-CN"/>
        </w:rPr>
        <w:t>14500</w:t>
      </w:r>
      <w:r>
        <w:rPr>
          <w:rFonts w:hint="eastAsia" w:ascii="仿宋_GB2312" w:hAnsi="仿宋_GB2312" w:eastAsia="仿宋_GB2312" w:cs="仿宋_GB2312"/>
          <w:color w:val="auto"/>
          <w:sz w:val="32"/>
          <w:szCs w:val="40"/>
          <w:highlight w:val="none"/>
          <w:lang w:eastAsia="zh-CN"/>
        </w:rPr>
        <w:t>万元（</w:t>
      </w:r>
      <w:r>
        <w:rPr>
          <w:rFonts w:hint="eastAsia" w:ascii="仿宋_GB2312" w:hAnsi="仿宋_GB2312" w:eastAsia="仿宋_GB2312" w:cs="仿宋_GB2312"/>
          <w:color w:val="auto"/>
          <w:sz w:val="32"/>
          <w:szCs w:val="40"/>
          <w:highlight w:val="none"/>
          <w:lang w:val="en-US" w:eastAsia="zh-CN"/>
        </w:rPr>
        <w:t>市级9500万元、崂山区5000万元</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崂山区资金到率25%</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根据青科基字〔2022〕9号，</w:t>
      </w:r>
      <w:r>
        <w:rPr>
          <w:rFonts w:hint="eastAsia" w:ascii="仿宋_GB2312" w:hAnsi="仿宋_GB2312" w:eastAsia="仿宋_GB2312" w:cs="仿宋_GB2312"/>
          <w:color w:val="auto"/>
          <w:sz w:val="32"/>
          <w:szCs w:val="40"/>
          <w:highlight w:val="none"/>
          <w:lang w:eastAsia="zh-CN"/>
        </w:rPr>
        <w:t>项目建设经费实行“包干制”+负面清单模式管理</w:t>
      </w:r>
      <w:r>
        <w:rPr>
          <w:rFonts w:hint="eastAsia" w:ascii="仿宋_GB2312" w:eastAsia="仿宋_GB2312"/>
          <w:color w:val="auto"/>
          <w:sz w:val="32"/>
          <w:szCs w:val="32"/>
          <w:highlight w:val="none"/>
        </w:rPr>
        <w:t>，实行以结果为导向的年度绩效评价机制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由产研院（青岛）自主决定建设经费包干、内部薪酬激励、科技成果转化等实施路径，建设经费无需编制预算，不再分为直接费用和间接费用，实行定额包干资助</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但产研院（青岛）</w:t>
      </w:r>
      <w:r>
        <w:rPr>
          <w:rFonts w:hint="eastAsia" w:ascii="仿宋_GB2312" w:eastAsia="仿宋_GB2312"/>
          <w:color w:val="auto"/>
          <w:sz w:val="32"/>
          <w:szCs w:val="32"/>
          <w:highlight w:val="none"/>
          <w:lang w:val="en-US" w:eastAsia="zh-CN"/>
        </w:rPr>
        <w:t>在与所属全资公司的经营性往来上，需要区分</w:t>
      </w:r>
      <w:r>
        <w:rPr>
          <w:rFonts w:hint="eastAsia" w:ascii="仿宋_GB2312" w:eastAsia="仿宋_GB2312"/>
          <w:color w:val="auto"/>
          <w:sz w:val="32"/>
          <w:szCs w:val="32"/>
          <w:highlight w:val="none"/>
        </w:rPr>
        <w:t>产研院（青岛）</w:t>
      </w:r>
      <w:r>
        <w:rPr>
          <w:rFonts w:hint="eastAsia" w:ascii="仿宋_GB2312" w:eastAsia="仿宋_GB2312"/>
          <w:color w:val="auto"/>
          <w:sz w:val="32"/>
          <w:szCs w:val="32"/>
          <w:highlight w:val="none"/>
          <w:lang w:val="en-US" w:eastAsia="zh-CN"/>
        </w:rPr>
        <w:t>和</w:t>
      </w:r>
      <w:r>
        <w:rPr>
          <w:rFonts w:hint="eastAsia" w:ascii="仿宋_GB2312" w:hAnsi="仿宋_GB2312" w:eastAsia="仿宋_GB2312" w:cs="仿宋_GB2312"/>
          <w:color w:val="auto"/>
          <w:sz w:val="32"/>
          <w:szCs w:val="40"/>
          <w:highlight w:val="none"/>
          <w:lang w:eastAsia="zh-CN"/>
        </w:rPr>
        <w:t>产研投（青岛）公司</w:t>
      </w:r>
      <w:r>
        <w:rPr>
          <w:rFonts w:hint="eastAsia" w:ascii="仿宋_GB2312" w:hAnsi="仿宋_GB2312" w:eastAsia="仿宋_GB2312" w:cs="仿宋_GB2312"/>
          <w:color w:val="auto"/>
          <w:sz w:val="32"/>
          <w:szCs w:val="40"/>
          <w:highlight w:val="none"/>
          <w:lang w:val="en-US" w:eastAsia="zh-CN"/>
        </w:rPr>
        <w:t>各自的业务支出</w:t>
      </w:r>
      <w:r>
        <w:rPr>
          <w:rFonts w:hint="eastAsia" w:ascii="仿宋_GB2312" w:eastAsia="仿宋_GB2312"/>
          <w:color w:val="auto"/>
          <w:sz w:val="32"/>
          <w:szCs w:val="32"/>
          <w:highlight w:val="none"/>
          <w:lang w:val="en-US" w:eastAsia="zh-CN"/>
        </w:rPr>
        <w:t>，合理归集支出。</w:t>
      </w:r>
      <w:r>
        <w:rPr>
          <w:rFonts w:hint="eastAsia" w:ascii="仿宋_GB2312" w:hAnsi="仿宋_GB2312" w:eastAsia="仿宋_GB2312" w:cs="仿宋_GB2312"/>
          <w:color w:val="auto"/>
          <w:sz w:val="32"/>
          <w:szCs w:val="40"/>
          <w:highlight w:val="none"/>
        </w:rPr>
        <w:t>2022—2025年，</w:t>
      </w:r>
      <w:r>
        <w:rPr>
          <w:rFonts w:hint="eastAsia" w:ascii="仿宋_GB2312" w:hAnsi="仿宋_GB2312" w:eastAsia="仿宋_GB2312" w:cs="仿宋_GB2312"/>
          <w:color w:val="auto"/>
          <w:sz w:val="32"/>
          <w:szCs w:val="40"/>
          <w:highlight w:val="none"/>
          <w:lang w:val="en-US" w:eastAsia="zh-CN"/>
        </w:rPr>
        <w:t>累计用于商务、会议等</w:t>
      </w:r>
      <w:r>
        <w:rPr>
          <w:rFonts w:hint="eastAsia" w:ascii="仿宋_GB2312" w:eastAsia="仿宋_GB2312"/>
          <w:color w:val="auto"/>
          <w:sz w:val="32"/>
          <w:szCs w:val="32"/>
          <w:highlight w:val="none"/>
          <w:lang w:val="en-US" w:eastAsia="zh-CN"/>
        </w:rPr>
        <w:t>咖啡支出15.21万元，</w:t>
      </w:r>
      <w:r>
        <w:rPr>
          <w:rFonts w:hint="eastAsia" w:ascii="仿宋_GB2312" w:hAnsi="仿宋_GB2312" w:eastAsia="仿宋_GB2312" w:cs="仿宋_GB2312"/>
          <w:color w:val="auto"/>
          <w:sz w:val="32"/>
          <w:szCs w:val="40"/>
          <w:highlight w:val="none"/>
          <w:lang w:val="en-US" w:eastAsia="zh-CN"/>
        </w:rPr>
        <w:t>全部归集为研究院支出，未区分产研投公司的业务费用。项目实施过程中，市科技局根据青科基字〔2022〕9号对项目开展情况组织专家进行了综合评价；</w:t>
      </w:r>
      <w:r>
        <w:rPr>
          <w:rFonts w:hint="eastAsia" w:ascii="仿宋_GB2312" w:hAnsi="仿宋_GB2312" w:eastAsia="仿宋_GB2312" w:cs="仿宋_GB2312"/>
          <w:color w:val="auto"/>
          <w:sz w:val="32"/>
          <w:szCs w:val="40"/>
          <w:highlight w:val="none"/>
        </w:rPr>
        <w:t>崂山区工信局委托第三方对项目实施情况开展了专项审计及绩效评估。</w:t>
      </w:r>
      <w:r>
        <w:rPr>
          <w:rFonts w:hint="eastAsia" w:ascii="仿宋_GB2312" w:hAnsi="仿宋_GB2312" w:eastAsia="仿宋_GB2312" w:cs="仿宋_GB2312"/>
          <w:color w:val="auto"/>
          <w:sz w:val="32"/>
          <w:szCs w:val="40"/>
          <w:highlight w:val="none"/>
          <w:lang w:val="en-US" w:eastAsia="zh-CN"/>
        </w:rPr>
        <w:t>根据产研院（青岛）章程，理事会作为其决策机构负责审议发展规划等重大事项等，但其自成立以来仅于2021年12月10日召开一次理事会。同时，依据产研青〔2021〕11号，产研院（青岛）应每年向市、区业务主管部门提报下一年度工作计划，实际未编制2024年度工作计划。</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rPr>
        <w:t>3.产出指标分析</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color w:val="auto"/>
          <w:sz w:val="32"/>
          <w:szCs w:val="40"/>
          <w:highlight w:val="none"/>
          <w:lang w:eastAsia="zh-CN"/>
        </w:rPr>
        <w:t>指标分值</w:t>
      </w:r>
      <w:r>
        <w:rPr>
          <w:rFonts w:hint="eastAsia" w:ascii="仿宋_GB2312" w:hAnsi="仿宋_GB2312" w:eastAsia="仿宋_GB2312" w:cs="仿宋_GB2312"/>
          <w:color w:val="auto"/>
          <w:sz w:val="32"/>
          <w:szCs w:val="40"/>
          <w:highlight w:val="none"/>
          <w:lang w:val="en-US" w:eastAsia="zh-CN"/>
        </w:rPr>
        <w:t>30分，得分26.85分，得分率89.5%。产研院（青岛）按任务目标有序实施“海豚计划”、搭建转化平台、开展“伴飞行动”、引进培育人才，依托机器视觉概念验证中心，针对缺陷检测、AI人员工作规范识别、字符识别等需求开展验证，出具检测方案12份；走访专精特新企业106家，分析企业数字化转型能力及创新设计能力，并提出发展建议；面向中国农业科学院、山东大学、青岛大学等高校院所及海尔公司人员，举办卓越工程师特训营。但在社会调研中，部分调查对象反映其出具的益企报告反馈意见与当前公司发展现状不匹配。截至本期任务结束，产研院（青岛）应新增引进及孵化企业15家、累计49家，实际新增5家（完成率33.33%）、累计56家（完成率114.29%）。在引进及孵化的企业中，高成长性早期科创企业共10家，占比17.86%。同时，任务书明确项目三期科技报告应于2024年8月10日在“青岛科技报告服务系统”提交，实际于2024年10月编制，2025年4月1日提交。</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w:t>
      </w:r>
      <w:r>
        <w:rPr>
          <w:rFonts w:hint="eastAsia" w:ascii="仿宋_GB2312" w:hAnsi="仿宋_GB2312" w:eastAsia="仿宋_GB2312" w:cs="仿宋_GB2312"/>
          <w:b/>
          <w:bCs/>
          <w:color w:val="auto"/>
          <w:sz w:val="32"/>
          <w:szCs w:val="40"/>
          <w:highlight w:val="none"/>
        </w:rPr>
        <w:t>效益指标分析</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color w:val="auto"/>
          <w:sz w:val="32"/>
          <w:szCs w:val="40"/>
          <w:highlight w:val="none"/>
          <w:lang w:eastAsia="zh-CN"/>
        </w:rPr>
        <w:t>指标分值</w:t>
      </w:r>
      <w:r>
        <w:rPr>
          <w:rFonts w:hint="eastAsia" w:ascii="仿宋_GB2312" w:hAnsi="仿宋_GB2312" w:eastAsia="仿宋_GB2312" w:cs="仿宋_GB2312"/>
          <w:color w:val="auto"/>
          <w:sz w:val="32"/>
          <w:szCs w:val="40"/>
          <w:highlight w:val="none"/>
          <w:lang w:val="en-US" w:eastAsia="zh-CN"/>
        </w:rPr>
        <w:t>35分，得分28.64分，得分率81.83%。</w:t>
      </w:r>
      <w:bookmarkStart w:id="6" w:name="_Toc7324"/>
      <w:r>
        <w:rPr>
          <w:rFonts w:hint="eastAsia" w:ascii="仿宋_GB2312" w:hAnsi="仿宋_GB2312" w:eastAsia="仿宋_GB2312" w:cs="仿宋_GB2312"/>
          <w:color w:val="auto"/>
          <w:sz w:val="32"/>
          <w:szCs w:val="40"/>
          <w:highlight w:val="none"/>
          <w:lang w:val="en-US" w:eastAsia="zh-CN"/>
        </w:rPr>
        <w:t>项目在智能制造、计算医学、空天信息、人工智能、新材料等领域进行了系列科技成果转化，引进中科星图智慧科技有限公司，推动青岛流亭数字仿真低空试验场签约，为无人机研发提供测试验证平台；引育孵化企业盖亚生合生物科技（山东）有限公司，突破用于奶粉的乳糖-N-四糖生物合成技术实现合成生物技术落地。通过征集高校院所技术成果，开展项目合作，推进成体干细胞培养基质胶项目、锂电池等废料热解技术、心脏彩超智能解决方案等项目开展，目前，机器视觉云脑项目、人体姿态感知识别技术已进入商业化运作阶段，通过“平台赋能+生态孵化”创新模式，构建起可复制推广的“青岛样本”。但项目在撬动社会投融资、培育高新技术企业等方面成效有待提升。截至本期任务结束，产研院（青岛）应新增带动社会投融资金额4.83亿元（累计16.92亿元）、新增转移转化先进技术20项（累计73项）、新增培育高新技术企业5家（累计8家）。截至2025年7月底，实际新增转移转化先进技术28项（累计103项），完成年度目标；新增培育高新技术企业1家（累计8家），累计任务完成但新增任务未完成；新增带动社会投融资金额1.24亿元（累计8.11亿元），新增及累计目标均未完成。</w:t>
      </w:r>
    </w:p>
    <w:bookmarkEnd w:id="6"/>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ascii="黑体" w:hAnsi="黑体" w:eastAsia="黑体" w:cs="黑体"/>
          <w:b w:val="0"/>
          <w:bCs w:val="0"/>
          <w:color w:val="auto"/>
          <w:sz w:val="32"/>
          <w:szCs w:val="40"/>
          <w:highlight w:val="none"/>
        </w:rPr>
      </w:pPr>
      <w:bookmarkStart w:id="7" w:name="_Toc16319"/>
      <w:bookmarkStart w:id="8" w:name="_Toc16711"/>
      <w:r>
        <w:rPr>
          <w:rFonts w:hint="eastAsia" w:ascii="黑体" w:hAnsi="黑体" w:eastAsia="黑体" w:cs="黑体"/>
          <w:b w:val="0"/>
          <w:bCs w:val="0"/>
          <w:color w:val="auto"/>
          <w:sz w:val="32"/>
          <w:szCs w:val="40"/>
          <w:highlight w:val="none"/>
        </w:rPr>
        <w:t>四、项目实施成效</w:t>
      </w:r>
      <w:bookmarkEnd w:id="7"/>
      <w:bookmarkEnd w:id="8"/>
    </w:p>
    <w:p>
      <w:pPr>
        <w:pStyle w:val="20"/>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580" w:lineRule="exact"/>
        <w:ind w:firstLine="643" w:firstLineChars="200"/>
        <w:jc w:val="both"/>
        <w:textAlignment w:val="auto"/>
        <w:outlineLvl w:val="9"/>
        <w:rPr>
          <w:rFonts w:ascii="Segoe UI" w:hAnsi="Segoe UI" w:eastAsia="Segoe UI" w:cs="Segoe UI"/>
          <w:i w:val="0"/>
          <w:iCs w:val="0"/>
          <w:caps w:val="0"/>
          <w:color w:val="auto"/>
          <w:spacing w:val="0"/>
          <w:sz w:val="24"/>
          <w:szCs w:val="24"/>
          <w:highlight w:val="none"/>
          <w:shd w:val="clear" w:fill="EFF0F1"/>
        </w:rPr>
      </w:pPr>
      <w:bookmarkStart w:id="9" w:name="_Toc12604"/>
      <w:r>
        <w:rPr>
          <w:rFonts w:hint="eastAsia" w:ascii="仿宋_GB2312" w:hAnsi="仿宋_GB2312" w:eastAsia="仿宋_GB2312" w:cs="仿宋_GB2312"/>
          <w:b/>
          <w:bCs/>
          <w:color w:val="auto"/>
          <w:kern w:val="2"/>
          <w:sz w:val="32"/>
          <w:szCs w:val="40"/>
          <w:highlight w:val="none"/>
          <w:lang w:val="en-US" w:eastAsia="zh-CN" w:bidi="ar-SA"/>
        </w:rPr>
        <w:t>一是</w:t>
      </w:r>
      <w:r>
        <w:rPr>
          <w:rFonts w:hint="eastAsia" w:ascii="仿宋_GB2312" w:hAnsi="仿宋_GB2312" w:eastAsia="仿宋_GB2312" w:cs="仿宋_GB2312"/>
          <w:color w:val="auto"/>
          <w:kern w:val="2"/>
          <w:sz w:val="32"/>
          <w:szCs w:val="40"/>
          <w:highlight w:val="none"/>
          <w:lang w:val="en-US" w:eastAsia="zh-CN" w:bidi="ar-SA"/>
        </w:rPr>
        <w:t>持续践行科技成果产业化使命。聚焦</w:t>
      </w:r>
      <w:r>
        <w:rPr>
          <w:rFonts w:hint="default" w:ascii="仿宋_GB2312" w:hAnsi="仿宋_GB2312" w:eastAsia="仿宋_GB2312" w:cs="仿宋_GB2312"/>
          <w:color w:val="auto"/>
          <w:kern w:val="2"/>
          <w:sz w:val="32"/>
          <w:szCs w:val="40"/>
          <w:highlight w:val="none"/>
          <w:lang w:val="en-US" w:eastAsia="zh-CN" w:bidi="ar-SA"/>
        </w:rPr>
        <w:t>AI+制造、AI+城市、计算医学</w:t>
      </w:r>
      <w:r>
        <w:rPr>
          <w:rFonts w:hint="eastAsia" w:ascii="仿宋_GB2312" w:hAnsi="仿宋_GB2312" w:eastAsia="仿宋_GB2312" w:cs="仿宋_GB2312"/>
          <w:color w:val="auto"/>
          <w:kern w:val="2"/>
          <w:sz w:val="32"/>
          <w:szCs w:val="40"/>
          <w:highlight w:val="none"/>
          <w:lang w:val="en-US" w:eastAsia="zh-CN" w:bidi="ar-SA"/>
        </w:rPr>
        <w:t>等领域，完成北京邮电大学心脏彩超智能诊断、青岛大学成体干细胞与类器官精准医疗等项目落地转化；培育、孵化乐聚机器人、复升科技、中科微流等科技企业在青兴业。</w:t>
      </w:r>
      <w:r>
        <w:rPr>
          <w:rFonts w:hint="eastAsia" w:ascii="仿宋_GB2312" w:hAnsi="仿宋_GB2312" w:eastAsia="仿宋_GB2312" w:cs="仿宋_GB2312"/>
          <w:b/>
          <w:bCs/>
          <w:color w:val="auto"/>
          <w:kern w:val="2"/>
          <w:sz w:val="32"/>
          <w:szCs w:val="40"/>
          <w:highlight w:val="none"/>
          <w:lang w:val="en-US" w:eastAsia="zh-CN" w:bidi="ar-SA"/>
        </w:rPr>
        <w:t>二是</w:t>
      </w:r>
      <w:r>
        <w:rPr>
          <w:rFonts w:hint="eastAsia" w:ascii="仿宋_GB2312" w:hAnsi="仿宋_GB2312" w:eastAsia="仿宋_GB2312" w:cs="仿宋_GB2312"/>
          <w:color w:val="auto"/>
          <w:kern w:val="2"/>
          <w:sz w:val="32"/>
          <w:szCs w:val="40"/>
          <w:highlight w:val="none"/>
          <w:lang w:val="en-US" w:eastAsia="zh-CN" w:bidi="ar-SA"/>
        </w:rPr>
        <w:t>加速开展创新平台建设。与乾程科技等20家企业共建智能制造场景验证与应用基地，开展概念验证项目，提出解决方案，开发的“PIN针缺陷检测系统”已在烟台力高新能源运行。</w:t>
      </w:r>
      <w:r>
        <w:rPr>
          <w:rFonts w:hint="eastAsia" w:ascii="仿宋_GB2312" w:hAnsi="仿宋_GB2312" w:eastAsia="仿宋_GB2312" w:cs="仿宋_GB2312"/>
          <w:color w:val="auto"/>
          <w:kern w:val="2"/>
          <w:sz w:val="32"/>
          <w:szCs w:val="40"/>
          <w:highlight w:val="none"/>
          <w:lang w:val="zh-CN" w:eastAsia="zh-CN" w:bidi="ar-SA"/>
        </w:rPr>
        <w:t>与海尔盈康一生共建“海医汇医疗科技产业创新中心”，聚焦脑科学、生命健康与医养康复等创新赛道，</w:t>
      </w:r>
      <w:r>
        <w:rPr>
          <w:rFonts w:hint="eastAsia" w:ascii="仿宋_GB2312" w:hAnsi="仿宋_GB2312" w:eastAsia="仿宋_GB2312" w:cs="仿宋_GB2312"/>
          <w:color w:val="auto"/>
          <w:kern w:val="2"/>
          <w:sz w:val="32"/>
          <w:szCs w:val="40"/>
          <w:highlight w:val="none"/>
          <w:lang w:val="en-US" w:eastAsia="zh-CN" w:bidi="ar-SA"/>
        </w:rPr>
        <w:t>打造医疗科技领域垂类“小模型”。</w:t>
      </w:r>
      <w:r>
        <w:rPr>
          <w:rFonts w:hint="eastAsia" w:ascii="仿宋_GB2312" w:hAnsi="仿宋_GB2312" w:eastAsia="仿宋_GB2312" w:cs="仿宋_GB2312"/>
          <w:b/>
          <w:bCs/>
          <w:color w:val="auto"/>
          <w:kern w:val="2"/>
          <w:sz w:val="32"/>
          <w:szCs w:val="40"/>
          <w:highlight w:val="none"/>
          <w:lang w:val="en-US" w:eastAsia="zh-CN" w:bidi="ar-SA"/>
        </w:rPr>
        <w:t>三是</w:t>
      </w:r>
      <w:r>
        <w:rPr>
          <w:rFonts w:hint="eastAsia" w:ascii="仿宋_GB2312" w:hAnsi="仿宋_GB2312" w:eastAsia="仿宋_GB2312" w:cs="仿宋_GB2312"/>
          <w:color w:val="auto"/>
          <w:kern w:val="2"/>
          <w:sz w:val="32"/>
          <w:szCs w:val="40"/>
          <w:highlight w:val="none"/>
          <w:lang w:val="en-US" w:eastAsia="zh-CN" w:bidi="ar-SA"/>
        </w:rPr>
        <w:t>深化开展“伴飞行动”，面向单项冠军及“专精特新”类企业，以田野调查方式逐家走访企业，获得直接需求，在数字化转型、研发体系构建、治理结构优化和投融资等方面为企业提供诊断、咨询和服务。</w:t>
      </w:r>
      <w:r>
        <w:rPr>
          <w:rFonts w:hint="eastAsia" w:ascii="仿宋_GB2312" w:hAnsi="仿宋_GB2312" w:eastAsia="仿宋_GB2312" w:cs="仿宋_GB2312"/>
          <w:b/>
          <w:bCs/>
          <w:color w:val="auto"/>
          <w:kern w:val="2"/>
          <w:sz w:val="32"/>
          <w:szCs w:val="40"/>
          <w:highlight w:val="none"/>
          <w:lang w:val="en-US" w:eastAsia="zh-CN" w:bidi="ar-SA"/>
        </w:rPr>
        <w:t>四是</w:t>
      </w:r>
      <w:r>
        <w:rPr>
          <w:rFonts w:hint="eastAsia" w:ascii="仿宋_GB2312" w:hAnsi="仿宋_GB2312" w:eastAsia="仿宋_GB2312" w:cs="仿宋_GB2312"/>
          <w:color w:val="auto"/>
          <w:kern w:val="2"/>
          <w:sz w:val="32"/>
          <w:szCs w:val="40"/>
          <w:highlight w:val="none"/>
          <w:lang w:val="en-US" w:eastAsia="zh-CN" w:bidi="ar-SA"/>
        </w:rPr>
        <w:t>积极探索并推行投资权益的“先投后股”模式，为技术创新与市场对接开辟了新路径。“先投”阶段依托资源优势与专业判断，对潜力科技项目先行投入资金；待项目技术取得突破、进入成熟且具市场化前景阶段后，转入“后股”环节，通过市场化权益价值评估将前期实际投入金额折算为相应股权比例。既有效保障产研院（青岛）前期资源投入的权益回报，又尊重保护技术团队创新权益，使其能主导项目后续发展并分享成长红利，有效调动积极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ascii="黑体" w:hAnsi="黑体" w:eastAsia="黑体" w:cs="黑体"/>
          <w:color w:val="auto"/>
          <w:sz w:val="32"/>
          <w:szCs w:val="40"/>
          <w:highlight w:val="none"/>
        </w:rPr>
      </w:pPr>
      <w:bookmarkStart w:id="10" w:name="_Toc31626"/>
      <w:bookmarkStart w:id="11" w:name="_Toc12932"/>
      <w:r>
        <w:rPr>
          <w:rFonts w:hint="eastAsia" w:ascii="黑体" w:hAnsi="黑体" w:eastAsia="黑体" w:cs="黑体"/>
          <w:color w:val="auto"/>
          <w:sz w:val="32"/>
          <w:szCs w:val="40"/>
          <w:highlight w:val="none"/>
        </w:rPr>
        <w:t>五、发现的问题及原因分析</w:t>
      </w:r>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楷体_GB2312" w:hAnsi="楷体_GB2312" w:eastAsia="楷体_GB2312" w:cs="楷体_GB2312"/>
          <w:color w:val="auto"/>
          <w:sz w:val="32"/>
          <w:szCs w:val="40"/>
          <w:highlight w:val="none"/>
          <w:lang w:val="en-US" w:eastAsia="zh-CN"/>
        </w:rPr>
      </w:pPr>
      <w:bookmarkStart w:id="12" w:name="_Toc1717"/>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一</w:t>
      </w: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核心目标整体推进成效与预期存在一定差距</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1.项目核心目标整体完成情况不及预期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本项目以</w:t>
      </w:r>
      <w:r>
        <w:rPr>
          <w:rFonts w:hint="eastAsia" w:ascii="仿宋_GB2312" w:hAnsi="仿宋_GB2312" w:eastAsia="仿宋_GB2312" w:cs="仿宋_GB2312"/>
          <w:color w:val="auto"/>
          <w:sz w:val="32"/>
          <w:szCs w:val="40"/>
          <w:highlight w:val="none"/>
        </w:rPr>
        <w:t>集聚优质创新资源，优先</w:t>
      </w:r>
      <w:r>
        <w:rPr>
          <w:rFonts w:hint="eastAsia" w:ascii="仿宋_GB2312" w:hAnsi="仿宋_GB2312" w:eastAsia="仿宋_GB2312" w:cs="仿宋_GB2312"/>
          <w:color w:val="auto"/>
          <w:sz w:val="32"/>
          <w:szCs w:val="40"/>
          <w:highlight w:val="none"/>
          <w:lang w:val="en-US" w:eastAsia="zh-CN"/>
        </w:rPr>
        <w:t>在</w:t>
      </w:r>
      <w:r>
        <w:rPr>
          <w:rFonts w:hint="eastAsia" w:ascii="仿宋_GB2312" w:hAnsi="仿宋_GB2312" w:eastAsia="仿宋_GB2312" w:cs="仿宋_GB2312"/>
          <w:color w:val="auto"/>
          <w:sz w:val="32"/>
          <w:szCs w:val="40"/>
          <w:highlight w:val="none"/>
        </w:rPr>
        <w:t>青岛</w:t>
      </w:r>
      <w:r>
        <w:rPr>
          <w:rFonts w:hint="eastAsia" w:ascii="仿宋_GB2312" w:hAnsi="仿宋_GB2312" w:eastAsia="仿宋_GB2312" w:cs="仿宋_GB2312"/>
          <w:color w:val="auto"/>
          <w:sz w:val="32"/>
          <w:szCs w:val="40"/>
          <w:highlight w:val="none"/>
          <w:lang w:val="en-US" w:eastAsia="zh-CN"/>
        </w:rPr>
        <w:t>落地</w:t>
      </w:r>
      <w:r>
        <w:rPr>
          <w:rFonts w:hint="eastAsia" w:ascii="仿宋_GB2312" w:hAnsi="仿宋_GB2312" w:eastAsia="仿宋_GB2312" w:cs="仿宋_GB2312"/>
          <w:color w:val="auto"/>
          <w:sz w:val="32"/>
          <w:szCs w:val="40"/>
          <w:highlight w:val="none"/>
        </w:rPr>
        <w:t>转化</w:t>
      </w:r>
      <w:r>
        <w:rPr>
          <w:rFonts w:hint="eastAsia" w:ascii="仿宋_GB2312" w:hAnsi="仿宋_GB2312" w:eastAsia="仿宋_GB2312" w:cs="仿宋_GB2312"/>
          <w:color w:val="auto"/>
          <w:sz w:val="32"/>
          <w:szCs w:val="40"/>
          <w:highlight w:val="none"/>
          <w:lang w:val="en-US" w:eastAsia="zh-CN"/>
        </w:rPr>
        <w:t>为核心任务</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资金保障为关键支撑。根据《关于加强山东产业技术研究院（青岛）建设经费管理使用的通知》（青科基字〔2022〕9号），产研院（青岛）的评估量化指标按资金应到位情况确定，若资金到位数有变化，则对指标数值做出相应调整。</w:t>
      </w:r>
      <w:r>
        <w:rPr>
          <w:rFonts w:hint="default" w:ascii="仿宋_GB2312" w:eastAsia="仿宋_GB2312"/>
          <w:b w:val="0"/>
          <w:bCs w:val="0"/>
          <w:color w:val="auto"/>
          <w:sz w:val="32"/>
          <w:szCs w:val="32"/>
          <w:highlight w:val="none"/>
          <w:lang w:val="en-US" w:eastAsia="zh-CN"/>
        </w:rPr>
        <w:t>根据《共建协议》</w:t>
      </w:r>
      <w:r>
        <w:rPr>
          <w:rFonts w:hint="eastAsia" w:ascii="仿宋_GB2312" w:eastAsia="仿宋_GB2312"/>
          <w:b w:val="0"/>
          <w:bCs w:val="0"/>
          <w:color w:val="auto"/>
          <w:sz w:val="32"/>
          <w:szCs w:val="32"/>
          <w:highlight w:val="none"/>
          <w:lang w:val="en-US" w:eastAsia="zh-CN"/>
        </w:rPr>
        <w:t>，市、区两级需拨付运营补贴30000万元（市级10000万</w:t>
      </w:r>
      <w:r>
        <w:rPr>
          <w:rFonts w:hint="default" w:ascii="仿宋_GB2312" w:eastAsia="仿宋_GB2312"/>
          <w:b w:val="0"/>
          <w:bCs w:val="0"/>
          <w:color w:val="auto"/>
          <w:sz w:val="32"/>
          <w:szCs w:val="32"/>
          <w:highlight w:val="none"/>
          <w:lang w:val="en-US" w:eastAsia="zh-CN"/>
        </w:rPr>
        <w:t>元</w:t>
      </w:r>
      <w:r>
        <w:rPr>
          <w:rFonts w:hint="eastAsia" w:ascii="仿宋_GB2312" w:eastAsia="仿宋_GB2312"/>
          <w:b w:val="0"/>
          <w:bCs w:val="0"/>
          <w:color w:val="auto"/>
          <w:sz w:val="32"/>
          <w:szCs w:val="32"/>
          <w:highlight w:val="none"/>
          <w:lang w:val="en-US" w:eastAsia="zh-CN"/>
        </w:rPr>
        <w:t>、崂山区20000万</w:t>
      </w:r>
      <w:r>
        <w:rPr>
          <w:rFonts w:hint="default" w:ascii="仿宋_GB2312" w:eastAsia="仿宋_GB2312"/>
          <w:b w:val="0"/>
          <w:bCs w:val="0"/>
          <w:color w:val="auto"/>
          <w:sz w:val="32"/>
          <w:szCs w:val="32"/>
          <w:highlight w:val="none"/>
          <w:lang w:val="en-US" w:eastAsia="zh-CN"/>
        </w:rPr>
        <w:t>元</w:t>
      </w:r>
      <w:r>
        <w:rPr>
          <w:rFonts w:hint="eastAsia" w:ascii="仿宋_GB2312" w:eastAsia="仿宋_GB2312"/>
          <w:b w:val="0"/>
          <w:bCs w:val="0"/>
          <w:color w:val="auto"/>
          <w:sz w:val="32"/>
          <w:szCs w:val="32"/>
          <w:highlight w:val="none"/>
          <w:lang w:val="en-US" w:eastAsia="zh-CN"/>
        </w:rPr>
        <w:t>），截至2024年底累计拨付14500万元（市级9500万元、崂山区5000万元），到位率48.33%，但无论是否按资金到位调整考核指标，项目预期目标的完成率均不及预期（详见表6-1）。</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一是</w:t>
      </w:r>
      <w:r>
        <w:rPr>
          <w:rFonts w:hint="eastAsia" w:ascii="仿宋_GB2312" w:hAnsi="仿宋_GB2312" w:eastAsia="仿宋_GB2312" w:cs="仿宋_GB2312"/>
          <w:b w:val="0"/>
          <w:bCs w:val="0"/>
          <w:color w:val="auto"/>
          <w:sz w:val="32"/>
          <w:szCs w:val="40"/>
          <w:highlight w:val="none"/>
          <w:lang w:val="en-US" w:eastAsia="zh-CN"/>
        </w:rPr>
        <w:t>原定目标完成情况不及预期。</w:t>
      </w:r>
      <w:r>
        <w:rPr>
          <w:rFonts w:hint="eastAsia" w:ascii="仿宋_GB2312" w:hAnsi="仿宋_GB2312" w:eastAsia="仿宋_GB2312" w:cs="仿宋_GB2312"/>
          <w:color w:val="auto"/>
          <w:sz w:val="32"/>
          <w:szCs w:val="40"/>
          <w:highlight w:val="none"/>
          <w:lang w:val="en-US" w:eastAsia="zh-CN"/>
        </w:rPr>
        <w:t>根据</w:t>
      </w:r>
      <w:r>
        <w:rPr>
          <w:rFonts w:hint="default" w:ascii="仿宋_GB2312" w:hAnsi="仿宋_GB2312" w:eastAsia="仿宋_GB2312" w:cs="仿宋_GB2312"/>
          <w:color w:val="auto"/>
          <w:sz w:val="32"/>
          <w:szCs w:val="40"/>
          <w:highlight w:val="none"/>
          <w:lang w:val="en-US" w:eastAsia="zh-CN"/>
        </w:rPr>
        <w:t>《项目任务书》</w:t>
      </w:r>
      <w:r>
        <w:rPr>
          <w:rFonts w:hint="eastAsia" w:ascii="仿宋_GB2312" w:hAnsi="仿宋_GB2312" w:eastAsia="仿宋_GB2312" w:cs="仿宋_GB2312"/>
          <w:color w:val="auto"/>
          <w:sz w:val="32"/>
          <w:szCs w:val="40"/>
          <w:highlight w:val="none"/>
          <w:lang w:val="en-US" w:eastAsia="zh-CN"/>
        </w:rPr>
        <w:t>，评价任务期（2024年8月—2025年7月），应</w:t>
      </w:r>
      <w:r>
        <w:rPr>
          <w:rFonts w:hint="default" w:ascii="仿宋_GB2312" w:hAnsi="仿宋_GB2312" w:eastAsia="仿宋_GB2312" w:cs="仿宋_GB2312"/>
          <w:color w:val="auto"/>
          <w:sz w:val="32"/>
          <w:szCs w:val="40"/>
          <w:highlight w:val="none"/>
          <w:lang w:val="en-US" w:eastAsia="zh-CN"/>
        </w:rPr>
        <w:t>新增引进及孵化企业30家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累计100家</w:t>
      </w:r>
      <w:r>
        <w:rPr>
          <w:rFonts w:hint="eastAsia" w:ascii="仿宋_GB2312" w:hAnsi="仿宋_GB2312" w:eastAsia="仿宋_GB2312" w:cs="仿宋_GB2312"/>
          <w:color w:val="auto"/>
          <w:sz w:val="32"/>
          <w:szCs w:val="40"/>
          <w:highlight w:val="none"/>
          <w:lang w:val="en-US" w:eastAsia="zh-CN"/>
        </w:rPr>
        <w:t>）、新增带动社会投融资金额10亿元（累计35亿元）、新增转移转化先进技术40项（累计150项）、新增培育高新技术企业10家（累计15家）。但截至2025年7月底，</w:t>
      </w:r>
      <w:r>
        <w:rPr>
          <w:rFonts w:hint="default" w:ascii="仿宋_GB2312" w:hAnsi="仿宋_GB2312" w:eastAsia="仿宋_GB2312" w:cs="仿宋_GB2312"/>
          <w:color w:val="auto"/>
          <w:sz w:val="32"/>
          <w:szCs w:val="40"/>
          <w:highlight w:val="none"/>
          <w:lang w:val="en-US" w:eastAsia="zh-CN"/>
        </w:rPr>
        <w:t>新增引进及孵化企业</w:t>
      </w:r>
      <w:r>
        <w:rPr>
          <w:rFonts w:hint="eastAsia" w:ascii="仿宋_GB2312" w:hAnsi="仿宋_GB2312" w:eastAsia="仿宋_GB2312" w:cs="仿宋_GB2312"/>
          <w:color w:val="auto"/>
          <w:sz w:val="32"/>
          <w:szCs w:val="40"/>
          <w:highlight w:val="none"/>
          <w:lang w:val="en-US" w:eastAsia="zh-CN"/>
        </w:rPr>
        <w:t>5</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16.67</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56</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完成率5</w:t>
      </w:r>
      <w:r>
        <w:rPr>
          <w:rFonts w:hint="eastAsia" w:ascii="仿宋_GB2312" w:hAnsi="仿宋_GB2312" w:eastAsia="仿宋_GB2312" w:cs="仿宋_GB2312"/>
          <w:color w:val="auto"/>
          <w:sz w:val="32"/>
          <w:szCs w:val="40"/>
          <w:highlight w:val="none"/>
          <w:lang w:val="en-US" w:eastAsia="zh-CN"/>
        </w:rPr>
        <w:t>6</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新增</w:t>
      </w:r>
      <w:r>
        <w:rPr>
          <w:rFonts w:hint="eastAsia" w:ascii="仿宋_GB2312" w:hAnsi="仿宋_GB2312" w:eastAsia="仿宋_GB2312" w:cs="仿宋_GB2312"/>
          <w:color w:val="auto"/>
          <w:sz w:val="32"/>
          <w:szCs w:val="40"/>
          <w:highlight w:val="none"/>
          <w:lang w:val="en-US" w:eastAsia="zh-CN"/>
        </w:rPr>
        <w:t>带动社会投融资1.24亿元（</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12.4</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带动8.11</w:t>
      </w:r>
      <w:r>
        <w:rPr>
          <w:rFonts w:hint="default" w:ascii="仿宋_GB2312" w:hAnsi="仿宋_GB2312" w:eastAsia="仿宋_GB2312" w:cs="仿宋_GB2312"/>
          <w:color w:val="auto"/>
          <w:sz w:val="32"/>
          <w:szCs w:val="40"/>
          <w:highlight w:val="none"/>
          <w:lang w:val="en-US" w:eastAsia="zh-CN"/>
        </w:rPr>
        <w:t>亿元</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23.17</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）；新增转移转化先进技术</w:t>
      </w:r>
      <w:r>
        <w:rPr>
          <w:rFonts w:hint="default" w:ascii="仿宋_GB2312" w:hAnsi="仿宋_GB2312" w:eastAsia="仿宋_GB2312" w:cs="仿宋_GB2312"/>
          <w:color w:val="auto"/>
          <w:sz w:val="32"/>
          <w:szCs w:val="40"/>
          <w:highlight w:val="none"/>
          <w:lang w:val="en-US" w:eastAsia="zh-CN"/>
        </w:rPr>
        <w:t>28项</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完成率70%</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103</w:t>
      </w:r>
      <w:r>
        <w:rPr>
          <w:rFonts w:hint="default" w:ascii="仿宋_GB2312" w:hAnsi="仿宋_GB2312" w:eastAsia="仿宋_GB2312" w:cs="仿宋_GB2312"/>
          <w:color w:val="auto"/>
          <w:sz w:val="32"/>
          <w:szCs w:val="40"/>
          <w:highlight w:val="none"/>
          <w:lang w:val="en-US" w:eastAsia="zh-CN"/>
        </w:rPr>
        <w:t>项</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68.67</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）；新增培育高新技术企业</w:t>
      </w:r>
      <w:r>
        <w:rPr>
          <w:rFonts w:hint="default" w:ascii="仿宋_GB2312" w:hAnsi="仿宋_GB2312" w:eastAsia="仿宋_GB2312" w:cs="仿宋_GB2312"/>
          <w:color w:val="auto"/>
          <w:sz w:val="32"/>
          <w:szCs w:val="40"/>
          <w:highlight w:val="none"/>
          <w:lang w:val="en-US" w:eastAsia="zh-CN"/>
        </w:rPr>
        <w:t>1家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完成率10%</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8</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53.33</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default" w:ascii="仿宋_GB2312" w:hAnsi="仿宋_GB2312" w:eastAsia="仿宋_GB2312" w:cs="仿宋_GB2312"/>
          <w:color w:val="auto"/>
          <w:sz w:val="32"/>
          <w:szCs w:val="40"/>
          <w:highlight w:val="none"/>
          <w:lang w:val="en-US" w:eastAsia="zh-CN"/>
        </w:rPr>
      </w:pPr>
      <w:r>
        <w:rPr>
          <w:rFonts w:hint="eastAsia" w:ascii="仿宋_GB2312" w:eastAsia="仿宋_GB2312"/>
          <w:b/>
          <w:bCs/>
          <w:color w:val="auto"/>
          <w:sz w:val="32"/>
          <w:szCs w:val="32"/>
          <w:highlight w:val="none"/>
          <w:lang w:val="en-US" w:eastAsia="zh-CN"/>
        </w:rPr>
        <w:t>二是</w:t>
      </w:r>
      <w:r>
        <w:rPr>
          <w:rFonts w:hint="eastAsia" w:ascii="仿宋_GB2312" w:eastAsia="仿宋_GB2312"/>
          <w:b w:val="0"/>
          <w:bCs w:val="0"/>
          <w:color w:val="auto"/>
          <w:sz w:val="32"/>
          <w:szCs w:val="32"/>
          <w:highlight w:val="none"/>
          <w:lang w:val="en-US" w:eastAsia="zh-CN"/>
        </w:rPr>
        <w:t>按资金到位情况调整考核指标后，任务完成仍存在短板。</w:t>
      </w:r>
      <w:r>
        <w:rPr>
          <w:rFonts w:hint="eastAsia" w:ascii="仿宋_GB2312" w:hAnsi="仿宋_GB2312" w:eastAsia="仿宋_GB2312" w:cs="仿宋_GB2312"/>
          <w:color w:val="auto"/>
          <w:sz w:val="32"/>
          <w:szCs w:val="40"/>
          <w:highlight w:val="none"/>
          <w:lang w:val="en-US" w:eastAsia="zh-CN"/>
        </w:rPr>
        <w:t>调整后本评价期间应完成：</w:t>
      </w:r>
      <w:r>
        <w:rPr>
          <w:rFonts w:hint="default" w:ascii="仿宋_GB2312" w:hAnsi="仿宋_GB2312" w:eastAsia="仿宋_GB2312" w:cs="仿宋_GB2312"/>
          <w:color w:val="auto"/>
          <w:sz w:val="32"/>
          <w:szCs w:val="40"/>
          <w:highlight w:val="none"/>
          <w:lang w:val="en-US" w:eastAsia="zh-CN"/>
        </w:rPr>
        <w:t>新增引进及孵化企业</w:t>
      </w:r>
      <w:r>
        <w:rPr>
          <w:rFonts w:hint="eastAsia" w:ascii="仿宋_GB2312" w:hAnsi="仿宋_GB2312" w:eastAsia="仿宋_GB2312" w:cs="仿宋_GB2312"/>
          <w:color w:val="auto"/>
          <w:sz w:val="32"/>
          <w:szCs w:val="40"/>
          <w:highlight w:val="none"/>
          <w:lang w:val="en-US" w:eastAsia="zh-CN"/>
        </w:rPr>
        <w:t>15</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49</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新增带动社会投融资金额4.83亿元（累计16.92亿元）、新增转移转化先进技术20项（累计73项）、新增培育高新技术企业5家（累计8家）。截至2025年7月底，仅1项指标超额完成，2项累计达标但新增未完成，1项全未达标：</w:t>
      </w:r>
      <w:r>
        <w:rPr>
          <w:rFonts w:hint="default" w:ascii="仿宋_GB2312" w:hAnsi="仿宋_GB2312" w:eastAsia="仿宋_GB2312" w:cs="仿宋_GB2312"/>
          <w:color w:val="auto"/>
          <w:sz w:val="32"/>
          <w:szCs w:val="40"/>
          <w:highlight w:val="none"/>
          <w:lang w:val="en-US" w:eastAsia="zh-CN"/>
        </w:rPr>
        <w:t>转移转化先进技术指标超额完成</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新增28项</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完成率140%</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103</w:t>
      </w:r>
      <w:r>
        <w:rPr>
          <w:rFonts w:hint="default" w:ascii="仿宋_GB2312" w:hAnsi="仿宋_GB2312" w:eastAsia="仿宋_GB2312" w:cs="仿宋_GB2312"/>
          <w:color w:val="auto"/>
          <w:sz w:val="32"/>
          <w:szCs w:val="40"/>
          <w:highlight w:val="none"/>
          <w:lang w:val="en-US" w:eastAsia="zh-CN"/>
        </w:rPr>
        <w:t>项</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完成率141.1%</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引进及孵化企业</w:t>
      </w:r>
      <w:r>
        <w:rPr>
          <w:rFonts w:hint="eastAsia" w:ascii="仿宋_GB2312" w:hAnsi="仿宋_GB2312" w:eastAsia="仿宋_GB2312" w:cs="仿宋_GB2312"/>
          <w:color w:val="auto"/>
          <w:sz w:val="32"/>
          <w:szCs w:val="40"/>
          <w:highlight w:val="none"/>
          <w:lang w:val="en-US" w:eastAsia="zh-CN"/>
        </w:rPr>
        <w:t>累计达标，新增未完成（</w:t>
      </w:r>
      <w:r>
        <w:rPr>
          <w:rFonts w:hint="default" w:ascii="仿宋_GB2312" w:hAnsi="仿宋_GB2312" w:eastAsia="仿宋_GB2312" w:cs="仿宋_GB2312"/>
          <w:color w:val="auto"/>
          <w:sz w:val="32"/>
          <w:szCs w:val="40"/>
          <w:highlight w:val="none"/>
          <w:lang w:val="en-US" w:eastAsia="zh-CN"/>
        </w:rPr>
        <w:t>新增</w:t>
      </w:r>
      <w:r>
        <w:rPr>
          <w:rFonts w:hint="eastAsia" w:ascii="仿宋_GB2312" w:hAnsi="仿宋_GB2312" w:eastAsia="仿宋_GB2312" w:cs="仿宋_GB2312"/>
          <w:color w:val="auto"/>
          <w:sz w:val="32"/>
          <w:szCs w:val="40"/>
          <w:highlight w:val="none"/>
          <w:lang w:val="en-US" w:eastAsia="zh-CN"/>
        </w:rPr>
        <w:t>5</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33.33</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56</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114.29</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；培育高新技术企业</w:t>
      </w:r>
      <w:r>
        <w:rPr>
          <w:rFonts w:hint="eastAsia" w:ascii="仿宋_GB2312" w:hAnsi="仿宋_GB2312" w:eastAsia="仿宋_GB2312" w:cs="仿宋_GB2312"/>
          <w:color w:val="auto"/>
          <w:sz w:val="32"/>
          <w:szCs w:val="40"/>
          <w:highlight w:val="none"/>
          <w:lang w:val="en-US" w:eastAsia="zh-CN"/>
        </w:rPr>
        <w:t>累计达标，新增未完成（</w:t>
      </w:r>
      <w:r>
        <w:rPr>
          <w:rFonts w:hint="default" w:ascii="仿宋_GB2312" w:hAnsi="仿宋_GB2312" w:eastAsia="仿宋_GB2312" w:cs="仿宋_GB2312"/>
          <w:color w:val="auto"/>
          <w:sz w:val="32"/>
          <w:szCs w:val="40"/>
          <w:highlight w:val="none"/>
          <w:lang w:val="en-US" w:eastAsia="zh-CN"/>
        </w:rPr>
        <w:t>新增1家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完成率20%</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8</w:t>
      </w:r>
      <w:r>
        <w:rPr>
          <w:rFonts w:hint="default" w:ascii="仿宋_GB2312" w:hAnsi="仿宋_GB2312" w:eastAsia="仿宋_GB2312" w:cs="仿宋_GB2312"/>
          <w:color w:val="auto"/>
          <w:sz w:val="32"/>
          <w:szCs w:val="40"/>
          <w:highlight w:val="none"/>
          <w:lang w:val="en-US" w:eastAsia="zh-CN"/>
        </w:rPr>
        <w:t>家</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100</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带动社会投融资</w:t>
      </w:r>
      <w:r>
        <w:rPr>
          <w:rFonts w:hint="eastAsia" w:ascii="仿宋_GB2312" w:hAnsi="仿宋_GB2312" w:eastAsia="仿宋_GB2312" w:cs="仿宋_GB2312"/>
          <w:color w:val="auto"/>
          <w:sz w:val="32"/>
          <w:szCs w:val="40"/>
          <w:highlight w:val="none"/>
          <w:lang w:val="en-US" w:eastAsia="zh-CN"/>
        </w:rPr>
        <w:t>未完成（新增1.24亿</w:t>
      </w:r>
      <w:r>
        <w:rPr>
          <w:rFonts w:hint="default" w:ascii="仿宋_GB2312" w:hAnsi="仿宋_GB2312" w:eastAsia="仿宋_GB2312" w:cs="仿宋_GB2312"/>
          <w:color w:val="auto"/>
          <w:sz w:val="32"/>
          <w:szCs w:val="40"/>
          <w:highlight w:val="none"/>
          <w:lang w:val="en-US" w:eastAsia="zh-CN"/>
        </w:rPr>
        <w:t>元</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25.67</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累计</w:t>
      </w:r>
      <w:r>
        <w:rPr>
          <w:rFonts w:hint="eastAsia" w:ascii="仿宋_GB2312" w:hAnsi="仿宋_GB2312" w:eastAsia="仿宋_GB2312" w:cs="仿宋_GB2312"/>
          <w:color w:val="auto"/>
          <w:sz w:val="32"/>
          <w:szCs w:val="40"/>
          <w:highlight w:val="none"/>
          <w:lang w:val="en-US" w:eastAsia="zh-CN"/>
        </w:rPr>
        <w:t>8.11</w:t>
      </w:r>
      <w:r>
        <w:rPr>
          <w:rFonts w:hint="default" w:ascii="仿宋_GB2312" w:hAnsi="仿宋_GB2312" w:eastAsia="仿宋_GB2312" w:cs="仿宋_GB2312"/>
          <w:color w:val="auto"/>
          <w:sz w:val="32"/>
          <w:szCs w:val="40"/>
          <w:highlight w:val="none"/>
          <w:lang w:val="en-US" w:eastAsia="zh-CN"/>
        </w:rPr>
        <w:t>亿元</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完成率</w:t>
      </w:r>
      <w:r>
        <w:rPr>
          <w:rFonts w:hint="eastAsia" w:ascii="仿宋_GB2312" w:hAnsi="仿宋_GB2312" w:eastAsia="仿宋_GB2312" w:cs="仿宋_GB2312"/>
          <w:color w:val="auto"/>
          <w:sz w:val="32"/>
          <w:szCs w:val="40"/>
          <w:highlight w:val="none"/>
          <w:lang w:val="en-US" w:eastAsia="zh-CN"/>
        </w:rPr>
        <w:t>47.93</w:t>
      </w:r>
      <w:r>
        <w:rPr>
          <w:rFonts w:hint="default"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157" w:afterLines="50" w:line="590" w:lineRule="exact"/>
        <w:jc w:val="center"/>
        <w:textAlignment w:val="auto"/>
        <w:outlineLvl w:val="9"/>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28"/>
          <w:szCs w:val="28"/>
          <w:highlight w:val="none"/>
          <w:lang w:val="en-US" w:eastAsia="zh-CN"/>
        </w:rPr>
        <w:t>6-1核心考核指标完成情况</w:t>
      </w:r>
    </w:p>
    <w:tbl>
      <w:tblPr>
        <w:tblStyle w:val="13"/>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17"/>
        <w:gridCol w:w="630"/>
        <w:gridCol w:w="776"/>
        <w:gridCol w:w="587"/>
        <w:gridCol w:w="625"/>
        <w:gridCol w:w="788"/>
        <w:gridCol w:w="599"/>
        <w:gridCol w:w="630"/>
        <w:gridCol w:w="770"/>
        <w:gridCol w:w="700"/>
        <w:gridCol w:w="644"/>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考核指标</w:t>
            </w:r>
          </w:p>
        </w:tc>
        <w:tc>
          <w:tcPr>
            <w:tcW w:w="402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任务书约定</w:t>
            </w:r>
          </w:p>
        </w:tc>
        <w:tc>
          <w:tcPr>
            <w:tcW w:w="423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根据资金到位率调整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18"/>
                <w:szCs w:val="18"/>
                <w:highlight w:val="none"/>
              </w:rPr>
            </w:pPr>
          </w:p>
        </w:tc>
        <w:tc>
          <w:tcPr>
            <w:tcW w:w="202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评价期（2024.8-2025.7）</w:t>
            </w:r>
          </w:p>
        </w:tc>
        <w:tc>
          <w:tcPr>
            <w:tcW w:w="200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累计指标</w:t>
            </w:r>
          </w:p>
        </w:tc>
        <w:tc>
          <w:tcPr>
            <w:tcW w:w="199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kern w:val="2"/>
                <w:sz w:val="18"/>
                <w:szCs w:val="18"/>
                <w:highlight w:val="none"/>
                <w:vertAlign w:val="baseline"/>
                <w:lang w:val="en-US" w:eastAsia="zh-CN" w:bidi="ar-SA"/>
              </w:rPr>
              <w:t>评价期（2024.8-2025.7）</w:t>
            </w:r>
          </w:p>
        </w:tc>
        <w:tc>
          <w:tcPr>
            <w:tcW w:w="223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累计指标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7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color w:val="auto"/>
                <w:sz w:val="18"/>
                <w:szCs w:val="18"/>
                <w:highlight w:val="none"/>
              </w:rPr>
            </w:pPr>
          </w:p>
        </w:tc>
        <w:tc>
          <w:tcPr>
            <w:tcW w:w="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任务数</w:t>
            </w:r>
          </w:p>
        </w:tc>
        <w:tc>
          <w:tcPr>
            <w:tcW w:w="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完成数</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完成率</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累计数</w:t>
            </w:r>
          </w:p>
        </w:tc>
        <w:tc>
          <w:tcPr>
            <w:tcW w:w="6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累计完成</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完成率</w:t>
            </w:r>
          </w:p>
        </w:tc>
        <w:tc>
          <w:tcPr>
            <w:tcW w:w="5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kern w:val="2"/>
                <w:sz w:val="18"/>
                <w:szCs w:val="18"/>
                <w:highlight w:val="none"/>
                <w:vertAlign w:val="baseline"/>
                <w:lang w:val="en-US" w:eastAsia="zh-CN" w:bidi="ar-SA"/>
              </w:rPr>
              <w:t>任务数</w:t>
            </w:r>
          </w:p>
        </w:tc>
        <w:tc>
          <w:tcPr>
            <w:tcW w:w="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完成数</w:t>
            </w:r>
          </w:p>
        </w:tc>
        <w:tc>
          <w:tcPr>
            <w:tcW w:w="77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完成率</w:t>
            </w:r>
          </w:p>
        </w:tc>
        <w:tc>
          <w:tcPr>
            <w:tcW w:w="7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累计数</w:t>
            </w:r>
          </w:p>
        </w:tc>
        <w:tc>
          <w:tcPr>
            <w:tcW w:w="6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累计完成</w:t>
            </w:r>
          </w:p>
        </w:tc>
        <w:tc>
          <w:tcPr>
            <w:tcW w:w="8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bCs/>
                <w:color w:val="auto"/>
                <w:sz w:val="18"/>
                <w:szCs w:val="18"/>
                <w:highlight w:val="none"/>
                <w:vertAlign w:val="baseline"/>
                <w:lang w:val="en-US" w:eastAsia="zh-CN"/>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孵化培育</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企业（家）</w:t>
            </w:r>
          </w:p>
        </w:tc>
        <w:tc>
          <w:tcPr>
            <w:tcW w:w="6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30</w:t>
            </w:r>
          </w:p>
        </w:tc>
        <w:tc>
          <w:tcPr>
            <w:tcW w:w="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16.7%</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100</w:t>
            </w:r>
          </w:p>
        </w:tc>
        <w:tc>
          <w:tcPr>
            <w:tcW w:w="6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56</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56%</w:t>
            </w:r>
          </w:p>
        </w:tc>
        <w:tc>
          <w:tcPr>
            <w:tcW w:w="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6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33.33%</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49</w:t>
            </w:r>
          </w:p>
        </w:tc>
        <w:tc>
          <w:tcPr>
            <w:tcW w:w="6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56</w:t>
            </w:r>
          </w:p>
        </w:tc>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7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带动</w:t>
            </w:r>
            <w:r>
              <w:rPr>
                <w:rFonts w:hint="eastAsia" w:ascii="宋体" w:hAnsi="宋体" w:eastAsia="宋体" w:cs="宋体"/>
                <w:color w:val="auto"/>
                <w:kern w:val="0"/>
                <w:sz w:val="18"/>
                <w:szCs w:val="18"/>
                <w:highlight w:val="none"/>
              </w:rPr>
              <w:t>社会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投</w:t>
            </w:r>
            <w:r>
              <w:rPr>
                <w:rFonts w:hint="eastAsia" w:ascii="宋体" w:hAnsi="宋体" w:eastAsia="宋体" w:cs="宋体"/>
                <w:color w:val="auto"/>
                <w:kern w:val="0"/>
                <w:sz w:val="18"/>
                <w:szCs w:val="18"/>
                <w:highlight w:val="none"/>
                <w:lang w:val="en-US" w:eastAsia="zh-CN"/>
              </w:rPr>
              <w:t>融</w:t>
            </w:r>
            <w:r>
              <w:rPr>
                <w:rFonts w:hint="eastAsia" w:ascii="宋体" w:hAnsi="宋体" w:eastAsia="宋体" w:cs="宋体"/>
                <w:color w:val="auto"/>
                <w:kern w:val="0"/>
                <w:sz w:val="18"/>
                <w:szCs w:val="18"/>
                <w:highlight w:val="none"/>
              </w:rPr>
              <w:t>资（亿元）</w:t>
            </w:r>
          </w:p>
        </w:tc>
        <w:tc>
          <w:tcPr>
            <w:tcW w:w="6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12.4%</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35</w:t>
            </w:r>
          </w:p>
        </w:tc>
        <w:tc>
          <w:tcPr>
            <w:tcW w:w="6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8.11</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23.17%</w:t>
            </w:r>
          </w:p>
        </w:tc>
        <w:tc>
          <w:tcPr>
            <w:tcW w:w="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4.83</w:t>
            </w:r>
          </w:p>
        </w:tc>
        <w:tc>
          <w:tcPr>
            <w:tcW w:w="6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1.24</w:t>
            </w: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25.67%</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16.92</w:t>
            </w:r>
          </w:p>
        </w:tc>
        <w:tc>
          <w:tcPr>
            <w:tcW w:w="6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8.11</w:t>
            </w:r>
          </w:p>
        </w:tc>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转移转化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技术（项）</w:t>
            </w:r>
          </w:p>
        </w:tc>
        <w:tc>
          <w:tcPr>
            <w:tcW w:w="6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40</w:t>
            </w:r>
          </w:p>
        </w:tc>
        <w:tc>
          <w:tcPr>
            <w:tcW w:w="6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28</w:t>
            </w:r>
          </w:p>
        </w:tc>
        <w:tc>
          <w:tcPr>
            <w:tcW w:w="7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70%</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150</w:t>
            </w:r>
          </w:p>
        </w:tc>
        <w:tc>
          <w:tcPr>
            <w:tcW w:w="6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103</w:t>
            </w:r>
          </w:p>
        </w:tc>
        <w:tc>
          <w:tcPr>
            <w:tcW w:w="7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68.67%</w:t>
            </w:r>
          </w:p>
        </w:tc>
        <w:tc>
          <w:tcPr>
            <w:tcW w:w="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6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28</w:t>
            </w: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140%</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73</w:t>
            </w:r>
          </w:p>
        </w:tc>
        <w:tc>
          <w:tcPr>
            <w:tcW w:w="6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103</w:t>
            </w:r>
          </w:p>
        </w:tc>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7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高新技术</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企业（家）</w:t>
            </w:r>
          </w:p>
        </w:tc>
        <w:tc>
          <w:tcPr>
            <w:tcW w:w="6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6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7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5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6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7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53.33%</w:t>
            </w:r>
          </w:p>
        </w:tc>
        <w:tc>
          <w:tcPr>
            <w:tcW w:w="5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6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6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100%</w:t>
            </w:r>
          </w:p>
        </w:tc>
      </w:tr>
    </w:tbl>
    <w:p>
      <w:pPr>
        <w:keepNext w:val="0"/>
        <w:keepLines w:val="0"/>
        <w:pageBreakBefore w:val="0"/>
        <w:widowControl w:val="0"/>
        <w:kinsoku/>
        <w:wordWrap/>
        <w:overflowPunct/>
        <w:topLinePunct w:val="0"/>
        <w:autoSpaceDE/>
        <w:autoSpaceDN/>
        <w:bidi w:val="0"/>
        <w:adjustRightInd w:val="0"/>
        <w:snapToGrid w:val="0"/>
        <w:spacing w:before="157" w:beforeLines="50" w:line="580" w:lineRule="exact"/>
        <w:ind w:firstLine="643" w:firstLineChars="200"/>
        <w:jc w:val="both"/>
        <w:textAlignment w:val="auto"/>
        <w:outlineLvl w:val="9"/>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2.引进及孵化企业发展程度不均衡，部分企业业务发展不及预期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产研院（青岛）</w:t>
      </w:r>
      <w:r>
        <w:rPr>
          <w:rFonts w:hint="default" w:ascii="仿宋_GB2312" w:hAnsi="仿宋_GB2312" w:eastAsia="仿宋_GB2312" w:cs="仿宋_GB2312"/>
          <w:b w:val="0"/>
          <w:bCs w:val="0"/>
          <w:color w:val="auto"/>
          <w:sz w:val="32"/>
          <w:szCs w:val="40"/>
          <w:highlight w:val="none"/>
          <w:lang w:val="en-US" w:eastAsia="zh-CN"/>
        </w:rPr>
        <w:t>累计</w:t>
      </w:r>
      <w:r>
        <w:rPr>
          <w:rFonts w:hint="eastAsia" w:ascii="仿宋_GB2312" w:hAnsi="仿宋_GB2312" w:eastAsia="仿宋_GB2312" w:cs="仿宋_GB2312"/>
          <w:b w:val="0"/>
          <w:bCs w:val="0"/>
          <w:color w:val="auto"/>
          <w:sz w:val="32"/>
          <w:szCs w:val="40"/>
          <w:highlight w:val="none"/>
          <w:lang w:val="en-US" w:eastAsia="zh-CN"/>
        </w:rPr>
        <w:t>引进</w:t>
      </w:r>
      <w:r>
        <w:rPr>
          <w:rFonts w:hint="default" w:ascii="仿宋_GB2312" w:hAnsi="仿宋_GB2312" w:eastAsia="仿宋_GB2312" w:cs="仿宋_GB2312"/>
          <w:b w:val="0"/>
          <w:bCs w:val="0"/>
          <w:color w:val="auto"/>
          <w:sz w:val="32"/>
          <w:szCs w:val="40"/>
          <w:highlight w:val="none"/>
          <w:lang w:val="en-US" w:eastAsia="zh-CN"/>
        </w:rPr>
        <w:t>孵化</w:t>
      </w:r>
      <w:r>
        <w:rPr>
          <w:rFonts w:hint="eastAsia" w:ascii="仿宋_GB2312" w:hAnsi="仿宋_GB2312" w:eastAsia="仿宋_GB2312" w:cs="仿宋_GB2312"/>
          <w:b w:val="0"/>
          <w:bCs w:val="0"/>
          <w:color w:val="auto"/>
          <w:sz w:val="32"/>
          <w:szCs w:val="40"/>
          <w:highlight w:val="none"/>
          <w:lang w:val="en-US" w:eastAsia="zh-CN"/>
        </w:rPr>
        <w:t>企业</w:t>
      </w:r>
      <w:r>
        <w:rPr>
          <w:rFonts w:hint="default" w:ascii="仿宋_GB2312" w:hAnsi="仿宋_GB2312" w:eastAsia="仿宋_GB2312" w:cs="仿宋_GB2312"/>
          <w:b w:val="0"/>
          <w:bCs w:val="0"/>
          <w:color w:val="auto"/>
          <w:sz w:val="32"/>
          <w:szCs w:val="40"/>
          <w:highlight w:val="none"/>
          <w:lang w:val="en-US" w:eastAsia="zh-CN"/>
        </w:rPr>
        <w:t>5</w:t>
      </w:r>
      <w:r>
        <w:rPr>
          <w:rFonts w:hint="eastAsia" w:ascii="仿宋_GB2312" w:hAnsi="仿宋_GB2312" w:eastAsia="仿宋_GB2312" w:cs="仿宋_GB2312"/>
          <w:b w:val="0"/>
          <w:bCs w:val="0"/>
          <w:color w:val="auto"/>
          <w:sz w:val="32"/>
          <w:szCs w:val="40"/>
          <w:highlight w:val="none"/>
          <w:lang w:val="en-US" w:eastAsia="zh-CN"/>
        </w:rPr>
        <w:t>6</w:t>
      </w:r>
      <w:r>
        <w:rPr>
          <w:rFonts w:hint="default" w:ascii="仿宋_GB2312" w:hAnsi="仿宋_GB2312" w:eastAsia="仿宋_GB2312" w:cs="仿宋_GB2312"/>
          <w:b w:val="0"/>
          <w:bCs w:val="0"/>
          <w:color w:val="auto"/>
          <w:sz w:val="32"/>
          <w:szCs w:val="40"/>
          <w:highlight w:val="none"/>
          <w:lang w:val="en-US" w:eastAsia="zh-CN"/>
        </w:rPr>
        <w:t>家，</w:t>
      </w:r>
      <w:r>
        <w:rPr>
          <w:rFonts w:hint="eastAsia" w:ascii="仿宋_GB2312" w:hAnsi="仿宋_GB2312" w:eastAsia="仿宋_GB2312" w:cs="仿宋_GB2312"/>
          <w:b w:val="0"/>
          <w:bCs w:val="0"/>
          <w:color w:val="auto"/>
          <w:sz w:val="32"/>
          <w:szCs w:val="40"/>
          <w:highlight w:val="none"/>
          <w:lang w:val="en-US" w:eastAsia="zh-CN"/>
        </w:rPr>
        <w:t>集聚了一批科创企业，但企业的业务发展存在不均衡的情况，其中</w:t>
      </w:r>
      <w:r>
        <w:rPr>
          <w:rFonts w:hint="default" w:ascii="仿宋_GB2312" w:hAnsi="仿宋_GB2312" w:eastAsia="仿宋_GB2312" w:cs="仿宋_GB2312"/>
          <w:b w:val="0"/>
          <w:bCs w:val="0"/>
          <w:color w:val="auto"/>
          <w:sz w:val="32"/>
          <w:szCs w:val="40"/>
          <w:highlight w:val="none"/>
          <w:lang w:val="en-US" w:eastAsia="zh-CN"/>
        </w:rPr>
        <w:t>高成长性早期科创企业1</w:t>
      </w:r>
      <w:r>
        <w:rPr>
          <w:rFonts w:hint="eastAsia" w:ascii="仿宋_GB2312" w:hAnsi="仿宋_GB2312" w:eastAsia="仿宋_GB2312" w:cs="仿宋_GB2312"/>
          <w:b w:val="0"/>
          <w:bCs w:val="0"/>
          <w:color w:val="auto"/>
          <w:sz w:val="32"/>
          <w:szCs w:val="40"/>
          <w:highlight w:val="none"/>
          <w:lang w:val="en-US" w:eastAsia="zh-CN"/>
        </w:rPr>
        <w:t>0</w:t>
      </w:r>
      <w:r>
        <w:rPr>
          <w:rFonts w:hint="default" w:ascii="仿宋_GB2312" w:hAnsi="仿宋_GB2312" w:eastAsia="仿宋_GB2312" w:cs="仿宋_GB2312"/>
          <w:b w:val="0"/>
          <w:bCs w:val="0"/>
          <w:color w:val="auto"/>
          <w:sz w:val="32"/>
          <w:szCs w:val="40"/>
          <w:highlight w:val="none"/>
          <w:lang w:val="en-US" w:eastAsia="zh-CN"/>
        </w:rPr>
        <w:t>家，占比</w:t>
      </w:r>
      <w:r>
        <w:rPr>
          <w:rFonts w:hint="eastAsia" w:ascii="仿宋_GB2312" w:hAnsi="仿宋_GB2312" w:eastAsia="仿宋_GB2312" w:cs="仿宋_GB2312"/>
          <w:b w:val="0"/>
          <w:bCs w:val="0"/>
          <w:color w:val="auto"/>
          <w:sz w:val="32"/>
          <w:szCs w:val="40"/>
          <w:highlight w:val="none"/>
          <w:lang w:val="en-US" w:eastAsia="zh-CN"/>
        </w:rPr>
        <w:t>17.86</w:t>
      </w:r>
      <w:r>
        <w:rPr>
          <w:rFonts w:hint="default" w:ascii="仿宋_GB2312" w:hAnsi="仿宋_GB2312" w:eastAsia="仿宋_GB2312" w:cs="仿宋_GB2312"/>
          <w:b w:val="0"/>
          <w:bCs w:val="0"/>
          <w:color w:val="auto"/>
          <w:sz w:val="32"/>
          <w:szCs w:val="40"/>
          <w:highlight w:val="none"/>
          <w:lang w:val="en-US" w:eastAsia="zh-CN"/>
        </w:rPr>
        <w:t>%</w:t>
      </w:r>
      <w:r>
        <w:rPr>
          <w:rFonts w:hint="eastAsia" w:ascii="仿宋_GB2312" w:hAnsi="仿宋_GB2312" w:eastAsia="仿宋_GB2312" w:cs="仿宋_GB2312"/>
          <w:b w:val="0"/>
          <w:bCs w:val="0"/>
          <w:color w:val="auto"/>
          <w:sz w:val="32"/>
          <w:szCs w:val="40"/>
          <w:highlight w:val="none"/>
          <w:lang w:val="en-US" w:eastAsia="zh-CN"/>
        </w:rPr>
        <w:t>，但仍有一批企业未能快速成长，未能为区域经济做出更多贡献。</w:t>
      </w:r>
      <w:r>
        <w:rPr>
          <w:rFonts w:hint="default" w:ascii="仿宋_GB2312" w:hAnsi="仿宋_GB2312" w:eastAsia="仿宋_GB2312" w:cs="仿宋_GB2312"/>
          <w:color w:val="auto"/>
          <w:sz w:val="32"/>
          <w:szCs w:val="40"/>
          <w:highlight w:val="none"/>
          <w:lang w:val="en-US" w:eastAsia="zh-CN"/>
        </w:rPr>
        <w:t>部分企业运营滞后，如青岛科瑞普思生物科技有限公司2023年6月成立后，至2025年4月才正式运营。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楷体_GB2312" w:hAnsi="楷体_GB2312" w:eastAsia="楷体_GB2312" w:cs="楷体_GB2312"/>
          <w:color w:val="auto"/>
          <w:sz w:val="32"/>
          <w:szCs w:val="40"/>
          <w:highlight w:val="none"/>
          <w:lang w:eastAsia="zh-CN"/>
        </w:rPr>
      </w:pP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二</w:t>
      </w:r>
      <w:r>
        <w:rPr>
          <w:rFonts w:hint="eastAsia" w:ascii="楷体_GB2312" w:hAnsi="楷体_GB2312" w:eastAsia="楷体_GB2312" w:cs="楷体_GB2312"/>
          <w:color w:val="auto"/>
          <w:sz w:val="32"/>
          <w:szCs w:val="40"/>
          <w:highlight w:val="none"/>
          <w:lang w:eastAsia="zh-CN"/>
        </w:rPr>
        <w:t>）产学研用协同创新</w:t>
      </w:r>
      <w:r>
        <w:rPr>
          <w:rFonts w:hint="eastAsia" w:ascii="楷体_GB2312" w:hAnsi="楷体_GB2312" w:eastAsia="楷体_GB2312" w:cs="楷体_GB2312"/>
          <w:color w:val="auto"/>
          <w:sz w:val="32"/>
          <w:szCs w:val="40"/>
          <w:highlight w:val="none"/>
          <w:lang w:val="en-US" w:eastAsia="zh-CN"/>
        </w:rPr>
        <w:t>机制有待完善，</w:t>
      </w:r>
      <w:r>
        <w:rPr>
          <w:rFonts w:hint="eastAsia" w:ascii="楷体_GB2312" w:hAnsi="楷体_GB2312" w:eastAsia="楷体_GB2312" w:cs="楷体_GB2312"/>
          <w:color w:val="auto"/>
          <w:sz w:val="32"/>
          <w:szCs w:val="40"/>
          <w:highlight w:val="none"/>
          <w:lang w:eastAsia="zh-CN"/>
        </w:rPr>
        <w:t>创业团队市场化</w:t>
      </w:r>
      <w:r>
        <w:rPr>
          <w:rFonts w:hint="eastAsia" w:ascii="楷体_GB2312" w:hAnsi="楷体_GB2312" w:eastAsia="楷体_GB2312" w:cs="楷体_GB2312"/>
          <w:color w:val="auto"/>
          <w:sz w:val="32"/>
          <w:szCs w:val="40"/>
          <w:highlight w:val="none"/>
          <w:lang w:val="en-US" w:eastAsia="zh-CN"/>
        </w:rPr>
        <w:t>与技术转化能力需提升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color w:val="auto"/>
          <w:sz w:val="32"/>
          <w:szCs w:val="40"/>
          <w:highlight w:val="none"/>
          <w:lang w:eastAsia="zh-CN"/>
        </w:rPr>
      </w:pPr>
      <w:r>
        <w:rPr>
          <w:rFonts w:hint="eastAsia" w:ascii="仿宋_GB2312" w:hAnsi="仿宋_GB2312" w:eastAsia="仿宋_GB2312" w:cs="仿宋_GB2312"/>
          <w:b w:val="0"/>
          <w:bCs w:val="0"/>
          <w:color w:val="auto"/>
          <w:sz w:val="32"/>
          <w:szCs w:val="40"/>
          <w:highlight w:val="none"/>
          <w:lang w:val="en-US" w:eastAsia="zh-CN"/>
        </w:rPr>
        <w:t>在协同创新机制方面，产研院（青岛）从技术识别、引进到企业培育等方面构建了一整套的方法、工具，通过实施“海豚计划”推动科技成果转化、开展“伴飞行动”为引进培育的企业找市场、举办“科创路演”为企业对接融资需求、实施“领航计划”为企业在日常运行等方面提供助力，取得了一定成效，但也存在一定不足：</w:t>
      </w:r>
      <w:r>
        <w:rPr>
          <w:rFonts w:hint="eastAsia" w:ascii="仿宋_GB2312" w:hAnsi="仿宋_GB2312" w:eastAsia="仿宋_GB2312" w:cs="仿宋_GB2312"/>
          <w:b/>
          <w:bCs/>
          <w:color w:val="auto"/>
          <w:sz w:val="32"/>
          <w:szCs w:val="40"/>
          <w:highlight w:val="none"/>
        </w:rPr>
        <w:t>一是</w:t>
      </w:r>
      <w:r>
        <w:rPr>
          <w:rFonts w:hint="eastAsia" w:ascii="仿宋_GB2312" w:hAnsi="仿宋_GB2312" w:eastAsia="仿宋_GB2312" w:cs="仿宋_GB2312"/>
          <w:color w:val="auto"/>
          <w:sz w:val="32"/>
          <w:szCs w:val="40"/>
          <w:highlight w:val="none"/>
        </w:rPr>
        <w:t>技术转化领域未能更大限度覆盖青岛市“10+1”产业创新体系。产研院（青岛）当前科技成果转化主要集中在智能制造、计算医学、空天信息、绿色技术等领域，青岛产业创新体系中其他领域的成果相对较少，技术转化领域不均</w:t>
      </w:r>
      <w:r>
        <w:rPr>
          <w:rFonts w:hint="eastAsia" w:ascii="仿宋_GB2312" w:hAnsi="仿宋_GB2312" w:eastAsia="仿宋_GB2312" w:cs="仿宋_GB2312"/>
          <w:color w:val="auto"/>
          <w:sz w:val="32"/>
          <w:szCs w:val="40"/>
          <w:highlight w:val="none"/>
          <w:lang w:val="en-US" w:eastAsia="zh-CN"/>
        </w:rPr>
        <w:t>衡。围绕我市产业创新推动产学研融合发展的能力还需要加强，尤其在成果转化初有成效的智能制造、计算医学、空天信息、人工智能等领域还需进一步深耕</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b/>
          <w:bCs/>
          <w:color w:val="auto"/>
          <w:sz w:val="32"/>
          <w:szCs w:val="40"/>
          <w:highlight w:val="none"/>
        </w:rPr>
        <w:t>二是</w:t>
      </w:r>
      <w:r>
        <w:rPr>
          <w:rFonts w:hint="eastAsia" w:ascii="仿宋_GB2312" w:hAnsi="仿宋_GB2312" w:eastAsia="仿宋_GB2312" w:cs="仿宋_GB2312"/>
          <w:color w:val="auto"/>
          <w:sz w:val="32"/>
          <w:szCs w:val="40"/>
          <w:highlight w:val="none"/>
          <w:lang w:val="en-US" w:eastAsia="zh-CN"/>
        </w:rPr>
        <w:t>创业团队在帮助企业市场化发展的综合能力上还需要加强。</w:t>
      </w:r>
      <w:r>
        <w:rPr>
          <w:rFonts w:hint="eastAsia" w:ascii="仿宋_GB2312" w:hAnsi="仿宋_GB2312" w:eastAsia="仿宋_GB2312" w:cs="仿宋_GB2312"/>
          <w:color w:val="auto"/>
          <w:sz w:val="32"/>
          <w:szCs w:val="40"/>
          <w:highlight w:val="none"/>
        </w:rPr>
        <w:t>高校院所人员创业存在普遍的商业运营能力不足的情况，产研院（青岛）采取了多种措施来帮助企业成长，包括构建“育成网络”、实施“领航计划”来帮助企业解决日常运行、公司治理等相关事项，但仍有部分企业的商业模式、市场拓展不甚理想，</w:t>
      </w:r>
      <w:r>
        <w:rPr>
          <w:rFonts w:hint="eastAsia" w:ascii="仿宋_GB2312" w:hAnsi="仿宋_GB2312" w:eastAsia="仿宋_GB2312" w:cs="仿宋_GB2312"/>
          <w:color w:val="auto"/>
          <w:sz w:val="32"/>
          <w:szCs w:val="40"/>
          <w:highlight w:val="none"/>
          <w:lang w:val="en-US" w:eastAsia="zh-CN"/>
        </w:rPr>
        <w:t>需要产研院给予更多的导入创新发展要素，助力企业提升</w:t>
      </w:r>
      <w:r>
        <w:rPr>
          <w:rFonts w:hint="eastAsia" w:ascii="仿宋_GB2312" w:hAnsi="仿宋_GB2312" w:eastAsia="仿宋_GB2312" w:cs="仿宋_GB2312"/>
          <w:color w:val="auto"/>
          <w:sz w:val="32"/>
          <w:szCs w:val="40"/>
          <w:highlight w:val="none"/>
        </w:rPr>
        <w:t>创新成果的商业</w:t>
      </w:r>
      <w:r>
        <w:rPr>
          <w:rFonts w:hint="eastAsia" w:ascii="仿宋_GB2312" w:hAnsi="仿宋_GB2312" w:eastAsia="仿宋_GB2312" w:cs="仿宋_GB2312"/>
          <w:color w:val="auto"/>
          <w:sz w:val="32"/>
          <w:szCs w:val="40"/>
          <w:highlight w:val="none"/>
          <w:lang w:val="en-US" w:eastAsia="zh-CN"/>
        </w:rPr>
        <w:t>发展</w:t>
      </w:r>
      <w:r>
        <w:rPr>
          <w:rFonts w:hint="eastAsia" w:ascii="仿宋_GB2312" w:hAnsi="仿宋_GB2312" w:eastAsia="仿宋_GB2312" w:cs="仿宋_GB2312"/>
          <w:color w:val="auto"/>
          <w:sz w:val="32"/>
          <w:szCs w:val="40"/>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仿宋_GB2312" w:hAnsi="仿宋_GB2312" w:eastAsia="仿宋_GB2312" w:cs="仿宋_GB2312"/>
          <w:b/>
          <w:bCs/>
          <w:color w:val="auto"/>
          <w:sz w:val="32"/>
          <w:szCs w:val="40"/>
          <w:highlight w:val="none"/>
          <w:lang w:val="en-US" w:eastAsia="zh-CN"/>
        </w:rPr>
      </w:pP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三</w:t>
      </w: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产研院（青岛）运行机制体制有待完善</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一</w:t>
      </w:r>
      <w:r>
        <w:rPr>
          <w:rFonts w:hint="default" w:ascii="仿宋_GB2312" w:hAnsi="仿宋_GB2312" w:eastAsia="仿宋_GB2312" w:cs="仿宋_GB2312"/>
          <w:b/>
          <w:bCs/>
          <w:color w:val="auto"/>
          <w:sz w:val="32"/>
          <w:szCs w:val="40"/>
          <w:highlight w:val="none"/>
          <w:lang w:val="en-US" w:eastAsia="zh-CN"/>
        </w:rPr>
        <w:t>是</w:t>
      </w:r>
      <w:r>
        <w:rPr>
          <w:rFonts w:hint="eastAsia" w:ascii="仿宋_GB2312" w:hAnsi="仿宋_GB2312" w:eastAsia="仿宋_GB2312" w:cs="仿宋_GB2312"/>
          <w:b w:val="0"/>
          <w:bCs w:val="0"/>
          <w:color w:val="auto"/>
          <w:sz w:val="32"/>
          <w:szCs w:val="40"/>
          <w:highlight w:val="none"/>
          <w:lang w:val="en-US" w:eastAsia="zh-CN"/>
        </w:rPr>
        <w:t>未按《共建协议》约定</w:t>
      </w:r>
      <w:r>
        <w:rPr>
          <w:rFonts w:hint="default" w:ascii="仿宋_GB2312" w:hAnsi="仿宋_GB2312" w:eastAsia="仿宋_GB2312" w:cs="仿宋_GB2312"/>
          <w:b w:val="0"/>
          <w:bCs w:val="0"/>
          <w:color w:val="auto"/>
          <w:sz w:val="32"/>
          <w:szCs w:val="40"/>
          <w:highlight w:val="none"/>
          <w:lang w:val="en-US" w:eastAsia="zh-CN"/>
        </w:rPr>
        <w:t>成立战略咨询委员会。《共建协议》</w:t>
      </w:r>
      <w:r>
        <w:rPr>
          <w:rFonts w:hint="eastAsia" w:ascii="仿宋_GB2312" w:hAnsi="仿宋_GB2312" w:eastAsia="仿宋_GB2312" w:cs="仿宋_GB2312"/>
          <w:b w:val="0"/>
          <w:bCs w:val="0"/>
          <w:color w:val="auto"/>
          <w:sz w:val="32"/>
          <w:szCs w:val="40"/>
          <w:highlight w:val="none"/>
          <w:lang w:val="en-US" w:eastAsia="zh-CN"/>
        </w:rPr>
        <w:t>明确</w:t>
      </w:r>
      <w:r>
        <w:rPr>
          <w:rFonts w:hint="default" w:ascii="仿宋_GB2312" w:hAnsi="仿宋_GB2312" w:eastAsia="仿宋_GB2312" w:cs="仿宋_GB2312"/>
          <w:b w:val="0"/>
          <w:bCs w:val="0"/>
          <w:color w:val="auto"/>
          <w:sz w:val="32"/>
          <w:szCs w:val="40"/>
          <w:highlight w:val="none"/>
          <w:lang w:val="en-US" w:eastAsia="zh-CN"/>
        </w:rPr>
        <w:t>产研院</w:t>
      </w:r>
      <w:r>
        <w:rPr>
          <w:rFonts w:hint="eastAsia" w:ascii="仿宋_GB2312" w:hAnsi="仿宋_GB2312" w:eastAsia="仿宋_GB2312" w:cs="仿宋_GB2312"/>
          <w:b w:val="0"/>
          <w:bCs w:val="0"/>
          <w:color w:val="auto"/>
          <w:sz w:val="32"/>
          <w:szCs w:val="40"/>
          <w:highlight w:val="none"/>
          <w:lang w:val="en-US" w:eastAsia="zh-CN"/>
        </w:rPr>
        <w:t>（青岛）</w:t>
      </w:r>
      <w:r>
        <w:rPr>
          <w:rFonts w:hint="default" w:ascii="仿宋_GB2312" w:hAnsi="仿宋_GB2312" w:eastAsia="仿宋_GB2312" w:cs="仿宋_GB2312"/>
          <w:b w:val="0"/>
          <w:bCs w:val="0"/>
          <w:color w:val="auto"/>
          <w:sz w:val="32"/>
          <w:szCs w:val="40"/>
          <w:highlight w:val="none"/>
          <w:lang w:val="en-US" w:eastAsia="zh-CN"/>
        </w:rPr>
        <w:t>应成立战略咨询委员会，负责论证中长期创新发展规划、年度计划及重大技术领域布局等，</w:t>
      </w:r>
      <w:r>
        <w:rPr>
          <w:rFonts w:hint="eastAsia" w:ascii="仿宋_GB2312" w:hAnsi="仿宋_GB2312" w:eastAsia="仿宋_GB2312" w:cs="仿宋_GB2312"/>
          <w:b w:val="0"/>
          <w:bCs w:val="0"/>
          <w:color w:val="auto"/>
          <w:sz w:val="32"/>
          <w:szCs w:val="40"/>
          <w:highlight w:val="none"/>
          <w:lang w:val="en-US" w:eastAsia="zh-CN"/>
        </w:rPr>
        <w:t>但至今未</w:t>
      </w:r>
      <w:r>
        <w:rPr>
          <w:rFonts w:hint="default" w:ascii="仿宋_GB2312" w:hAnsi="仿宋_GB2312" w:eastAsia="仿宋_GB2312" w:cs="仿宋_GB2312"/>
          <w:b w:val="0"/>
          <w:bCs w:val="0"/>
          <w:color w:val="auto"/>
          <w:sz w:val="32"/>
          <w:szCs w:val="40"/>
          <w:highlight w:val="none"/>
          <w:lang w:val="en-US" w:eastAsia="zh-CN"/>
        </w:rPr>
        <w:t>成立，</w:t>
      </w:r>
      <w:r>
        <w:rPr>
          <w:rFonts w:hint="eastAsia" w:ascii="仿宋_GB2312" w:hAnsi="仿宋_GB2312" w:eastAsia="仿宋_GB2312" w:cs="仿宋_GB2312"/>
          <w:b w:val="0"/>
          <w:bCs w:val="0"/>
          <w:color w:val="auto"/>
          <w:sz w:val="32"/>
          <w:szCs w:val="40"/>
          <w:highlight w:val="none"/>
          <w:lang w:val="en-US" w:eastAsia="zh-CN"/>
        </w:rPr>
        <w:t>由</w:t>
      </w:r>
      <w:r>
        <w:rPr>
          <w:rFonts w:hint="default" w:ascii="仿宋_GB2312" w:hAnsi="仿宋_GB2312" w:eastAsia="仿宋_GB2312" w:cs="仿宋_GB2312"/>
          <w:b w:val="0"/>
          <w:bCs w:val="0"/>
          <w:color w:val="auto"/>
          <w:sz w:val="32"/>
          <w:szCs w:val="40"/>
          <w:highlight w:val="none"/>
          <w:lang w:val="en-US" w:eastAsia="zh-CN"/>
        </w:rPr>
        <w:t>创新发展与资源配置委员会评议股权投资、创新项目合作等议题的可行性与合理性。</w:t>
      </w:r>
      <w:r>
        <w:rPr>
          <w:rFonts w:hint="eastAsia" w:ascii="仿宋_GB2312" w:hAnsi="仿宋_GB2312" w:eastAsia="仿宋_GB2312" w:cs="仿宋_GB2312"/>
          <w:b/>
          <w:bCs/>
          <w:color w:val="auto"/>
          <w:sz w:val="32"/>
          <w:szCs w:val="40"/>
          <w:highlight w:val="none"/>
          <w:lang w:val="en-US" w:eastAsia="zh-CN"/>
        </w:rPr>
        <w:t>二</w:t>
      </w:r>
      <w:r>
        <w:rPr>
          <w:rFonts w:hint="default" w:ascii="仿宋_GB2312" w:hAnsi="仿宋_GB2312" w:eastAsia="仿宋_GB2312" w:cs="仿宋_GB2312"/>
          <w:b/>
          <w:bCs/>
          <w:color w:val="auto"/>
          <w:sz w:val="32"/>
          <w:szCs w:val="40"/>
          <w:highlight w:val="none"/>
          <w:lang w:val="en-US" w:eastAsia="zh-CN"/>
        </w:rPr>
        <w:t>是</w:t>
      </w:r>
      <w:r>
        <w:rPr>
          <w:rFonts w:hint="default" w:ascii="仿宋_GB2312" w:hAnsi="仿宋_GB2312" w:eastAsia="仿宋_GB2312" w:cs="仿宋_GB2312"/>
          <w:b w:val="0"/>
          <w:bCs w:val="0"/>
          <w:color w:val="auto"/>
          <w:sz w:val="32"/>
          <w:szCs w:val="40"/>
          <w:highlight w:val="none"/>
          <w:lang w:val="en-US" w:eastAsia="zh-CN"/>
        </w:rPr>
        <w:t>治理体系存在关键缺失。根据</w:t>
      </w:r>
      <w:r>
        <w:rPr>
          <w:rFonts w:hint="eastAsia" w:ascii="仿宋_GB2312" w:hAnsi="仿宋_GB2312" w:eastAsia="仿宋_GB2312" w:cs="仿宋_GB2312"/>
          <w:color w:val="auto"/>
          <w:sz w:val="32"/>
          <w:szCs w:val="40"/>
          <w:highlight w:val="none"/>
        </w:rPr>
        <w:t>产研院（青岛）</w:t>
      </w:r>
      <w:r>
        <w:rPr>
          <w:rFonts w:hint="default" w:ascii="仿宋_GB2312" w:hAnsi="仿宋_GB2312" w:eastAsia="仿宋_GB2312" w:cs="仿宋_GB2312"/>
          <w:b w:val="0"/>
          <w:bCs w:val="0"/>
          <w:color w:val="auto"/>
          <w:sz w:val="32"/>
          <w:szCs w:val="40"/>
          <w:highlight w:val="none"/>
          <w:lang w:val="en-US" w:eastAsia="zh-CN"/>
        </w:rPr>
        <w:t>章程，理事会为决策机构，</w:t>
      </w:r>
      <w:r>
        <w:rPr>
          <w:rFonts w:hint="eastAsia" w:ascii="仿宋_GB2312" w:hAnsi="仿宋_GB2312" w:eastAsia="仿宋_GB2312" w:cs="仿宋_GB2312"/>
          <w:b w:val="0"/>
          <w:bCs w:val="0"/>
          <w:color w:val="auto"/>
          <w:sz w:val="32"/>
          <w:szCs w:val="40"/>
          <w:highlight w:val="none"/>
          <w:lang w:val="en-US" w:eastAsia="zh-CN"/>
        </w:rPr>
        <w:t>但</w:t>
      </w:r>
      <w:r>
        <w:rPr>
          <w:rFonts w:hint="default" w:ascii="仿宋_GB2312" w:hAnsi="仿宋_GB2312" w:eastAsia="仿宋_GB2312" w:cs="仿宋_GB2312"/>
          <w:b w:val="0"/>
          <w:bCs w:val="0"/>
          <w:color w:val="auto"/>
          <w:sz w:val="32"/>
          <w:szCs w:val="40"/>
          <w:highlight w:val="none"/>
          <w:lang w:val="en-US" w:eastAsia="zh-CN"/>
        </w:rPr>
        <w:t>自成立以来仅</w:t>
      </w:r>
      <w:r>
        <w:rPr>
          <w:rFonts w:hint="eastAsia" w:ascii="仿宋_GB2312" w:hAnsi="仿宋_GB2312" w:eastAsia="仿宋_GB2312" w:cs="仿宋_GB2312"/>
          <w:b w:val="0"/>
          <w:bCs w:val="0"/>
          <w:color w:val="auto"/>
          <w:sz w:val="32"/>
          <w:szCs w:val="40"/>
          <w:highlight w:val="none"/>
          <w:lang w:val="en-US" w:eastAsia="zh-CN"/>
        </w:rPr>
        <w:t>2021年12月10日</w:t>
      </w:r>
      <w:r>
        <w:rPr>
          <w:rFonts w:hint="default" w:ascii="仿宋_GB2312" w:hAnsi="仿宋_GB2312" w:eastAsia="仿宋_GB2312" w:cs="仿宋_GB2312"/>
          <w:b w:val="0"/>
          <w:bCs w:val="0"/>
          <w:color w:val="auto"/>
          <w:sz w:val="32"/>
          <w:szCs w:val="40"/>
          <w:highlight w:val="none"/>
          <w:lang w:val="en-US" w:eastAsia="zh-CN"/>
        </w:rPr>
        <w:t>召开1次理事会，重大事项决策、年度工作计划、经费使用方向等缺少理事会决策及必要的议事、监督程序</w:t>
      </w:r>
      <w:r>
        <w:rPr>
          <w:rFonts w:hint="eastAsia" w:ascii="仿宋_GB2312" w:hAnsi="仿宋_GB2312" w:eastAsia="仿宋_GB2312" w:cs="仿宋_GB2312"/>
          <w:b w:val="0"/>
          <w:bCs w:val="0"/>
          <w:color w:val="auto"/>
          <w:sz w:val="32"/>
          <w:szCs w:val="40"/>
          <w:highlight w:val="none"/>
          <w:lang w:val="en-US" w:eastAsia="zh-CN"/>
        </w:rPr>
        <w:t>。同时，</w:t>
      </w:r>
      <w:r>
        <w:rPr>
          <w:rFonts w:hint="default" w:ascii="仿宋_GB2312" w:hAnsi="仿宋_GB2312" w:eastAsia="仿宋_GB2312" w:cs="仿宋_GB2312"/>
          <w:b w:val="0"/>
          <w:bCs w:val="0"/>
          <w:color w:val="auto"/>
          <w:sz w:val="32"/>
          <w:szCs w:val="40"/>
          <w:highlight w:val="none"/>
          <w:lang w:val="en-US" w:eastAsia="zh-CN"/>
        </w:rPr>
        <w:t>《共建协议》</w:t>
      </w:r>
      <w:r>
        <w:rPr>
          <w:rFonts w:hint="eastAsia" w:ascii="仿宋_GB2312" w:hAnsi="仿宋_GB2312" w:eastAsia="仿宋_GB2312" w:cs="仿宋_GB2312"/>
          <w:b w:val="0"/>
          <w:bCs w:val="0"/>
          <w:color w:val="auto"/>
          <w:sz w:val="32"/>
          <w:szCs w:val="40"/>
          <w:highlight w:val="none"/>
          <w:lang w:val="en-US" w:eastAsia="zh-CN"/>
        </w:rPr>
        <w:t>规定</w:t>
      </w:r>
      <w:r>
        <w:rPr>
          <w:rFonts w:hint="default" w:ascii="仿宋_GB2312" w:hAnsi="仿宋_GB2312" w:eastAsia="仿宋_GB2312" w:cs="仿宋_GB2312"/>
          <w:b w:val="0"/>
          <w:bCs w:val="0"/>
          <w:color w:val="auto"/>
          <w:sz w:val="32"/>
          <w:szCs w:val="40"/>
          <w:highlight w:val="none"/>
          <w:lang w:val="en-US" w:eastAsia="zh-CN"/>
        </w:rPr>
        <w:t>产研院（青岛）院长（法人）由山东产研院院长担任，负责相关工作及召开院长办公会议研究决策重大事项，因山东产研院院长（法人）</w:t>
      </w:r>
      <w:r>
        <w:rPr>
          <w:rFonts w:hint="eastAsia" w:ascii="仿宋_GB2312" w:hAnsi="仿宋_GB2312" w:eastAsia="仿宋_GB2312" w:cs="仿宋_GB2312"/>
          <w:b w:val="0"/>
          <w:bCs w:val="0"/>
          <w:color w:val="auto"/>
          <w:sz w:val="32"/>
          <w:szCs w:val="40"/>
          <w:highlight w:val="none"/>
          <w:lang w:val="en-US" w:eastAsia="zh-CN"/>
        </w:rPr>
        <w:t>离职</w:t>
      </w:r>
      <w:r>
        <w:rPr>
          <w:rFonts w:hint="default" w:ascii="仿宋_GB2312" w:hAnsi="仿宋_GB2312" w:eastAsia="仿宋_GB2312" w:cs="仿宋_GB2312"/>
          <w:b w:val="0"/>
          <w:bCs w:val="0"/>
          <w:color w:val="auto"/>
          <w:sz w:val="32"/>
          <w:szCs w:val="40"/>
          <w:highlight w:val="none"/>
          <w:lang w:val="en-US" w:eastAsia="zh-CN"/>
        </w:rPr>
        <w:t>，产研院（青岛）院长（法人）</w:t>
      </w:r>
      <w:r>
        <w:rPr>
          <w:rFonts w:hint="eastAsia" w:ascii="仿宋_GB2312" w:hAnsi="仿宋_GB2312" w:eastAsia="仿宋_GB2312" w:cs="仿宋_GB2312"/>
          <w:b w:val="0"/>
          <w:bCs w:val="0"/>
          <w:color w:val="auto"/>
          <w:sz w:val="32"/>
          <w:szCs w:val="40"/>
          <w:highlight w:val="none"/>
          <w:lang w:val="en-US" w:eastAsia="zh-CN"/>
        </w:rPr>
        <w:t>不能履行</w:t>
      </w:r>
      <w:r>
        <w:rPr>
          <w:rFonts w:hint="default" w:ascii="仿宋_GB2312" w:hAnsi="仿宋_GB2312" w:eastAsia="仿宋_GB2312" w:cs="仿宋_GB2312"/>
          <w:b w:val="0"/>
          <w:bCs w:val="0"/>
          <w:color w:val="auto"/>
          <w:sz w:val="32"/>
          <w:szCs w:val="40"/>
          <w:highlight w:val="none"/>
          <w:lang w:val="en-US" w:eastAsia="zh-CN"/>
        </w:rPr>
        <w:t>。</w:t>
      </w:r>
      <w:r>
        <w:rPr>
          <w:rFonts w:hint="eastAsia" w:ascii="仿宋_GB2312" w:hAnsi="仿宋_GB2312" w:eastAsia="仿宋_GB2312" w:cs="仿宋_GB2312"/>
          <w:b/>
          <w:bCs/>
          <w:color w:val="auto"/>
          <w:sz w:val="32"/>
          <w:szCs w:val="40"/>
          <w:highlight w:val="none"/>
          <w:lang w:val="en-US" w:eastAsia="zh-CN"/>
        </w:rPr>
        <w:t>三</w:t>
      </w:r>
      <w:r>
        <w:rPr>
          <w:rFonts w:hint="default" w:ascii="仿宋_GB2312" w:hAnsi="仿宋_GB2312" w:eastAsia="仿宋_GB2312" w:cs="仿宋_GB2312"/>
          <w:b/>
          <w:bCs/>
          <w:color w:val="auto"/>
          <w:sz w:val="32"/>
          <w:szCs w:val="40"/>
          <w:highlight w:val="none"/>
          <w:lang w:val="en-US" w:eastAsia="zh-CN"/>
        </w:rPr>
        <w:t>是</w:t>
      </w:r>
      <w:r>
        <w:rPr>
          <w:rFonts w:hint="default" w:ascii="仿宋_GB2312" w:hAnsi="仿宋_GB2312" w:eastAsia="仿宋_GB2312" w:cs="仿宋_GB2312"/>
          <w:b w:val="0"/>
          <w:bCs w:val="0"/>
          <w:color w:val="auto"/>
          <w:sz w:val="32"/>
          <w:szCs w:val="40"/>
          <w:highlight w:val="none"/>
          <w:lang w:val="en-US" w:eastAsia="zh-CN"/>
        </w:rPr>
        <w:t>依据</w:t>
      </w:r>
      <w:r>
        <w:rPr>
          <w:rFonts w:hint="eastAsia" w:ascii="仿宋_GB2312" w:hAnsi="仿宋_GB2312" w:eastAsia="仿宋_GB2312" w:cs="仿宋_GB2312"/>
          <w:b w:val="0"/>
          <w:bCs w:val="0"/>
          <w:color w:val="auto"/>
          <w:sz w:val="32"/>
          <w:szCs w:val="40"/>
          <w:highlight w:val="none"/>
          <w:lang w:val="en-US" w:eastAsia="zh-CN"/>
        </w:rPr>
        <w:t>《山东产业技术研究院（青岛）资金管理办法》（产研青〔2021〕11号）</w:t>
      </w:r>
      <w:r>
        <w:rPr>
          <w:rFonts w:hint="default" w:ascii="仿宋_GB2312" w:hAnsi="仿宋_GB2312" w:eastAsia="仿宋_GB2312" w:cs="仿宋_GB2312"/>
          <w:b w:val="0"/>
          <w:bCs w:val="0"/>
          <w:color w:val="auto"/>
          <w:sz w:val="32"/>
          <w:szCs w:val="40"/>
          <w:highlight w:val="none"/>
          <w:lang w:val="en-US" w:eastAsia="zh-CN"/>
        </w:rPr>
        <w:t>，产研院</w:t>
      </w:r>
      <w:r>
        <w:rPr>
          <w:rFonts w:hint="eastAsia" w:ascii="仿宋_GB2312" w:hAnsi="仿宋_GB2312" w:eastAsia="仿宋_GB2312" w:cs="仿宋_GB2312"/>
          <w:b w:val="0"/>
          <w:bCs w:val="0"/>
          <w:color w:val="auto"/>
          <w:sz w:val="32"/>
          <w:szCs w:val="40"/>
          <w:highlight w:val="none"/>
          <w:lang w:val="en-US" w:eastAsia="zh-CN"/>
        </w:rPr>
        <w:t>（青岛）</w:t>
      </w:r>
      <w:r>
        <w:rPr>
          <w:rFonts w:hint="default" w:ascii="仿宋_GB2312" w:hAnsi="仿宋_GB2312" w:eastAsia="仿宋_GB2312" w:cs="仿宋_GB2312"/>
          <w:b w:val="0"/>
          <w:bCs w:val="0"/>
          <w:color w:val="auto"/>
          <w:sz w:val="32"/>
          <w:szCs w:val="40"/>
          <w:highlight w:val="none"/>
          <w:lang w:val="en-US" w:eastAsia="zh-CN"/>
        </w:rPr>
        <w:t>需向理事会及区相关部门报送审计结果，且每年需向市、区业务主管部门提报下一年度工作计划，</w:t>
      </w:r>
      <w:r>
        <w:rPr>
          <w:rFonts w:hint="eastAsia" w:ascii="仿宋_GB2312" w:hAnsi="仿宋_GB2312" w:eastAsia="仿宋_GB2312" w:cs="仿宋_GB2312"/>
          <w:b w:val="0"/>
          <w:bCs w:val="0"/>
          <w:color w:val="auto"/>
          <w:sz w:val="32"/>
          <w:szCs w:val="40"/>
          <w:highlight w:val="none"/>
          <w:lang w:val="en-US" w:eastAsia="zh-CN"/>
        </w:rPr>
        <w:t>因理事会决策机制缺陷，</w:t>
      </w:r>
      <w:r>
        <w:rPr>
          <w:rFonts w:hint="default" w:ascii="仿宋_GB2312" w:hAnsi="仿宋_GB2312" w:eastAsia="仿宋_GB2312" w:cs="仿宋_GB2312"/>
          <w:b w:val="0"/>
          <w:bCs w:val="0"/>
          <w:color w:val="auto"/>
          <w:sz w:val="32"/>
          <w:szCs w:val="40"/>
          <w:highlight w:val="none"/>
          <w:lang w:val="en-US" w:eastAsia="zh-CN"/>
        </w:rPr>
        <w:t>上述工作均未开展。</w:t>
      </w:r>
    </w:p>
    <w:bookmarkEnd w:id="12"/>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default" w:ascii="黑体" w:hAnsi="黑体" w:eastAsia="黑体" w:cs="黑体"/>
          <w:color w:val="auto"/>
          <w:sz w:val="32"/>
          <w:szCs w:val="40"/>
          <w:highlight w:val="none"/>
          <w:lang w:val="en-US" w:eastAsia="zh-CN"/>
        </w:rPr>
      </w:pPr>
      <w:bookmarkStart w:id="13" w:name="_Toc11762"/>
      <w:bookmarkStart w:id="14" w:name="_Toc16446"/>
      <w:r>
        <w:rPr>
          <w:rFonts w:hint="eastAsia" w:ascii="黑体" w:hAnsi="黑体" w:eastAsia="黑体" w:cs="黑体"/>
          <w:color w:val="auto"/>
          <w:sz w:val="32"/>
          <w:szCs w:val="40"/>
          <w:highlight w:val="none"/>
          <w:lang w:val="en-US" w:eastAsia="zh-CN"/>
        </w:rPr>
        <w:t>六、其他需要说明的事项</w:t>
      </w:r>
      <w:bookmarkEnd w:id="13"/>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仿宋_GB2312" w:hAnsi="仿宋_GB2312" w:eastAsia="仿宋_GB2312" w:cs="仿宋_GB2312"/>
          <w:color w:val="auto"/>
          <w:sz w:val="32"/>
          <w:szCs w:val="40"/>
          <w:highlight w:val="none"/>
          <w:lang w:val="en-US" w:eastAsia="zh-CN"/>
        </w:rPr>
      </w:pPr>
      <w:r>
        <w:rPr>
          <w:rFonts w:hint="default" w:ascii="仿宋_GB2312" w:eastAsia="仿宋_GB2312"/>
          <w:b w:val="0"/>
          <w:bCs w:val="0"/>
          <w:color w:val="auto"/>
          <w:sz w:val="32"/>
          <w:szCs w:val="32"/>
          <w:highlight w:val="none"/>
          <w:lang w:val="en-US" w:eastAsia="zh-CN"/>
        </w:rPr>
        <w:t>根据《共建协议》</w:t>
      </w:r>
      <w:r>
        <w:rPr>
          <w:rFonts w:hint="eastAsia" w:ascii="仿宋_GB2312" w:eastAsia="仿宋_GB2312"/>
          <w:b w:val="0"/>
          <w:bCs w:val="0"/>
          <w:color w:val="auto"/>
          <w:sz w:val="32"/>
          <w:szCs w:val="32"/>
          <w:highlight w:val="none"/>
          <w:lang w:val="en-US" w:eastAsia="zh-CN"/>
        </w:rPr>
        <w:t>，崂山区需在2021—2023年为产研院（青岛）提供运营经费补贴20000万元、装修补贴2500万元，截至2024年底，实际拨付运营经费补贴5000万元、装修补贴1850万元，项目未能按预期目标推进。</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b/>
          <w:bCs/>
          <w:color w:val="auto"/>
          <w:sz w:val="32"/>
          <w:szCs w:val="40"/>
          <w:highlight w:val="none"/>
          <w:lang w:val="en-US" w:eastAsia="zh-CN"/>
        </w:rPr>
        <w:t>一是建设运营费用占比超出负面清单规定。</w:t>
      </w:r>
      <w:r>
        <w:rPr>
          <w:rFonts w:hint="eastAsia" w:ascii="仿宋_GB2312" w:hAnsi="仿宋_GB2312" w:eastAsia="仿宋_GB2312" w:cs="仿宋_GB2312"/>
          <w:b w:val="0"/>
          <w:bCs w:val="0"/>
          <w:color w:val="auto"/>
          <w:sz w:val="32"/>
          <w:szCs w:val="40"/>
          <w:highlight w:val="none"/>
          <w:lang w:val="en-US" w:eastAsia="zh-CN"/>
        </w:rPr>
        <w:t>根据《山东产业技术研究院（青岛）市级财政经费管理使用负面清单》，项目建设运营费用比例不得超过20%。</w:t>
      </w:r>
      <w:r>
        <w:rPr>
          <w:rFonts w:hint="eastAsia" w:ascii="仿宋_GB2312" w:hAnsi="仿宋_GB2312" w:eastAsia="仿宋_GB2312" w:cs="仿宋_GB2312"/>
          <w:color w:val="auto"/>
          <w:sz w:val="32"/>
          <w:szCs w:val="40"/>
          <w:highlight w:val="none"/>
        </w:rPr>
        <w:t>但由于</w:t>
      </w:r>
      <w:r>
        <w:rPr>
          <w:rFonts w:hint="eastAsia" w:ascii="仿宋_GB2312" w:hAnsi="仿宋_GB2312" w:eastAsia="仿宋_GB2312" w:cs="仿宋_GB2312"/>
          <w:color w:val="auto"/>
          <w:sz w:val="32"/>
          <w:szCs w:val="40"/>
          <w:highlight w:val="none"/>
          <w:lang w:val="en-US" w:eastAsia="zh-CN"/>
        </w:rPr>
        <w:t>区级</w:t>
      </w:r>
      <w:r>
        <w:rPr>
          <w:rFonts w:hint="eastAsia" w:ascii="仿宋_GB2312" w:hAnsi="仿宋_GB2312" w:eastAsia="仿宋_GB2312" w:cs="仿宋_GB2312"/>
          <w:color w:val="auto"/>
          <w:sz w:val="32"/>
          <w:szCs w:val="40"/>
          <w:highlight w:val="none"/>
        </w:rPr>
        <w:t>资金到位率较低，市级财政资金</w:t>
      </w:r>
      <w:r>
        <w:rPr>
          <w:rFonts w:hint="eastAsia" w:ascii="仿宋_GB2312" w:hAnsi="仿宋_GB2312" w:eastAsia="仿宋_GB2312" w:cs="仿宋_GB2312"/>
          <w:color w:val="auto"/>
          <w:sz w:val="32"/>
          <w:szCs w:val="40"/>
          <w:highlight w:val="none"/>
          <w:lang w:val="en-US" w:eastAsia="zh-CN"/>
        </w:rPr>
        <w:t>市级到位9500万元（按约定1亿元），</w:t>
      </w:r>
      <w:r>
        <w:rPr>
          <w:rFonts w:hint="eastAsia" w:ascii="仿宋_GB2312" w:hAnsi="仿宋_GB2312" w:eastAsia="仿宋_GB2312" w:cs="仿宋_GB2312"/>
          <w:color w:val="auto"/>
          <w:sz w:val="32"/>
          <w:szCs w:val="40"/>
          <w:highlight w:val="none"/>
        </w:rPr>
        <w:t>产研院（青岛）建设运营费用1997.67万元，占</w:t>
      </w:r>
      <w:r>
        <w:rPr>
          <w:rFonts w:hint="eastAsia" w:ascii="仿宋_GB2312" w:hAnsi="仿宋_GB2312" w:eastAsia="仿宋_GB2312" w:cs="仿宋_GB2312"/>
          <w:color w:val="auto"/>
          <w:sz w:val="32"/>
          <w:szCs w:val="40"/>
          <w:highlight w:val="none"/>
          <w:lang w:val="en-US" w:eastAsia="zh-CN"/>
        </w:rPr>
        <w:t>市级市级到位资金比重</w:t>
      </w:r>
      <w:r>
        <w:rPr>
          <w:rFonts w:hint="eastAsia" w:ascii="仿宋_GB2312" w:hAnsi="仿宋_GB2312" w:eastAsia="仿宋_GB2312" w:cs="仿宋_GB2312"/>
          <w:color w:val="auto"/>
          <w:sz w:val="32"/>
          <w:szCs w:val="40"/>
          <w:highlight w:val="none"/>
        </w:rPr>
        <w:t>为2</w:t>
      </w: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rPr>
        <w:t>.0</w:t>
      </w: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sz w:val="32"/>
          <w:szCs w:val="40"/>
          <w:highlight w:val="none"/>
        </w:rPr>
        <w:t>%，超出了规定比例</w:t>
      </w:r>
      <w:r>
        <w:rPr>
          <w:rFonts w:hint="eastAsia" w:ascii="仿宋_GB2312" w:hAnsi="仿宋_GB2312" w:eastAsia="仿宋_GB2312" w:cs="仿宋_GB2312"/>
          <w:color w:val="auto"/>
          <w:sz w:val="32"/>
          <w:szCs w:val="40"/>
          <w:highlight w:val="none"/>
          <w:lang w:val="en-US" w:eastAsia="zh-CN"/>
        </w:rPr>
        <w:t>1.02个点</w:t>
      </w:r>
      <w:r>
        <w:rPr>
          <w:rFonts w:hint="eastAsia" w:ascii="仿宋_GB2312" w:hAnsi="仿宋_GB2312" w:eastAsia="仿宋_GB2312" w:cs="仿宋_GB2312"/>
          <w:color w:val="auto"/>
          <w:sz w:val="32"/>
          <w:szCs w:val="40"/>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二是股权投资资金占比偏低，与章程规定存在较大差距。</w:t>
      </w:r>
      <w:r>
        <w:rPr>
          <w:rFonts w:hint="eastAsia" w:ascii="仿宋_GB2312" w:hAnsi="仿宋_GB2312" w:eastAsia="仿宋_GB2312" w:cs="仿宋_GB2312"/>
          <w:b w:val="0"/>
          <w:bCs w:val="0"/>
          <w:color w:val="auto"/>
          <w:sz w:val="32"/>
          <w:szCs w:val="40"/>
          <w:highlight w:val="none"/>
          <w:lang w:val="en-US" w:eastAsia="zh-CN"/>
        </w:rPr>
        <w:t>根据《山东产业技术研究院（青岛）章程》，通过出资获取企业股权、凭股权分享收益及参与决策的投资类资金支出，占总支出的比例应不低于60%。但受到位资金总量限制，产研院（青岛）实际累计支出14466.21万元（不含装修款），其中运营费、平台建设、“伴飞行动”“海豚计划”、基金组建及产研投经营等非股权投资类支出9901.21万元，实缴投资金额仅4565万元，股权投资资金占比仅31.56%，未达章程对资金投向的基本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三是使用区级运营经费支付装修款。</w:t>
      </w:r>
      <w:r>
        <w:rPr>
          <w:rFonts w:hint="default" w:ascii="仿宋_GB2312" w:eastAsia="仿宋_GB2312"/>
          <w:b w:val="0"/>
          <w:bCs w:val="0"/>
          <w:color w:val="auto"/>
          <w:sz w:val="32"/>
          <w:szCs w:val="32"/>
          <w:highlight w:val="none"/>
          <w:lang w:val="en-US" w:eastAsia="zh-CN"/>
        </w:rPr>
        <w:t>根据《共建协议》</w:t>
      </w:r>
      <w:r>
        <w:rPr>
          <w:rFonts w:hint="eastAsia" w:ascii="仿宋_GB2312" w:eastAsia="仿宋_GB2312"/>
          <w:b w:val="0"/>
          <w:bCs w:val="0"/>
          <w:color w:val="auto"/>
          <w:sz w:val="32"/>
          <w:szCs w:val="32"/>
          <w:highlight w:val="none"/>
          <w:lang w:val="en-US" w:eastAsia="zh-CN"/>
        </w:rPr>
        <w:t>，崂山区应给予产研院（青岛）装修补贴不超过2500万元，截至2024年底，实际</w:t>
      </w:r>
      <w:r>
        <w:rPr>
          <w:rFonts w:hint="eastAsia" w:ascii="仿宋_GB2312" w:hAnsi="Times New Roman" w:eastAsia="仿宋_GB2312" w:cs="Times New Roman"/>
          <w:b w:val="0"/>
          <w:bCs w:val="0"/>
          <w:color w:val="auto"/>
          <w:sz w:val="32"/>
          <w:szCs w:val="32"/>
          <w:highlight w:val="none"/>
          <w:lang w:val="en-US" w:eastAsia="zh-CN"/>
        </w:rPr>
        <w:t>拨付</w:t>
      </w:r>
      <w:r>
        <w:rPr>
          <w:rFonts w:hint="eastAsia" w:ascii="仿宋_GB2312" w:eastAsia="仿宋_GB2312"/>
          <w:b w:val="0"/>
          <w:bCs w:val="0"/>
          <w:color w:val="auto"/>
          <w:sz w:val="32"/>
          <w:szCs w:val="32"/>
          <w:highlight w:val="none"/>
          <w:lang w:val="en-US" w:eastAsia="zh-CN"/>
        </w:rPr>
        <w:t>1850万元。依据《刘大川副区长专题高度山东产业技术研究院（青岛）建设事宜》（2021年3月23日，第29期政务专报），</w:t>
      </w:r>
      <w:r>
        <w:rPr>
          <w:rFonts w:hint="eastAsia" w:ascii="仿宋_GB2312" w:hAnsi="仿宋_GB2312" w:eastAsia="仿宋_GB2312" w:cs="仿宋_GB2312"/>
          <w:b w:val="0"/>
          <w:bCs w:val="0"/>
          <w:color w:val="auto"/>
          <w:sz w:val="32"/>
          <w:szCs w:val="40"/>
          <w:highlight w:val="none"/>
          <w:lang w:val="en-US" w:eastAsia="zh-CN"/>
        </w:rPr>
        <w:t>同意产研院（青岛）提出的调整《共建协</w:t>
      </w:r>
      <w:r>
        <w:rPr>
          <w:rFonts w:hint="default" w:ascii="仿宋_GB2312" w:hAnsi="仿宋_GB2312" w:eastAsia="仿宋_GB2312" w:cs="仿宋_GB2312"/>
          <w:b w:val="0"/>
          <w:bCs w:val="0"/>
          <w:color w:val="auto"/>
          <w:sz w:val="32"/>
          <w:szCs w:val="40"/>
          <w:highlight w:val="none"/>
          <w:lang w:val="en-US" w:eastAsia="zh-CN"/>
        </w:rPr>
        <w:t>议》中约定的装修范围，将协议约定的“由</w:t>
      </w:r>
      <w:r>
        <w:rPr>
          <w:rFonts w:hint="eastAsia" w:ascii="仿宋_GB2312" w:hAnsi="仿宋_GB2312" w:eastAsia="仿宋_GB2312" w:cs="仿宋_GB2312"/>
          <w:b w:val="0"/>
          <w:bCs w:val="0"/>
          <w:color w:val="auto"/>
          <w:sz w:val="32"/>
          <w:szCs w:val="40"/>
          <w:highlight w:val="none"/>
          <w:lang w:val="en-US" w:eastAsia="zh-CN"/>
        </w:rPr>
        <w:t>产研院（青岛）</w:t>
      </w:r>
      <w:r>
        <w:rPr>
          <w:rFonts w:hint="default" w:ascii="仿宋_GB2312" w:hAnsi="仿宋_GB2312" w:eastAsia="仿宋_GB2312" w:cs="仿宋_GB2312"/>
          <w:b w:val="0"/>
          <w:bCs w:val="0"/>
          <w:color w:val="auto"/>
          <w:sz w:val="32"/>
          <w:szCs w:val="40"/>
          <w:highlight w:val="none"/>
          <w:lang w:val="en-US" w:eastAsia="zh-CN"/>
        </w:rPr>
        <w:t>对其中8500平方米办公区域按照不超过1200元/平方米的装修标准进行装修”，调整为“由</w:t>
      </w:r>
      <w:r>
        <w:rPr>
          <w:rFonts w:hint="eastAsia" w:ascii="仿宋_GB2312" w:hAnsi="仿宋_GB2312" w:eastAsia="仿宋_GB2312" w:cs="仿宋_GB2312"/>
          <w:b w:val="0"/>
          <w:bCs w:val="0"/>
          <w:color w:val="auto"/>
          <w:sz w:val="32"/>
          <w:szCs w:val="40"/>
          <w:highlight w:val="none"/>
          <w:lang w:val="en-US" w:eastAsia="zh-CN"/>
        </w:rPr>
        <w:t>产研院（青岛）</w:t>
      </w:r>
      <w:r>
        <w:rPr>
          <w:rFonts w:hint="default" w:ascii="仿宋_GB2312" w:hAnsi="仿宋_GB2312" w:eastAsia="仿宋_GB2312" w:cs="仿宋_GB2312"/>
          <w:b w:val="0"/>
          <w:bCs w:val="0"/>
          <w:color w:val="auto"/>
          <w:sz w:val="32"/>
          <w:szCs w:val="40"/>
          <w:highlight w:val="none"/>
          <w:lang w:val="en-US" w:eastAsia="zh-CN"/>
        </w:rPr>
        <w:t>对创新园J座全部办公区域和展厅进行装修”。调整后的全部办公区域和展厅装修费用按照《共建协议》原约定不变，合计不超过2500万元</w:t>
      </w:r>
      <w:r>
        <w:rPr>
          <w:rFonts w:hint="eastAsia" w:ascii="仿宋_GB2312" w:hAnsi="仿宋_GB2312" w:eastAsia="仿宋_GB2312" w:cs="仿宋_GB2312"/>
          <w:b w:val="0"/>
          <w:bCs w:val="0"/>
          <w:color w:val="auto"/>
          <w:sz w:val="32"/>
          <w:szCs w:val="40"/>
          <w:highlight w:val="none"/>
          <w:lang w:val="en-US" w:eastAsia="zh-CN"/>
        </w:rPr>
        <w:t>，</w:t>
      </w:r>
      <w:r>
        <w:rPr>
          <w:rFonts w:hint="eastAsia" w:ascii="仿宋_GB2312" w:eastAsia="仿宋_GB2312"/>
          <w:b w:val="0"/>
          <w:bCs w:val="0"/>
          <w:color w:val="auto"/>
          <w:sz w:val="32"/>
          <w:szCs w:val="32"/>
          <w:highlight w:val="none"/>
          <w:lang w:val="en-US" w:eastAsia="zh-CN"/>
        </w:rPr>
        <w:t>截至2025年7月31日产研院（青岛）实际支付装修费用2723.94万元，其中，</w:t>
      </w:r>
      <w:r>
        <w:rPr>
          <w:rFonts w:hint="eastAsia" w:ascii="仿宋_GB2312" w:hAnsi="仿宋_GB2312" w:eastAsia="仿宋_GB2312" w:cs="仿宋_GB2312"/>
          <w:color w:val="auto"/>
          <w:sz w:val="32"/>
          <w:szCs w:val="40"/>
          <w:highlight w:val="none"/>
          <w:lang w:val="en-US" w:eastAsia="zh-CN"/>
        </w:rPr>
        <w:t>区级装修补贴1850万元、区运营经费425.49万元、自有资金448.45万元。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ascii="黑体" w:hAnsi="黑体" w:eastAsia="黑体" w:cs="黑体"/>
          <w:color w:val="auto"/>
          <w:sz w:val="32"/>
          <w:szCs w:val="40"/>
          <w:highlight w:val="none"/>
        </w:rPr>
      </w:pPr>
      <w:bookmarkStart w:id="15" w:name="_Toc2065"/>
      <w:r>
        <w:rPr>
          <w:rFonts w:hint="eastAsia" w:ascii="黑体" w:hAnsi="黑体" w:eastAsia="黑体" w:cs="黑体"/>
          <w:color w:val="auto"/>
          <w:sz w:val="32"/>
          <w:szCs w:val="40"/>
          <w:highlight w:val="none"/>
          <w:lang w:val="en-US" w:eastAsia="zh-CN"/>
        </w:rPr>
        <w:t>七</w:t>
      </w:r>
      <w:r>
        <w:rPr>
          <w:rFonts w:hint="eastAsia" w:ascii="黑体" w:hAnsi="黑体" w:eastAsia="黑体" w:cs="黑体"/>
          <w:color w:val="auto"/>
          <w:sz w:val="32"/>
          <w:szCs w:val="40"/>
          <w:highlight w:val="none"/>
        </w:rPr>
        <w:t>、相关建议</w:t>
      </w:r>
      <w:bookmarkEnd w:id="14"/>
      <w:bookmarkEnd w:id="15"/>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楷体_GB2312" w:hAnsi="楷体_GB2312" w:eastAsia="楷体_GB2312" w:cs="楷体_GB2312"/>
          <w:color w:val="auto"/>
          <w:sz w:val="32"/>
          <w:szCs w:val="40"/>
          <w:highlight w:val="none"/>
          <w:lang w:eastAsia="zh-CN"/>
        </w:rPr>
      </w:pP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一</w:t>
      </w:r>
      <w:r>
        <w:rPr>
          <w:rFonts w:hint="eastAsia" w:ascii="楷体_GB2312" w:hAnsi="楷体_GB2312" w:eastAsia="楷体_GB2312" w:cs="楷体_GB2312"/>
          <w:color w:val="auto"/>
          <w:sz w:val="32"/>
          <w:szCs w:val="40"/>
          <w:highlight w:val="none"/>
          <w:lang w:eastAsia="zh-CN"/>
        </w:rPr>
        <w:t>）科学合理</w:t>
      </w:r>
      <w:r>
        <w:rPr>
          <w:rFonts w:hint="eastAsia" w:ascii="楷体_GB2312" w:hAnsi="楷体_GB2312" w:eastAsia="楷体_GB2312" w:cs="楷体_GB2312"/>
          <w:color w:val="auto"/>
          <w:sz w:val="32"/>
          <w:szCs w:val="40"/>
          <w:highlight w:val="none"/>
          <w:lang w:val="en-US" w:eastAsia="zh-CN"/>
        </w:rPr>
        <w:t>编制项目预算</w:t>
      </w: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加大核心指标</w:t>
      </w:r>
      <w:r>
        <w:rPr>
          <w:rFonts w:hint="eastAsia" w:ascii="楷体_GB2312" w:hAnsi="楷体_GB2312" w:eastAsia="楷体_GB2312" w:cs="楷体_GB2312"/>
          <w:color w:val="auto"/>
          <w:sz w:val="32"/>
          <w:szCs w:val="40"/>
          <w:highlight w:val="none"/>
          <w:lang w:eastAsia="zh-CN"/>
        </w:rPr>
        <w:t>推进</w:t>
      </w:r>
      <w:r>
        <w:rPr>
          <w:rFonts w:hint="eastAsia" w:ascii="楷体_GB2312" w:hAnsi="楷体_GB2312" w:eastAsia="楷体_GB2312" w:cs="楷体_GB2312"/>
          <w:color w:val="auto"/>
          <w:sz w:val="32"/>
          <w:szCs w:val="40"/>
          <w:highlight w:val="none"/>
          <w:lang w:val="en-US" w:eastAsia="zh-CN"/>
        </w:rPr>
        <w:t>力度</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一是</w:t>
      </w:r>
      <w:r>
        <w:rPr>
          <w:rFonts w:hint="eastAsia" w:ascii="仿宋_GB2312" w:hAnsi="仿宋_GB2312" w:eastAsia="仿宋_GB2312" w:cs="仿宋_GB2312"/>
          <w:b w:val="0"/>
          <w:bCs w:val="0"/>
          <w:color w:val="auto"/>
          <w:sz w:val="32"/>
          <w:szCs w:val="40"/>
          <w:highlight w:val="none"/>
          <w:lang w:val="en-US" w:eastAsia="zh-CN"/>
        </w:rPr>
        <w:t>依据《共建协议》有关约定，落实好市区联动推动产研院（青岛）高质量发展的经费支持举措。建议结合项目实施需求进一步完善《共建协议》各项核心任务目标和年度计划，科学合理地编制项目预算，督促区级加快运营经费拨付进度，加强项目绩效评价结果应用，保障项目平稳发展。</w:t>
      </w:r>
      <w:r>
        <w:rPr>
          <w:rFonts w:hint="eastAsia" w:ascii="仿宋_GB2312" w:hAnsi="仿宋_GB2312" w:eastAsia="仿宋_GB2312" w:cs="仿宋_GB2312"/>
          <w:b/>
          <w:bCs/>
          <w:color w:val="auto"/>
          <w:sz w:val="32"/>
          <w:szCs w:val="40"/>
          <w:highlight w:val="none"/>
          <w:lang w:val="en-US" w:eastAsia="zh-CN"/>
        </w:rPr>
        <w:t>二</w:t>
      </w:r>
      <w:r>
        <w:rPr>
          <w:rFonts w:hint="eastAsia" w:ascii="仿宋_GB2312" w:hAnsi="仿宋_GB2312" w:eastAsia="仿宋_GB2312" w:cs="仿宋_GB2312"/>
          <w:b/>
          <w:bCs/>
          <w:color w:val="auto"/>
          <w:sz w:val="32"/>
          <w:szCs w:val="40"/>
          <w:highlight w:val="none"/>
        </w:rPr>
        <w:t>是</w:t>
      </w:r>
      <w:r>
        <w:rPr>
          <w:rFonts w:hint="eastAsia" w:ascii="仿宋_GB2312" w:hAnsi="仿宋_GB2312" w:eastAsia="仿宋_GB2312" w:cs="仿宋_GB2312"/>
          <w:b w:val="0"/>
          <w:bCs w:val="0"/>
          <w:color w:val="auto"/>
          <w:sz w:val="32"/>
          <w:szCs w:val="40"/>
          <w:highlight w:val="none"/>
          <w:lang w:val="en-US" w:eastAsia="zh-CN"/>
        </w:rPr>
        <w:t>持续</w:t>
      </w:r>
      <w:r>
        <w:rPr>
          <w:rFonts w:hint="eastAsia" w:ascii="仿宋_GB2312" w:hAnsi="仿宋_GB2312" w:eastAsia="仿宋_GB2312" w:cs="仿宋_GB2312"/>
          <w:color w:val="auto"/>
          <w:sz w:val="32"/>
          <w:szCs w:val="40"/>
          <w:highlight w:val="none"/>
          <w:lang w:val="en-US" w:eastAsia="zh-CN"/>
        </w:rPr>
        <w:t>提升</w:t>
      </w:r>
      <w:r>
        <w:rPr>
          <w:rFonts w:hint="eastAsia" w:ascii="仿宋_GB2312" w:hAnsi="仿宋_GB2312" w:eastAsia="仿宋_GB2312" w:cs="仿宋_GB2312"/>
          <w:color w:val="auto"/>
          <w:sz w:val="32"/>
          <w:szCs w:val="40"/>
          <w:highlight w:val="none"/>
        </w:rPr>
        <w:t>企业引育孵化</w:t>
      </w:r>
      <w:r>
        <w:rPr>
          <w:rFonts w:hint="eastAsia" w:ascii="仿宋_GB2312" w:hAnsi="仿宋_GB2312" w:eastAsia="仿宋_GB2312" w:cs="仿宋_GB2312"/>
          <w:color w:val="auto"/>
          <w:sz w:val="32"/>
          <w:szCs w:val="40"/>
          <w:highlight w:val="none"/>
          <w:lang w:val="en-US" w:eastAsia="zh-CN"/>
        </w:rPr>
        <w:t>质量与效率</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充分</w:t>
      </w:r>
      <w:r>
        <w:rPr>
          <w:rFonts w:hint="eastAsia" w:ascii="仿宋_GB2312" w:hAnsi="仿宋_GB2312" w:eastAsia="仿宋_GB2312" w:cs="仿宋_GB2312"/>
          <w:color w:val="auto"/>
          <w:sz w:val="32"/>
          <w:szCs w:val="40"/>
          <w:highlight w:val="none"/>
          <w:lang w:eastAsia="zh-CN"/>
        </w:rPr>
        <w:t>发挥产研院链</w:t>
      </w:r>
      <w:r>
        <w:rPr>
          <w:rFonts w:hint="eastAsia" w:ascii="仿宋_GB2312" w:hAnsi="仿宋_GB2312" w:eastAsia="仿宋_GB2312" w:cs="仿宋_GB2312"/>
          <w:color w:val="auto"/>
          <w:sz w:val="32"/>
          <w:szCs w:val="40"/>
          <w:highlight w:val="none"/>
        </w:rPr>
        <w:t>接高校院所的优势，推动创新资源向孵化企业倾斜，助力企业突破技术与经营瓶颈。</w:t>
      </w:r>
      <w:r>
        <w:rPr>
          <w:rFonts w:hint="eastAsia" w:ascii="仿宋_GB2312" w:hAnsi="仿宋_GB2312" w:eastAsia="仿宋_GB2312" w:cs="仿宋_GB2312"/>
          <w:b/>
          <w:bCs/>
          <w:color w:val="auto"/>
          <w:sz w:val="32"/>
          <w:szCs w:val="40"/>
          <w:highlight w:val="none"/>
          <w:lang w:val="en-US" w:eastAsia="zh-CN"/>
        </w:rPr>
        <w:t>三</w:t>
      </w:r>
      <w:r>
        <w:rPr>
          <w:rFonts w:hint="eastAsia" w:ascii="仿宋_GB2312" w:hAnsi="仿宋_GB2312" w:eastAsia="仿宋_GB2312" w:cs="仿宋_GB2312"/>
          <w:b/>
          <w:bCs/>
          <w:color w:val="auto"/>
          <w:sz w:val="32"/>
          <w:szCs w:val="40"/>
          <w:highlight w:val="none"/>
        </w:rPr>
        <w:t>是</w:t>
      </w:r>
      <w:r>
        <w:rPr>
          <w:rFonts w:hint="eastAsia" w:ascii="仿宋_GB2312" w:hAnsi="仿宋_GB2312" w:eastAsia="仿宋_GB2312" w:cs="仿宋_GB2312"/>
          <w:color w:val="auto"/>
          <w:sz w:val="32"/>
          <w:szCs w:val="40"/>
          <w:highlight w:val="none"/>
        </w:rPr>
        <w:t>强化社会投融资带动能力</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深化科技产业发展基金运作，整合财政资金、知识产权及其他资源，通过控股、参股、合作等多种形式联合社会优质资本与资源，构建完善的股权投资体系，推动社会资本精准对接优质项目，快速提升资金带动规模。</w:t>
      </w:r>
      <w:r>
        <w:rPr>
          <w:rFonts w:hint="eastAsia" w:ascii="仿宋_GB2312" w:hAnsi="仿宋_GB2312" w:eastAsia="仿宋_GB2312" w:cs="仿宋_GB2312"/>
          <w:b/>
          <w:bCs/>
          <w:color w:val="auto"/>
          <w:sz w:val="32"/>
          <w:szCs w:val="40"/>
          <w:highlight w:val="none"/>
          <w:lang w:val="en-US" w:eastAsia="zh-CN"/>
        </w:rPr>
        <w:t>四</w:t>
      </w:r>
      <w:r>
        <w:rPr>
          <w:rFonts w:hint="eastAsia" w:ascii="仿宋_GB2312" w:hAnsi="仿宋_GB2312" w:eastAsia="仿宋_GB2312" w:cs="仿宋_GB2312"/>
          <w:b/>
          <w:bCs/>
          <w:color w:val="auto"/>
          <w:sz w:val="32"/>
          <w:szCs w:val="40"/>
          <w:highlight w:val="none"/>
        </w:rPr>
        <w:t>是</w:t>
      </w:r>
      <w:r>
        <w:rPr>
          <w:rFonts w:hint="eastAsia" w:ascii="仿宋_GB2312" w:hAnsi="仿宋_GB2312" w:eastAsia="仿宋_GB2312" w:cs="仿宋_GB2312"/>
          <w:color w:val="auto"/>
          <w:sz w:val="32"/>
          <w:szCs w:val="40"/>
          <w:highlight w:val="none"/>
        </w:rPr>
        <w:t>加</w:t>
      </w:r>
      <w:r>
        <w:rPr>
          <w:rFonts w:hint="eastAsia" w:ascii="仿宋_GB2312" w:hAnsi="仿宋_GB2312" w:eastAsia="仿宋_GB2312" w:cs="仿宋_GB2312"/>
          <w:color w:val="auto"/>
          <w:sz w:val="32"/>
          <w:szCs w:val="40"/>
          <w:highlight w:val="none"/>
          <w:lang w:val="en-US" w:eastAsia="zh-CN"/>
        </w:rPr>
        <w:t>快</w:t>
      </w:r>
      <w:r>
        <w:rPr>
          <w:rFonts w:hint="eastAsia" w:ascii="仿宋_GB2312" w:hAnsi="仿宋_GB2312" w:eastAsia="仿宋_GB2312" w:cs="仿宋_GB2312"/>
          <w:color w:val="auto"/>
          <w:sz w:val="32"/>
          <w:szCs w:val="40"/>
          <w:highlight w:val="none"/>
        </w:rPr>
        <w:t>先进技术转移转化</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依托与高校、专业研发机构的合作网络，建立技术转化项目库，强化转化全流程跟踪；聚焦未完成的年度指标差额，优先推进成熟度高、产业契合度强的技术项目落地，确保转化效率与规模双提升。</w:t>
      </w:r>
      <w:r>
        <w:rPr>
          <w:rFonts w:hint="eastAsia" w:ascii="仿宋_GB2312" w:hAnsi="仿宋_GB2312" w:eastAsia="仿宋_GB2312" w:cs="仿宋_GB2312"/>
          <w:b/>
          <w:bCs/>
          <w:color w:val="auto"/>
          <w:sz w:val="32"/>
          <w:szCs w:val="40"/>
          <w:highlight w:val="none"/>
          <w:lang w:val="en-US" w:eastAsia="zh-CN"/>
        </w:rPr>
        <w:t>五</w:t>
      </w:r>
      <w:r>
        <w:rPr>
          <w:rFonts w:hint="eastAsia" w:ascii="仿宋_GB2312" w:hAnsi="仿宋_GB2312" w:eastAsia="仿宋_GB2312" w:cs="仿宋_GB2312"/>
          <w:b/>
          <w:bCs/>
          <w:color w:val="auto"/>
          <w:sz w:val="32"/>
          <w:szCs w:val="40"/>
          <w:highlight w:val="none"/>
        </w:rPr>
        <w:t>是</w:t>
      </w:r>
      <w:r>
        <w:rPr>
          <w:rFonts w:hint="eastAsia" w:ascii="仿宋_GB2312" w:hAnsi="仿宋_GB2312" w:eastAsia="仿宋_GB2312" w:cs="仿宋_GB2312"/>
          <w:color w:val="auto"/>
          <w:sz w:val="32"/>
          <w:szCs w:val="40"/>
          <w:highlight w:val="none"/>
        </w:rPr>
        <w:t>加快高新技术企业培育进</w:t>
      </w:r>
      <w:r>
        <w:rPr>
          <w:rFonts w:hint="eastAsia" w:ascii="仿宋_GB2312" w:hAnsi="仿宋_GB2312" w:eastAsia="仿宋_GB2312" w:cs="仿宋_GB2312"/>
          <w:color w:val="auto"/>
          <w:sz w:val="32"/>
          <w:szCs w:val="40"/>
          <w:highlight w:val="none"/>
          <w:lang w:val="en-US" w:eastAsia="zh-CN"/>
        </w:rPr>
        <w:t>程</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对照累计及新增培育目标，建立动态培育台账，精准匹配企业需求与政策资源；实行专人对接指导知识产权布局、财务规范等申报关键环节，推动具备潜力的企业加快成长，提高达标率。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楷体_GB2312" w:hAnsi="楷体_GB2312" w:eastAsia="楷体_GB2312" w:cs="楷体_GB2312"/>
          <w:color w:val="auto"/>
          <w:sz w:val="32"/>
          <w:szCs w:val="40"/>
          <w:highlight w:val="none"/>
          <w:lang w:val="en-US" w:eastAsia="zh-CN"/>
        </w:rPr>
      </w:pPr>
      <w:r>
        <w:rPr>
          <w:rFonts w:hint="default" w:ascii="楷体_GB2312" w:hAnsi="楷体_GB2312" w:eastAsia="楷体_GB2312" w:cs="楷体_GB2312"/>
          <w:color w:val="auto"/>
          <w:sz w:val="32"/>
          <w:szCs w:val="40"/>
          <w:highlight w:val="none"/>
          <w:lang w:val="en-US" w:eastAsia="zh-CN"/>
        </w:rPr>
        <w:t>（</w:t>
      </w:r>
      <w:r>
        <w:rPr>
          <w:rFonts w:hint="eastAsia" w:ascii="楷体_GB2312" w:hAnsi="楷体_GB2312" w:eastAsia="楷体_GB2312" w:cs="楷体_GB2312"/>
          <w:color w:val="auto"/>
          <w:sz w:val="32"/>
          <w:szCs w:val="40"/>
          <w:highlight w:val="none"/>
          <w:lang w:val="en-US" w:eastAsia="zh-CN"/>
        </w:rPr>
        <w:t>二</w:t>
      </w:r>
      <w:r>
        <w:rPr>
          <w:rFonts w:hint="default" w:ascii="楷体_GB2312" w:hAnsi="楷体_GB2312" w:eastAsia="楷体_GB2312" w:cs="楷体_GB2312"/>
          <w:color w:val="auto"/>
          <w:sz w:val="32"/>
          <w:szCs w:val="40"/>
          <w:highlight w:val="none"/>
          <w:lang w:val="en-US" w:eastAsia="zh-CN"/>
        </w:rPr>
        <w:t>）</w:t>
      </w:r>
      <w:r>
        <w:rPr>
          <w:rFonts w:hint="eastAsia" w:ascii="楷体_GB2312" w:hAnsi="楷体_GB2312" w:eastAsia="楷体_GB2312" w:cs="楷体_GB2312"/>
          <w:color w:val="auto"/>
          <w:sz w:val="32"/>
          <w:szCs w:val="40"/>
          <w:highlight w:val="none"/>
          <w:lang w:val="en-US" w:eastAsia="zh-CN"/>
        </w:rPr>
        <w:t>继续</w:t>
      </w:r>
      <w:r>
        <w:rPr>
          <w:rFonts w:hint="default" w:ascii="楷体_GB2312" w:hAnsi="楷体_GB2312" w:eastAsia="楷体_GB2312" w:cs="楷体_GB2312"/>
          <w:color w:val="auto"/>
          <w:sz w:val="32"/>
          <w:szCs w:val="40"/>
          <w:highlight w:val="none"/>
          <w:lang w:val="en-US" w:eastAsia="zh-CN"/>
        </w:rPr>
        <w:t>完善产学研用协同创新机制，</w:t>
      </w:r>
      <w:r>
        <w:rPr>
          <w:rFonts w:hint="eastAsia" w:ascii="楷体_GB2312" w:hAnsi="楷体_GB2312" w:eastAsia="楷体_GB2312" w:cs="楷体_GB2312"/>
          <w:color w:val="auto"/>
          <w:sz w:val="32"/>
          <w:szCs w:val="40"/>
          <w:highlight w:val="none"/>
          <w:lang w:val="en-US" w:eastAsia="zh-CN"/>
        </w:rPr>
        <w:t>形成可复制、可推广的新型研发机构发展模式</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一是</w:t>
      </w:r>
      <w:r>
        <w:rPr>
          <w:rFonts w:hint="eastAsia" w:ascii="仿宋_GB2312" w:hAnsi="仿宋_GB2312" w:eastAsia="仿宋_GB2312" w:cs="仿宋_GB2312"/>
          <w:color w:val="auto"/>
          <w:sz w:val="32"/>
          <w:szCs w:val="40"/>
          <w:highlight w:val="none"/>
        </w:rPr>
        <w:t>构建系统化、常态化的创新成果捕获能力，兼顾技术成熟度和制造成熟度，请产业、学术、投资的同行加以辅助判断，对技术成果进行科学的识别与选择，</w:t>
      </w:r>
      <w:r>
        <w:rPr>
          <w:rFonts w:hint="eastAsia" w:ascii="仿宋_GB2312" w:hAnsi="仿宋_GB2312" w:eastAsia="仿宋_GB2312" w:cs="仿宋_GB2312"/>
          <w:color w:val="auto"/>
          <w:sz w:val="32"/>
          <w:szCs w:val="40"/>
          <w:highlight w:val="none"/>
          <w:lang w:val="en-US" w:eastAsia="zh-CN"/>
        </w:rPr>
        <w:t>打破</w:t>
      </w:r>
      <w:r>
        <w:rPr>
          <w:rFonts w:hint="eastAsia" w:ascii="仿宋_GB2312" w:hAnsi="仿宋_GB2312" w:eastAsia="仿宋_GB2312" w:cs="仿宋_GB2312"/>
          <w:color w:val="auto"/>
          <w:sz w:val="32"/>
          <w:szCs w:val="40"/>
          <w:highlight w:val="none"/>
        </w:rPr>
        <w:t>“实验室完美、工程化失败”</w:t>
      </w:r>
      <w:r>
        <w:rPr>
          <w:rFonts w:hint="eastAsia" w:ascii="仿宋_GB2312" w:hAnsi="仿宋_GB2312" w:eastAsia="仿宋_GB2312" w:cs="仿宋_GB2312"/>
          <w:color w:val="auto"/>
          <w:sz w:val="32"/>
          <w:szCs w:val="40"/>
          <w:highlight w:val="none"/>
          <w:lang w:val="en-US" w:eastAsia="zh-CN"/>
        </w:rPr>
        <w:t>怪圈</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b/>
          <w:bCs/>
          <w:color w:val="auto"/>
          <w:sz w:val="32"/>
          <w:szCs w:val="40"/>
          <w:highlight w:val="none"/>
        </w:rPr>
        <w:t>二是</w:t>
      </w:r>
      <w:r>
        <w:rPr>
          <w:rFonts w:hint="eastAsia" w:ascii="仿宋_GB2312" w:hAnsi="仿宋_GB2312" w:eastAsia="仿宋_GB2312" w:cs="仿宋_GB2312"/>
          <w:color w:val="auto"/>
          <w:sz w:val="32"/>
          <w:szCs w:val="40"/>
          <w:highlight w:val="none"/>
        </w:rPr>
        <w:t>积极适应成果转化过程中的风险与不确定性，将“海豚计划”的具体做法加以总结、完善并标准化，使其覆盖更多优秀项目。</w:t>
      </w:r>
      <w:r>
        <w:rPr>
          <w:rFonts w:hint="eastAsia" w:ascii="仿宋_GB2312" w:hAnsi="仿宋_GB2312" w:eastAsia="仿宋_GB2312" w:cs="仿宋_GB2312"/>
          <w:b/>
          <w:bCs/>
          <w:color w:val="auto"/>
          <w:sz w:val="32"/>
          <w:szCs w:val="40"/>
          <w:highlight w:val="none"/>
        </w:rPr>
        <w:t>三是</w:t>
      </w:r>
      <w:r>
        <w:rPr>
          <w:rFonts w:hint="eastAsia" w:ascii="仿宋_GB2312" w:hAnsi="仿宋_GB2312" w:eastAsia="仿宋_GB2312" w:cs="仿宋_GB2312"/>
          <w:b/>
          <w:bCs/>
          <w:color w:val="auto"/>
          <w:sz w:val="32"/>
          <w:szCs w:val="40"/>
          <w:highlight w:val="none"/>
          <w:lang w:val="en-US" w:eastAsia="zh-CN"/>
        </w:rPr>
        <w:t>加强</w:t>
      </w:r>
      <w:r>
        <w:rPr>
          <w:rFonts w:hint="eastAsia" w:ascii="仿宋_GB2312" w:hAnsi="仿宋_GB2312" w:eastAsia="仿宋_GB2312" w:cs="仿宋_GB2312"/>
          <w:color w:val="auto"/>
          <w:sz w:val="32"/>
          <w:szCs w:val="40"/>
          <w:highlight w:val="none"/>
        </w:rPr>
        <w:t>高级技术</w:t>
      </w:r>
      <w:r>
        <w:rPr>
          <w:rFonts w:hint="eastAsia" w:ascii="仿宋_GB2312" w:hAnsi="仿宋_GB2312" w:eastAsia="仿宋_GB2312" w:cs="仿宋_GB2312"/>
          <w:color w:val="auto"/>
          <w:sz w:val="32"/>
          <w:szCs w:val="40"/>
          <w:highlight w:val="none"/>
          <w:lang w:val="en-US" w:eastAsia="zh-CN"/>
        </w:rPr>
        <w:t>经纪</w:t>
      </w:r>
      <w:r>
        <w:rPr>
          <w:rFonts w:hint="eastAsia" w:ascii="仿宋_GB2312" w:hAnsi="仿宋_GB2312" w:eastAsia="仿宋_GB2312" w:cs="仿宋_GB2312"/>
          <w:color w:val="auto"/>
          <w:sz w:val="32"/>
          <w:szCs w:val="40"/>
          <w:highlight w:val="none"/>
        </w:rPr>
        <w:t>人队伍</w:t>
      </w:r>
      <w:r>
        <w:rPr>
          <w:rFonts w:hint="eastAsia" w:ascii="仿宋_GB2312" w:hAnsi="仿宋_GB2312" w:eastAsia="仿宋_GB2312" w:cs="仿宋_GB2312"/>
          <w:color w:val="auto"/>
          <w:sz w:val="32"/>
          <w:szCs w:val="40"/>
          <w:highlight w:val="none"/>
          <w:lang w:val="en-US" w:eastAsia="zh-CN"/>
        </w:rPr>
        <w:t>建设</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持续</w:t>
      </w:r>
      <w:r>
        <w:rPr>
          <w:rFonts w:hint="eastAsia" w:ascii="仿宋_GB2312" w:hAnsi="仿宋_GB2312" w:eastAsia="仿宋_GB2312" w:cs="仿宋_GB2312"/>
          <w:color w:val="auto"/>
          <w:sz w:val="32"/>
          <w:szCs w:val="40"/>
          <w:highlight w:val="none"/>
        </w:rPr>
        <w:t>实施“伴飞行动”和“领航计划”</w:t>
      </w:r>
      <w:r>
        <w:rPr>
          <w:rFonts w:hint="eastAsia" w:ascii="仿宋_GB2312" w:hAnsi="仿宋_GB2312" w:eastAsia="仿宋_GB2312" w:cs="仿宋_GB2312"/>
          <w:color w:val="auto"/>
          <w:sz w:val="32"/>
          <w:szCs w:val="40"/>
          <w:highlight w:val="none"/>
          <w:lang w:val="en-US" w:eastAsia="zh-CN"/>
        </w:rPr>
        <w:t>等助企引领行动</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助力企业</w:t>
      </w:r>
      <w:r>
        <w:rPr>
          <w:rFonts w:hint="eastAsia" w:ascii="仿宋_GB2312" w:hAnsi="仿宋_GB2312" w:eastAsia="仿宋_GB2312" w:cs="仿宋_GB2312"/>
          <w:color w:val="auto"/>
          <w:sz w:val="32"/>
          <w:szCs w:val="40"/>
          <w:highlight w:val="none"/>
        </w:rPr>
        <w:t>和</w:t>
      </w:r>
      <w:r>
        <w:rPr>
          <w:rFonts w:hint="eastAsia" w:ascii="仿宋_GB2312" w:hAnsi="仿宋_GB2312" w:eastAsia="仿宋_GB2312" w:cs="仿宋_GB2312"/>
          <w:color w:val="auto"/>
          <w:sz w:val="32"/>
          <w:szCs w:val="40"/>
          <w:highlight w:val="none"/>
          <w:lang w:val="en-US" w:eastAsia="zh-CN"/>
        </w:rPr>
        <w:t>科研深度融合，打通科研成果转化的</w:t>
      </w:r>
      <w:r>
        <w:rPr>
          <w:rFonts w:hint="eastAsia" w:ascii="仿宋_GB2312" w:hAnsi="仿宋_GB2312" w:eastAsia="仿宋_GB2312" w:cs="仿宋_GB2312"/>
          <w:color w:val="auto"/>
          <w:sz w:val="32"/>
          <w:szCs w:val="40"/>
          <w:highlight w:val="none"/>
        </w:rPr>
        <w:t>商业</w:t>
      </w:r>
      <w:r>
        <w:rPr>
          <w:rFonts w:hint="eastAsia" w:ascii="仿宋_GB2312" w:hAnsi="仿宋_GB2312" w:eastAsia="仿宋_GB2312" w:cs="仿宋_GB2312"/>
          <w:color w:val="auto"/>
          <w:sz w:val="32"/>
          <w:szCs w:val="40"/>
          <w:highlight w:val="none"/>
          <w:lang w:val="en-US" w:eastAsia="zh-CN"/>
        </w:rPr>
        <w:t>化通道</w:t>
      </w:r>
      <w:r>
        <w:rPr>
          <w:rFonts w:hint="eastAsia" w:ascii="仿宋_GB2312" w:hAnsi="仿宋_GB2312" w:eastAsia="仿宋_GB2312" w:cs="仿宋_GB2312"/>
          <w:color w:val="auto"/>
          <w:sz w:val="32"/>
          <w:szCs w:val="40"/>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楷体_GB2312" w:hAnsi="楷体_GB2312" w:eastAsia="楷体_GB2312" w:cs="楷体_GB2312"/>
          <w:color w:val="auto"/>
          <w:sz w:val="32"/>
          <w:szCs w:val="40"/>
          <w:highlight w:val="none"/>
          <w:lang w:val="en-US" w:eastAsia="zh-CN"/>
        </w:rPr>
      </w:pPr>
      <w:r>
        <w:rPr>
          <w:rFonts w:hint="eastAsia" w:ascii="楷体_GB2312" w:hAnsi="楷体_GB2312" w:eastAsia="楷体_GB2312" w:cs="楷体_GB2312"/>
          <w:color w:val="auto"/>
          <w:sz w:val="32"/>
          <w:szCs w:val="40"/>
          <w:highlight w:val="none"/>
          <w:lang w:val="en-US" w:eastAsia="zh-CN"/>
        </w:rPr>
        <w:t>（三）进一步完善运行体制机制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一是</w:t>
      </w:r>
      <w:r>
        <w:rPr>
          <w:rFonts w:hint="eastAsia" w:ascii="仿宋_GB2312" w:hAnsi="仿宋_GB2312" w:eastAsia="仿宋_GB2312" w:cs="仿宋_GB2312"/>
          <w:color w:val="auto"/>
          <w:sz w:val="32"/>
          <w:szCs w:val="40"/>
          <w:highlight w:val="none"/>
        </w:rPr>
        <w:t>规范机构设置与职能履行。建议产研院（青岛）依据《共建协议》要求，规范组建战略咨询委员会，厘清战略咨询委员会与创新发展与资源配置委员会的职责边界，确保各类机构均能依规履行职责。</w:t>
      </w:r>
      <w:r>
        <w:rPr>
          <w:rFonts w:hint="eastAsia" w:ascii="仿宋_GB2312" w:hAnsi="仿宋_GB2312" w:eastAsia="仿宋_GB2312" w:cs="仿宋_GB2312"/>
          <w:b/>
          <w:bCs/>
          <w:color w:val="auto"/>
          <w:sz w:val="32"/>
          <w:szCs w:val="40"/>
          <w:highlight w:val="none"/>
        </w:rPr>
        <w:t>二是</w:t>
      </w:r>
      <w:r>
        <w:rPr>
          <w:rFonts w:hint="eastAsia" w:ascii="仿宋_GB2312" w:hAnsi="仿宋_GB2312" w:eastAsia="仿宋_GB2312" w:cs="仿宋_GB2312"/>
          <w:color w:val="auto"/>
          <w:sz w:val="32"/>
          <w:szCs w:val="40"/>
          <w:highlight w:val="none"/>
        </w:rPr>
        <w:t>健全</w:t>
      </w:r>
      <w:r>
        <w:rPr>
          <w:rFonts w:hint="eastAsia" w:ascii="仿宋_GB2312" w:hAnsi="仿宋_GB2312" w:eastAsia="仿宋_GB2312" w:cs="仿宋_GB2312"/>
          <w:color w:val="auto"/>
          <w:sz w:val="32"/>
          <w:szCs w:val="40"/>
          <w:highlight w:val="none"/>
          <w:lang w:val="en-US" w:eastAsia="zh-CN"/>
        </w:rPr>
        <w:t>理事会</w:t>
      </w:r>
      <w:r>
        <w:rPr>
          <w:rFonts w:hint="eastAsia" w:ascii="仿宋_GB2312" w:hAnsi="仿宋_GB2312" w:eastAsia="仿宋_GB2312" w:cs="仿宋_GB2312"/>
          <w:color w:val="auto"/>
          <w:sz w:val="32"/>
          <w:szCs w:val="40"/>
          <w:highlight w:val="none"/>
        </w:rPr>
        <w:t>决策机制，强化理事会决策地位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根据《共建协议》规定，制定完善的理事会议事规则，尽快明确产研院（青岛）院长（法人）人选，</w:t>
      </w:r>
      <w:r>
        <w:rPr>
          <w:rFonts w:hint="eastAsia" w:ascii="仿宋_GB2312" w:hAnsi="仿宋_GB2312" w:eastAsia="仿宋_GB2312" w:cs="仿宋_GB2312"/>
          <w:color w:val="auto"/>
          <w:sz w:val="32"/>
          <w:szCs w:val="40"/>
          <w:highlight w:val="none"/>
          <w:lang w:val="en-US" w:eastAsia="zh-CN"/>
        </w:rPr>
        <w:t>健全</w:t>
      </w:r>
      <w:r>
        <w:rPr>
          <w:rFonts w:hint="eastAsia" w:ascii="仿宋_GB2312" w:hAnsi="仿宋_GB2312" w:eastAsia="仿宋_GB2312" w:cs="仿宋_GB2312"/>
          <w:color w:val="auto"/>
          <w:sz w:val="32"/>
          <w:szCs w:val="40"/>
          <w:highlight w:val="none"/>
        </w:rPr>
        <w:t>院长办公会议决策</w:t>
      </w:r>
      <w:r>
        <w:rPr>
          <w:rFonts w:hint="eastAsia" w:ascii="仿宋_GB2312" w:hAnsi="仿宋_GB2312" w:eastAsia="仿宋_GB2312" w:cs="仿宋_GB2312"/>
          <w:color w:val="auto"/>
          <w:sz w:val="32"/>
          <w:szCs w:val="40"/>
          <w:highlight w:val="none"/>
          <w:lang w:val="en-US" w:eastAsia="zh-CN"/>
        </w:rPr>
        <w:t>机制</w:t>
      </w:r>
      <w:r>
        <w:rPr>
          <w:rFonts w:hint="eastAsia" w:ascii="仿宋_GB2312" w:hAnsi="仿宋_GB2312" w:eastAsia="仿宋_GB2312" w:cs="仿宋_GB2312"/>
          <w:color w:val="auto"/>
          <w:sz w:val="32"/>
          <w:szCs w:val="40"/>
          <w:highlight w:val="none"/>
        </w:rPr>
        <w:t>，确保重大事项决策有章可循、高效推进。</w:t>
      </w:r>
      <w:r>
        <w:rPr>
          <w:rFonts w:hint="eastAsia" w:ascii="仿宋_GB2312" w:hAnsi="仿宋_GB2312" w:eastAsia="仿宋_GB2312" w:cs="仿宋_GB2312"/>
          <w:b/>
          <w:bCs/>
          <w:color w:val="auto"/>
          <w:sz w:val="32"/>
          <w:szCs w:val="40"/>
          <w:highlight w:val="none"/>
        </w:rPr>
        <w:t>三是</w:t>
      </w:r>
      <w:r>
        <w:rPr>
          <w:rFonts w:hint="eastAsia" w:ascii="仿宋_GB2312" w:hAnsi="仿宋_GB2312" w:eastAsia="仿宋_GB2312" w:cs="仿宋_GB2312"/>
          <w:color w:val="auto"/>
          <w:sz w:val="32"/>
          <w:szCs w:val="40"/>
          <w:highlight w:val="none"/>
        </w:rPr>
        <w:t>规范审计结果及年度工作计划报送工作。建议产研院（青岛）严格依照《山东产业技术研究院（青岛）资金管理办法》（产研青〔2021〕11号）规定，及时向理事会及相关部门报送审计结果，同时规范年度工作计划的提报流程，按时向业务主管部门提交下一年度计划，为其精准掌握发展规划、开展指导监督工作提供清晰依据。</w:t>
      </w:r>
    </w:p>
    <w:p>
      <w:pPr>
        <w:keepNext w:val="0"/>
        <w:keepLines w:val="0"/>
        <w:pageBreakBefore w:val="0"/>
        <w:widowControl w:val="0"/>
        <w:kinsoku/>
        <w:wordWrap/>
        <w:overflowPunct/>
        <w:topLinePunct w:val="0"/>
        <w:autoSpaceDE/>
        <w:autoSpaceDN/>
        <w:bidi w:val="0"/>
        <w:adjustRightInd w:val="0"/>
        <w:snapToGrid w:val="0"/>
        <w:spacing w:line="580" w:lineRule="exact"/>
        <w:ind w:left="1600"/>
        <w:jc w:val="both"/>
        <w:textAlignment w:val="auto"/>
        <w:outlineLvl w:val="9"/>
        <w:rPr>
          <w:rFonts w:ascii="楷体_GB2312" w:hAnsi="楷体_GB2312" w:eastAsia="楷体_GB2312" w:cs="楷体_GB2312"/>
          <w:color w:val="auto"/>
          <w:sz w:val="32"/>
          <w:szCs w:val="32"/>
          <w:highlight w:val="none"/>
        </w:rPr>
      </w:pPr>
      <w:bookmarkStart w:id="16" w:name="_GoBack"/>
      <w:bookmarkEnd w:id="16"/>
    </w:p>
    <w:sectPr>
      <w:footerReference r:id="rId4" w:type="default"/>
      <w:pgSz w:w="11906" w:h="16838"/>
      <w:pgMar w:top="2041" w:right="1587" w:bottom="2041" w:left="1587" w:header="851" w:footer="1361" w:gutter="0"/>
      <w:pgBorders>
        <w:top w:val="none" w:sz="0" w:space="0"/>
        <w:left w:val="none" w:sz="0" w:space="0"/>
        <w:bottom w:val="none" w:sz="0" w:space="0"/>
        <w:right w:val="none" w:sz="0" w:space="0"/>
      </w:pgBorders>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00022FF" w:usb1="C000205B" w:usb2="00000009" w:usb3="00000000" w:csb0="200001DF"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snapToGrid w:val="0"/>
        <w:rPr>
          <w:rFonts w:hint="eastAsia" w:ascii="黑体" w:hAnsi="黑体" w:eastAsia="黑体" w:cs="黑体"/>
          <w:sz w:val="21"/>
          <w:szCs w:val="21"/>
        </w:rPr>
      </w:pPr>
      <w:r>
        <w:rPr>
          <w:rStyle w:val="16"/>
          <w:rFonts w:hint="eastAsia" w:ascii="黑体" w:hAnsi="黑体" w:eastAsia="黑体" w:cs="黑体"/>
          <w:sz w:val="21"/>
          <w:szCs w:val="21"/>
        </w:rPr>
        <w:footnoteRef/>
      </w:r>
      <w:r>
        <w:rPr>
          <w:rFonts w:hint="eastAsia" w:ascii="黑体" w:hAnsi="黑体" w:eastAsia="黑体" w:cs="黑体"/>
          <w:sz w:val="21"/>
          <w:szCs w:val="21"/>
        </w:rPr>
        <w:t>根据青科基字〔2022〕9号，上述评估量化指标，系按资金应到位情况确定，若资金到位数有变化，则对指标数值做出相应调整。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2E"/>
    <w:rsid w:val="0021272E"/>
    <w:rsid w:val="00243C1C"/>
    <w:rsid w:val="00321B72"/>
    <w:rsid w:val="003752C8"/>
    <w:rsid w:val="007C01C9"/>
    <w:rsid w:val="00C339C4"/>
    <w:rsid w:val="00F175B3"/>
    <w:rsid w:val="013A1BEF"/>
    <w:rsid w:val="019329D2"/>
    <w:rsid w:val="02AF65AF"/>
    <w:rsid w:val="03D22BE6"/>
    <w:rsid w:val="04275653"/>
    <w:rsid w:val="04457926"/>
    <w:rsid w:val="048801BF"/>
    <w:rsid w:val="04E30464"/>
    <w:rsid w:val="05257DE5"/>
    <w:rsid w:val="054C7DEB"/>
    <w:rsid w:val="0559402E"/>
    <w:rsid w:val="05AA02EA"/>
    <w:rsid w:val="061122FD"/>
    <w:rsid w:val="072F647E"/>
    <w:rsid w:val="0774757A"/>
    <w:rsid w:val="07FA2686"/>
    <w:rsid w:val="08856DEC"/>
    <w:rsid w:val="08860CD4"/>
    <w:rsid w:val="08A47272"/>
    <w:rsid w:val="08C01BD2"/>
    <w:rsid w:val="08C471DB"/>
    <w:rsid w:val="090B1530"/>
    <w:rsid w:val="09351EBF"/>
    <w:rsid w:val="096233E6"/>
    <w:rsid w:val="09C36775"/>
    <w:rsid w:val="09D74A25"/>
    <w:rsid w:val="0A8B672D"/>
    <w:rsid w:val="0AA67D03"/>
    <w:rsid w:val="0AA9122F"/>
    <w:rsid w:val="0AD32091"/>
    <w:rsid w:val="0B3030E4"/>
    <w:rsid w:val="0B6A6C30"/>
    <w:rsid w:val="0BA07177"/>
    <w:rsid w:val="0BB738DF"/>
    <w:rsid w:val="0BC76E66"/>
    <w:rsid w:val="0C574256"/>
    <w:rsid w:val="0C996C54"/>
    <w:rsid w:val="0CE642FD"/>
    <w:rsid w:val="0EF33893"/>
    <w:rsid w:val="0F037C88"/>
    <w:rsid w:val="0F246C37"/>
    <w:rsid w:val="0F701A68"/>
    <w:rsid w:val="0FA67F27"/>
    <w:rsid w:val="10101691"/>
    <w:rsid w:val="106A3C74"/>
    <w:rsid w:val="10E072B6"/>
    <w:rsid w:val="11581C17"/>
    <w:rsid w:val="120D2DB9"/>
    <w:rsid w:val="124E4FA5"/>
    <w:rsid w:val="12604F31"/>
    <w:rsid w:val="12C85AB8"/>
    <w:rsid w:val="12D370DD"/>
    <w:rsid w:val="13082B7B"/>
    <w:rsid w:val="131156F8"/>
    <w:rsid w:val="136D5DD0"/>
    <w:rsid w:val="142D2F5C"/>
    <w:rsid w:val="1494463F"/>
    <w:rsid w:val="14A00900"/>
    <w:rsid w:val="159E5289"/>
    <w:rsid w:val="15A36E85"/>
    <w:rsid w:val="15CC5529"/>
    <w:rsid w:val="15F32845"/>
    <w:rsid w:val="1634086C"/>
    <w:rsid w:val="16465E0D"/>
    <w:rsid w:val="164F6705"/>
    <w:rsid w:val="165B2DCC"/>
    <w:rsid w:val="16A64BC2"/>
    <w:rsid w:val="170464D8"/>
    <w:rsid w:val="18195E6E"/>
    <w:rsid w:val="181D5F57"/>
    <w:rsid w:val="181F7418"/>
    <w:rsid w:val="18CB084B"/>
    <w:rsid w:val="197B147E"/>
    <w:rsid w:val="19D159ED"/>
    <w:rsid w:val="19EC2827"/>
    <w:rsid w:val="1A2005B0"/>
    <w:rsid w:val="1A78599C"/>
    <w:rsid w:val="1AB14B7C"/>
    <w:rsid w:val="1AE657E5"/>
    <w:rsid w:val="1B794D29"/>
    <w:rsid w:val="1BFC27E4"/>
    <w:rsid w:val="1C486817"/>
    <w:rsid w:val="1C8F23AC"/>
    <w:rsid w:val="1CC21543"/>
    <w:rsid w:val="1D0B3711"/>
    <w:rsid w:val="1D84327C"/>
    <w:rsid w:val="1E71447E"/>
    <w:rsid w:val="1F446D27"/>
    <w:rsid w:val="1F4612EC"/>
    <w:rsid w:val="1F680280"/>
    <w:rsid w:val="1F925C1F"/>
    <w:rsid w:val="1FDC5ECA"/>
    <w:rsid w:val="213A031C"/>
    <w:rsid w:val="217949C0"/>
    <w:rsid w:val="21A82EA1"/>
    <w:rsid w:val="21F66B3F"/>
    <w:rsid w:val="22883F5F"/>
    <w:rsid w:val="230F7587"/>
    <w:rsid w:val="233D77F4"/>
    <w:rsid w:val="238916A4"/>
    <w:rsid w:val="23931C81"/>
    <w:rsid w:val="24EA3E14"/>
    <w:rsid w:val="253A4282"/>
    <w:rsid w:val="261B343D"/>
    <w:rsid w:val="2674736C"/>
    <w:rsid w:val="26A35A76"/>
    <w:rsid w:val="27627910"/>
    <w:rsid w:val="27CE7A10"/>
    <w:rsid w:val="27F966C7"/>
    <w:rsid w:val="281731DB"/>
    <w:rsid w:val="282E12EB"/>
    <w:rsid w:val="28374198"/>
    <w:rsid w:val="286B210C"/>
    <w:rsid w:val="28CC64A4"/>
    <w:rsid w:val="290A5271"/>
    <w:rsid w:val="2922308F"/>
    <w:rsid w:val="292B2D4E"/>
    <w:rsid w:val="29897672"/>
    <w:rsid w:val="2AFA14EC"/>
    <w:rsid w:val="2B917183"/>
    <w:rsid w:val="2B9F3883"/>
    <w:rsid w:val="2BCF20EE"/>
    <w:rsid w:val="2C647E3A"/>
    <w:rsid w:val="2CF17629"/>
    <w:rsid w:val="2DC8748F"/>
    <w:rsid w:val="2E302AE1"/>
    <w:rsid w:val="2EBE52D2"/>
    <w:rsid w:val="2ECD13C0"/>
    <w:rsid w:val="2F8F217B"/>
    <w:rsid w:val="2FBA206F"/>
    <w:rsid w:val="300A1BF1"/>
    <w:rsid w:val="3041265D"/>
    <w:rsid w:val="307F4548"/>
    <w:rsid w:val="310962B6"/>
    <w:rsid w:val="3132036D"/>
    <w:rsid w:val="316562DD"/>
    <w:rsid w:val="317C7070"/>
    <w:rsid w:val="319D6E9C"/>
    <w:rsid w:val="31E07BA8"/>
    <w:rsid w:val="320C6565"/>
    <w:rsid w:val="32866EDA"/>
    <w:rsid w:val="32D60004"/>
    <w:rsid w:val="330430A6"/>
    <w:rsid w:val="337F0B5F"/>
    <w:rsid w:val="33E157D0"/>
    <w:rsid w:val="34FE3CD8"/>
    <w:rsid w:val="354F1FD0"/>
    <w:rsid w:val="35EC2CEC"/>
    <w:rsid w:val="36010D5A"/>
    <w:rsid w:val="373921F1"/>
    <w:rsid w:val="377F1C1F"/>
    <w:rsid w:val="38377A39"/>
    <w:rsid w:val="38515D12"/>
    <w:rsid w:val="385D16DE"/>
    <w:rsid w:val="387C6950"/>
    <w:rsid w:val="38E2291D"/>
    <w:rsid w:val="38E561DB"/>
    <w:rsid w:val="390E0658"/>
    <w:rsid w:val="394D33EB"/>
    <w:rsid w:val="39D3148F"/>
    <w:rsid w:val="39E75BDC"/>
    <w:rsid w:val="3A15044E"/>
    <w:rsid w:val="3A464E4A"/>
    <w:rsid w:val="3A577D39"/>
    <w:rsid w:val="3ABA27E4"/>
    <w:rsid w:val="3BBD1E1E"/>
    <w:rsid w:val="3BCD0E68"/>
    <w:rsid w:val="3C4E60FF"/>
    <w:rsid w:val="3CB43BDD"/>
    <w:rsid w:val="3D59332E"/>
    <w:rsid w:val="3DB56084"/>
    <w:rsid w:val="3DFC3451"/>
    <w:rsid w:val="3F6F1FDE"/>
    <w:rsid w:val="3FD259AA"/>
    <w:rsid w:val="40896772"/>
    <w:rsid w:val="42572987"/>
    <w:rsid w:val="426326E7"/>
    <w:rsid w:val="429122CB"/>
    <w:rsid w:val="42D350F9"/>
    <w:rsid w:val="42E73224"/>
    <w:rsid w:val="43104FA4"/>
    <w:rsid w:val="454A48AA"/>
    <w:rsid w:val="45663B0F"/>
    <w:rsid w:val="45AD5420"/>
    <w:rsid w:val="4612161E"/>
    <w:rsid w:val="46296126"/>
    <w:rsid w:val="469919ED"/>
    <w:rsid w:val="46B12F19"/>
    <w:rsid w:val="46DB75DF"/>
    <w:rsid w:val="48C447EC"/>
    <w:rsid w:val="48FE60DC"/>
    <w:rsid w:val="490F271E"/>
    <w:rsid w:val="494B0A69"/>
    <w:rsid w:val="4A7045EA"/>
    <w:rsid w:val="4AA33306"/>
    <w:rsid w:val="4B524331"/>
    <w:rsid w:val="4C0A780E"/>
    <w:rsid w:val="4C491567"/>
    <w:rsid w:val="4C8E4475"/>
    <w:rsid w:val="4CBB6744"/>
    <w:rsid w:val="4D5A15FB"/>
    <w:rsid w:val="4DF30CF1"/>
    <w:rsid w:val="4E494EA0"/>
    <w:rsid w:val="4EAD2E32"/>
    <w:rsid w:val="4EFD2499"/>
    <w:rsid w:val="4F057A31"/>
    <w:rsid w:val="4F2D49AD"/>
    <w:rsid w:val="50056A76"/>
    <w:rsid w:val="501C5706"/>
    <w:rsid w:val="508323A3"/>
    <w:rsid w:val="509E7BEA"/>
    <w:rsid w:val="50A46ABE"/>
    <w:rsid w:val="520D7203"/>
    <w:rsid w:val="525A0210"/>
    <w:rsid w:val="5296685D"/>
    <w:rsid w:val="52EA167C"/>
    <w:rsid w:val="53134418"/>
    <w:rsid w:val="53310BB8"/>
    <w:rsid w:val="53522192"/>
    <w:rsid w:val="538A1400"/>
    <w:rsid w:val="53B102D2"/>
    <w:rsid w:val="54240834"/>
    <w:rsid w:val="544A6D86"/>
    <w:rsid w:val="54EA6B1D"/>
    <w:rsid w:val="556B68E0"/>
    <w:rsid w:val="55E87B92"/>
    <w:rsid w:val="55EA7CD2"/>
    <w:rsid w:val="55FD4C24"/>
    <w:rsid w:val="560B7DBA"/>
    <w:rsid w:val="56236D75"/>
    <w:rsid w:val="56677C10"/>
    <w:rsid w:val="56D45260"/>
    <w:rsid w:val="57537848"/>
    <w:rsid w:val="576568FC"/>
    <w:rsid w:val="577D08C3"/>
    <w:rsid w:val="57DE1B14"/>
    <w:rsid w:val="5800559D"/>
    <w:rsid w:val="582F51AF"/>
    <w:rsid w:val="58DE3013"/>
    <w:rsid w:val="598B7BB3"/>
    <w:rsid w:val="5A474713"/>
    <w:rsid w:val="5A717A00"/>
    <w:rsid w:val="5AA71621"/>
    <w:rsid w:val="5AC461A2"/>
    <w:rsid w:val="5AE76118"/>
    <w:rsid w:val="5B005C57"/>
    <w:rsid w:val="5BC40110"/>
    <w:rsid w:val="5CF5513B"/>
    <w:rsid w:val="5D1237BA"/>
    <w:rsid w:val="5D4E3741"/>
    <w:rsid w:val="5D644667"/>
    <w:rsid w:val="5EC304CA"/>
    <w:rsid w:val="5FE05ADE"/>
    <w:rsid w:val="603620D8"/>
    <w:rsid w:val="60443049"/>
    <w:rsid w:val="608209EA"/>
    <w:rsid w:val="60F5288D"/>
    <w:rsid w:val="610E08A2"/>
    <w:rsid w:val="61125DB0"/>
    <w:rsid w:val="61610FEB"/>
    <w:rsid w:val="61CA6B5B"/>
    <w:rsid w:val="6213404B"/>
    <w:rsid w:val="621A6CB4"/>
    <w:rsid w:val="622B3A9A"/>
    <w:rsid w:val="62AE304C"/>
    <w:rsid w:val="62D12F14"/>
    <w:rsid w:val="62F70927"/>
    <w:rsid w:val="63B25DD3"/>
    <w:rsid w:val="63CA0DD7"/>
    <w:rsid w:val="63CC4816"/>
    <w:rsid w:val="63D679E9"/>
    <w:rsid w:val="650C334B"/>
    <w:rsid w:val="654E64DE"/>
    <w:rsid w:val="65B86875"/>
    <w:rsid w:val="661A137D"/>
    <w:rsid w:val="665E1203"/>
    <w:rsid w:val="66DE5923"/>
    <w:rsid w:val="670142DC"/>
    <w:rsid w:val="695D23C7"/>
    <w:rsid w:val="6A5E07CC"/>
    <w:rsid w:val="6AE37361"/>
    <w:rsid w:val="6B303356"/>
    <w:rsid w:val="6B454EC0"/>
    <w:rsid w:val="6B465590"/>
    <w:rsid w:val="6B483990"/>
    <w:rsid w:val="6C692C46"/>
    <w:rsid w:val="6C700663"/>
    <w:rsid w:val="6C892AB7"/>
    <w:rsid w:val="6CE32BE3"/>
    <w:rsid w:val="6D27173A"/>
    <w:rsid w:val="6E5F1610"/>
    <w:rsid w:val="6EFC4430"/>
    <w:rsid w:val="6F744511"/>
    <w:rsid w:val="6FD34399"/>
    <w:rsid w:val="6FEA072C"/>
    <w:rsid w:val="700D647D"/>
    <w:rsid w:val="70DA674F"/>
    <w:rsid w:val="7108319F"/>
    <w:rsid w:val="71BB408E"/>
    <w:rsid w:val="71D933B0"/>
    <w:rsid w:val="72232D5E"/>
    <w:rsid w:val="727357DD"/>
    <w:rsid w:val="729D7F78"/>
    <w:rsid w:val="732273B2"/>
    <w:rsid w:val="73B21B10"/>
    <w:rsid w:val="74164BC5"/>
    <w:rsid w:val="744B6DE7"/>
    <w:rsid w:val="74672DAE"/>
    <w:rsid w:val="74871348"/>
    <w:rsid w:val="75A650F5"/>
    <w:rsid w:val="75C56449"/>
    <w:rsid w:val="761E5968"/>
    <w:rsid w:val="7636595C"/>
    <w:rsid w:val="77972034"/>
    <w:rsid w:val="786279D0"/>
    <w:rsid w:val="794177B6"/>
    <w:rsid w:val="794C15D4"/>
    <w:rsid w:val="794D304D"/>
    <w:rsid w:val="79CD5581"/>
    <w:rsid w:val="7A85352B"/>
    <w:rsid w:val="7AA84FBC"/>
    <w:rsid w:val="7B130B37"/>
    <w:rsid w:val="7B3B0A6A"/>
    <w:rsid w:val="7B5C58F0"/>
    <w:rsid w:val="7B9B1ED2"/>
    <w:rsid w:val="7BB15EA8"/>
    <w:rsid w:val="7D0B2887"/>
    <w:rsid w:val="7D892242"/>
    <w:rsid w:val="7F5E2F4F"/>
    <w:rsid w:val="7FAC4C99"/>
    <w:rsid w:val="7FDB4EDA"/>
    <w:rsid w:val="EFBF624A"/>
    <w:rsid w:val="FADF03C6"/>
    <w:rsid w:val="FB6E6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4">
    <w:name w:val="Body Text Indent"/>
    <w:basedOn w:val="1"/>
    <w:next w:val="1"/>
    <w:qFormat/>
    <w:uiPriority w:val="0"/>
    <w:pPr>
      <w:widowControl/>
      <w:spacing w:before="100" w:beforeAutospacing="1" w:after="100" w:afterAutospacing="1"/>
      <w:jc w:val="left"/>
    </w:pPr>
    <w:rPr>
      <w:rFonts w:ascii="宋体" w:hAnsi="宋体" w:eastAsia="宋体"/>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11">
    <w:name w:val="Body Text First Indent 2"/>
    <w:basedOn w:val="4"/>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footnote reference"/>
    <w:basedOn w:val="14"/>
    <w:qFormat/>
    <w:uiPriority w:val="0"/>
    <w:rPr>
      <w:vertAlign w:val="superscript"/>
    </w:rPr>
  </w:style>
  <w:style w:type="paragraph" w:customStyle="1" w:styleId="17">
    <w:name w:val="_Style 3"/>
    <w:basedOn w:val="1"/>
    <w:next w:val="18"/>
    <w:unhideWhenUsed/>
    <w:qFormat/>
    <w:uiPriority w:val="99"/>
    <w:pPr>
      <w:spacing w:line="360" w:lineRule="auto"/>
      <w:ind w:firstLine="420" w:firstLineChars="200"/>
      <w:jc w:val="left"/>
    </w:pPr>
    <w:rPr>
      <w:rFonts w:ascii="Times New Roman" w:hAnsi="Times New Roman" w:eastAsia="仿宋"/>
      <w:sz w:val="32"/>
      <w:lang w:eastAsia="zh-TW"/>
    </w:rPr>
  </w:style>
  <w:style w:type="paragraph" w:styleId="18">
    <w:name w:val="List Paragraph"/>
    <w:basedOn w:val="1"/>
    <w:qFormat/>
    <w:uiPriority w:val="34"/>
    <w:pPr>
      <w:ind w:firstLine="420" w:firstLineChars="200"/>
    </w:pPr>
  </w:style>
  <w:style w:type="paragraph" w:customStyle="1" w:styleId="19">
    <w:name w:val="p0"/>
    <w:basedOn w:val="1"/>
    <w:qFormat/>
    <w:uiPriority w:val="0"/>
    <w:rPr>
      <w:rFonts w:ascii="Times New Roman" w:hAnsi="Times New Roman" w:eastAsia="宋体" w:cs="Times New Roman"/>
      <w:szCs w:val="21"/>
    </w:rPr>
  </w:style>
  <w:style w:type="paragraph" w:customStyle="1" w:styleId="20">
    <w:name w:val="li_正文"/>
    <w:qFormat/>
    <w:uiPriority w:val="99"/>
    <w:pPr>
      <w:widowControl w:val="0"/>
      <w:ind w:firstLine="200" w:firstLineChars="200"/>
      <w:jc w:val="left"/>
    </w:pPr>
    <w:rPr>
      <w:rFonts w:asciiTheme="minorHAnsi" w:hAnsiTheme="minorHAnsi" w:eastAsiaTheme="minorEastAsia"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27</Pages>
  <Words>1592</Words>
  <Characters>1714</Characters>
  <Lines>14</Lines>
  <Paragraphs>4</Paragraphs>
  <TotalTime>20</TotalTime>
  <ScaleCrop>false</ScaleCrop>
  <LinksUpToDate>false</LinksUpToDate>
  <CharactersWithSpaces>1717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2023-09-15T01:07:00Z</dcterms:created>
  <dc:creator>lenovo</dc:creator>
  <cp:lastModifiedBy>Lenovo</cp:lastModifiedBy>
  <cp:lastPrinted>2025-07-18T04:28:00Z</cp:lastPrinted>
  <dcterms:modified xsi:type="dcterms:W3CDTF">2025-09-18T02:21:45Z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0AE78A3C49714886AFBC01FB31E69A96</vt:lpwstr>
  </property>
  <property fmtid="{D5CDD505-2E9C-101B-9397-08002B2CF9AE}" pid="4" name="KSOTemplateDocerSaveRecord">
    <vt:lpwstr>eyJoZGlkIjoiOTc0OGJjNjI2ZDNjOGQ2NmM4ZGViZGNlOTE4ODJiNDYiLCJ1c2VySWQiOiIzMDMxMjAzMzUifQ==</vt:lpwstr>
  </property>
</Properties>
</file>