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关于“十四五”数字农业示范园建设的实施意见政策绩效评价报告</w:t>
      </w:r>
    </w:p>
    <w:p>
      <w:pPr>
        <w:spacing w:line="600" w:lineRule="exact"/>
        <w:rPr>
          <w:rFonts w:ascii="楷体_GB2312" w:hAnsi="楷体_GB2312" w:eastAsia="楷体_GB2312" w:cs="楷体_GB2312"/>
          <w:sz w:val="32"/>
          <w:szCs w:val="40"/>
          <w:highlight w:val="none"/>
        </w:rPr>
      </w:pP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一、</w:t>
      </w:r>
      <w:r>
        <w:rPr>
          <w:rFonts w:hint="eastAsia" w:ascii="黑体" w:hAnsi="黑体" w:eastAsia="黑体" w:cs="黑体"/>
          <w:sz w:val="32"/>
          <w:szCs w:val="40"/>
          <w:highlight w:val="none"/>
          <w:lang w:eastAsia="zh-CN"/>
        </w:rPr>
        <w:t>政策</w:t>
      </w:r>
      <w:r>
        <w:rPr>
          <w:rFonts w:hint="eastAsia" w:ascii="黑体" w:hAnsi="黑体" w:eastAsia="黑体" w:cs="黑体"/>
          <w:sz w:val="32"/>
          <w:szCs w:val="40"/>
          <w:highlight w:val="none"/>
        </w:rPr>
        <w:t>基本情况</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（一）</w:t>
      </w:r>
      <w:r>
        <w:rPr>
          <w:rFonts w:hint="eastAsia" w:ascii="楷体_GB2312" w:hAnsi="楷体_GB2312" w:eastAsia="楷体_GB2312" w:cs="楷体_GB2312"/>
          <w:sz w:val="32"/>
          <w:szCs w:val="40"/>
          <w:highlight w:val="none"/>
          <w:lang w:eastAsia="zh-CN"/>
        </w:rPr>
        <w:t>政策</w:t>
      </w:r>
      <w:r>
        <w:rPr>
          <w:rFonts w:hint="eastAsia" w:ascii="楷体_GB2312" w:hAnsi="楷体_GB2312" w:eastAsia="楷体_GB2312" w:cs="楷体_GB2312"/>
          <w:sz w:val="32"/>
          <w:szCs w:val="40"/>
          <w:highlight w:val="none"/>
        </w:rPr>
        <w:t>概况</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背景。</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为加快推进数字技术与现代农业深度融合，打造全国领先的数字农业应用场景，建设全省智慧农业试验区，按照国家《数字乡村发展战略纲要》（中办发〔2019〕31号）、《数字农业农村发展规划（2019—2025年）》（农规发〔2019〕33号）和市委、市政府《关于打造乡村振兴齐鲁样板先行区加快农业农村现代化的意见》（青发〔2021〕6号）要求，经市政府研究同意，就青岛市数字农业示范园建设提出实施意见。</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主要内容。</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“十四五”期间，采取先建后补方式，在设施种植、大田种植、畜禽养殖、水产养殖等领域，支持在我市注册成立的具有独立涉农企业、农民合作社、家庭农场等市场主体建设10个数字农业示范园。</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实施情况。</w:t>
      </w:r>
    </w:p>
    <w:p>
      <w:pPr>
        <w:spacing w:line="600" w:lineRule="exact"/>
        <w:ind w:firstLine="640" w:firstLineChars="200"/>
        <w:rPr>
          <w:rFonts w:hint="eastAsia" w:ascii="仿宋_GB2312" w:hAnsi="仿宋_GB2312" w:eastAsia="仿宋_GB2312" w:cs="仿宋_GB2312"/>
          <w:sz w:val="32"/>
          <w:szCs w:val="40"/>
          <w:highlight w:val="none"/>
        </w:rPr>
        <w:sectPr>
          <w:footerReference r:id="rId3" w:type="default"/>
          <w:pgSz w:w="11906" w:h="16838"/>
          <w:pgMar w:top="2041" w:right="1701" w:bottom="2041" w:left="1701" w:header="851" w:footer="1361" w:gutter="0"/>
          <w:pgNumType w:fmt="decimal" w:start="1"/>
          <w:cols w:space="0" w:num="1"/>
          <w:docGrid w:linePitch="312" w:charSpace="0"/>
        </w:sectPr>
      </w:pPr>
      <w:r>
        <w:rPr>
          <w:rFonts w:hint="eastAsia" w:ascii="仿宋_GB2312" w:hAnsi="仿宋_GB2312" w:eastAsia="仿宋_GB2312" w:cs="仿宋_GB2312"/>
          <w:sz w:val="32"/>
          <w:szCs w:val="40"/>
          <w:highlight w:val="none"/>
        </w:rPr>
        <w:t>区（市）农业农村部门牵头，会同海洋发展等部门组织数字农业示范园申报、确定建设主体、指导项目实施、协调解决</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问题、组织验收、发放补助和监管等工作。各区（市）财政部门要</w:t>
      </w:r>
      <w:r>
        <w:rPr>
          <w:rFonts w:hint="eastAsia" w:ascii="仿宋_GB2312" w:hAnsi="仿宋_GB2312" w:eastAsia="仿宋_GB2312" w:cs="仿宋_GB2312"/>
          <w:sz w:val="32"/>
          <w:szCs w:val="40"/>
          <w:highlight w:val="none"/>
          <w:lang w:val="en-US" w:eastAsia="zh-CN"/>
        </w:rPr>
        <w:t>进行</w:t>
      </w:r>
      <w:r>
        <w:rPr>
          <w:rFonts w:hint="eastAsia" w:ascii="仿宋_GB2312" w:hAnsi="仿宋_GB2312" w:eastAsia="仿宋_GB2312" w:cs="仿宋_GB2312"/>
          <w:sz w:val="32"/>
          <w:szCs w:val="40"/>
          <w:highlight w:val="none"/>
        </w:rPr>
        <w:t>项目资金审核</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政策项目申报</w:t>
      </w:r>
      <w:r>
        <w:rPr>
          <w:rFonts w:hint="eastAsia" w:ascii="仿宋_GB2312" w:hAnsi="仿宋_GB2312" w:eastAsia="仿宋_GB2312" w:cs="仿宋_GB2312"/>
          <w:sz w:val="32"/>
          <w:szCs w:val="40"/>
          <w:highlight w:val="none"/>
        </w:rPr>
        <w:t>主要包括目标下达、</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申报、专家考评、平台公示、资金下达和</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验收六个环节。</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（1）目标下达</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 xml:space="preserve"> 青岛市农业农村局每年向各区、市农业农村局下达《关于创建数字农业示范园的通知》。</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rPr>
        <w:t>申报</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rPr>
        <w:t>采取自主申报形式，符合条件的实施主体将申报材料通过</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所在地镇政府（街道办事处）或功能区初审，区、市农业农村局复审后，由区、市农业农村局作为申报主体报送至市农业农村局，每个区、市限报2个以内。申报材料的真实性由申报主体、实施主体共同负责，申报材料的合法合规性由申报主体负责。</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（3）专家考评</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市农业农村局组织第三方专家对</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进行竞争性选拔，形成专家评审意见，对选拔结果给出明确建议。</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（4）平台公示</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选拔结果在青岛市农业农村局官网进行公示，待公示期满无异议后下达相关批复。</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（5）资金下达</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市级竞争性选拔结果公示结束后，由市农业农村局向市财政局申请</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预算，市财政局将预算资金提前下达到各示范园所在区农业农村局。各（区）市根据预算安排和验收结果，验收一个、兑付一个</w:t>
      </w:r>
      <w:r>
        <w:rPr>
          <w:rFonts w:hint="eastAsia" w:ascii="仿宋_GB2312" w:hAnsi="仿宋_GB2312" w:eastAsia="仿宋_GB2312" w:cs="仿宋_GB2312"/>
          <w:sz w:val="32"/>
          <w:szCs w:val="40"/>
          <w:highlight w:val="none"/>
          <w:lang w:eastAsia="zh-CN"/>
        </w:rPr>
        <w:t>。</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（6）</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rPr>
        <w:t>验收</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rPr>
        <w:t>建设完工后，由实施主体填报《数字农业示范园验收申请表》，通过镇政府（街道办事处）、功能区向所在区（市）农业农村局提出验收申请。区、市农业农村局组织有关专家或委托第三方评估机构对</w:t>
      </w:r>
      <w:r>
        <w:rPr>
          <w:rFonts w:hint="eastAsia" w:ascii="仿宋_GB2312" w:hAnsi="仿宋_GB2312" w:eastAsia="仿宋_GB2312" w:cs="仿宋_GB2312"/>
          <w:sz w:val="32"/>
          <w:szCs w:val="40"/>
          <w:highlight w:val="none"/>
          <w:lang w:eastAsia="zh-CN"/>
        </w:rPr>
        <w:t>政策</w:t>
      </w:r>
      <w:r>
        <w:rPr>
          <w:rFonts w:hint="eastAsia" w:ascii="仿宋_GB2312" w:hAnsi="仿宋_GB2312" w:eastAsia="仿宋_GB2312" w:cs="仿宋_GB2312"/>
          <w:sz w:val="32"/>
          <w:szCs w:val="40"/>
          <w:highlight w:val="none"/>
        </w:rPr>
        <w:t>进行验收后，形成书面验收报告，报市农业农村局备案。</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4.资金投入及使用情况。</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预算安排情况</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rPr>
        <w:t>本轮政策资金全部来源于市级财政一般公共预算，资金拨付为对区专项转移支付。2021</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202</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政策</w:t>
      </w:r>
      <w:r>
        <w:rPr>
          <w:rFonts w:hint="eastAsia" w:ascii="仿宋_GB2312" w:hAnsi="仿宋_GB2312" w:eastAsia="仿宋_GB2312" w:cs="仿宋_GB2312"/>
          <w:sz w:val="32"/>
          <w:szCs w:val="40"/>
          <w:highlight w:val="none"/>
        </w:rPr>
        <w:t>预算</w:t>
      </w:r>
      <w:r>
        <w:rPr>
          <w:rFonts w:hint="eastAsia" w:ascii="仿宋_GB2312" w:hAnsi="仿宋_GB2312" w:eastAsia="仿宋_GB2312" w:cs="仿宋_GB2312"/>
          <w:sz w:val="32"/>
          <w:szCs w:val="40"/>
          <w:highlight w:val="none"/>
          <w:lang w:val="en-US" w:eastAsia="zh-CN"/>
        </w:rPr>
        <w:t>共计7000.00万元</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val="en-US" w:eastAsia="zh-CN"/>
        </w:rPr>
        <w:t>预算支出4128.00万元，预算执行率58.97%。历年预算执行情况，详见下表：</w:t>
      </w:r>
    </w:p>
    <w:p>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vertAlign w:val="baseline"/>
          <w:lang w:val="en-US" w:eastAsia="zh-CN"/>
        </w:rPr>
        <w:t>表1：历年预算及执行情况（单位：万元）</w:t>
      </w:r>
    </w:p>
    <w:tbl>
      <w:tblPr>
        <w:tblStyle w:val="16"/>
        <w:tblpPr w:leftFromText="180" w:rightFromText="180" w:vertAnchor="text" w:horzAnchor="page" w:tblpX="1796" w:tblpY="-20"/>
        <w:tblOverlap w:val="never"/>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973"/>
        <w:gridCol w:w="2222"/>
        <w:gridCol w:w="174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33" w:type="dxa"/>
            <w:tcBorders>
              <w:top w:val="single" w:color="A5A5A5" w:sz="12" w:space="0"/>
              <w:left w:val="nil"/>
              <w:bottom w:val="single" w:color="A5A5A5" w:sz="4" w:space="0"/>
              <w:right w:val="nil"/>
              <w:tl2br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年份</w:t>
            </w:r>
          </w:p>
        </w:tc>
        <w:tc>
          <w:tcPr>
            <w:tcW w:w="1973"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年初预算金额</w:t>
            </w:r>
          </w:p>
        </w:tc>
        <w:tc>
          <w:tcPr>
            <w:tcW w:w="2222"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调整后预算金额</w:t>
            </w:r>
          </w:p>
        </w:tc>
        <w:tc>
          <w:tcPr>
            <w:tcW w:w="1744"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预算支出</w:t>
            </w:r>
          </w:p>
        </w:tc>
        <w:tc>
          <w:tcPr>
            <w:tcW w:w="1745"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33"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2021</w:t>
            </w:r>
          </w:p>
        </w:tc>
        <w:tc>
          <w:tcPr>
            <w:tcW w:w="1973"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2222"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1744"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1745"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3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2022</w:t>
            </w:r>
          </w:p>
        </w:tc>
        <w:tc>
          <w:tcPr>
            <w:tcW w:w="197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2222"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17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1,520.00</w:t>
            </w:r>
          </w:p>
        </w:tc>
        <w:tc>
          <w:tcPr>
            <w:tcW w:w="1745"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3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2023</w:t>
            </w:r>
          </w:p>
        </w:tc>
        <w:tc>
          <w:tcPr>
            <w:tcW w:w="197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2222"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2,000.00</w:t>
            </w:r>
          </w:p>
        </w:tc>
        <w:tc>
          <w:tcPr>
            <w:tcW w:w="17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608.00</w:t>
            </w:r>
          </w:p>
        </w:tc>
        <w:tc>
          <w:tcPr>
            <w:tcW w:w="1745"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3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2024</w:t>
            </w:r>
          </w:p>
        </w:tc>
        <w:tc>
          <w:tcPr>
            <w:tcW w:w="197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2222"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7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0.00</w:t>
            </w:r>
          </w:p>
        </w:tc>
        <w:tc>
          <w:tcPr>
            <w:tcW w:w="1745"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33"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合计</w:t>
            </w:r>
          </w:p>
        </w:tc>
        <w:tc>
          <w:tcPr>
            <w:tcW w:w="1973"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 xml:space="preserve"> 7,000.00 </w:t>
            </w:r>
          </w:p>
        </w:tc>
        <w:tc>
          <w:tcPr>
            <w:tcW w:w="2222"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 xml:space="preserve"> 7,000.00 </w:t>
            </w:r>
          </w:p>
        </w:tc>
        <w:tc>
          <w:tcPr>
            <w:tcW w:w="1744"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 xml:space="preserve">4,128.00 </w:t>
            </w:r>
          </w:p>
        </w:tc>
        <w:tc>
          <w:tcPr>
            <w:tcW w:w="1745"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58.97%</w:t>
            </w:r>
          </w:p>
        </w:tc>
      </w:tr>
    </w:tbl>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2</w:t>
      </w:r>
      <w:r>
        <w:rPr>
          <w:rFonts w:hint="eastAsia" w:ascii="仿宋_GB2312" w:hAnsi="仿宋_GB2312" w:eastAsia="仿宋_GB2312" w:cs="仿宋_GB2312"/>
          <w:sz w:val="32"/>
          <w:szCs w:val="40"/>
          <w:highlight w:val="none"/>
          <w:lang w:eastAsia="zh-CN"/>
        </w:rPr>
        <w:t>）历年</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lang w:eastAsia="zh-CN"/>
        </w:rPr>
        <w:t>资金分配情况</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2021年将西海岸市新区农业农村局申报的西海岸新区绿色硅谷数字农业示范园和莱西市农业农村局申报的莱西市凯盛浩丰数字农业示范园列为当年补助</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lang w:eastAsia="zh-CN"/>
        </w:rPr>
        <w:t>。</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2022年将青岛市即墨区自然资源局申报的深远海养殖工船智慧渔业数字农业示范园和平度市农业农村局申报的平度市蓼兰镇智慧化香菇菌棒培育基地数字农业示范园建设政策列为当年补助</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lang w:eastAsia="zh-CN"/>
        </w:rPr>
        <w:t>。</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2023年将胶州市农业农村局申报的融汇润达数字农业示范园政策和莱西市农业农村局申报的艾泽福吉智能化食用菌培育基地数字农业示范园政策列为当年补助</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lang w:eastAsia="zh-CN"/>
        </w:rPr>
        <w:t>。</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2024年将胶州市农业农村局申报的青岛市胶州市里岔黑猪育种养殖示范基地建设政策列为当年补助</w:t>
      </w:r>
      <w:r>
        <w:rPr>
          <w:rFonts w:hint="eastAsia" w:ascii="仿宋_GB2312" w:hAnsi="仿宋_GB2312" w:eastAsia="仿宋_GB2312" w:cs="仿宋_GB2312"/>
          <w:sz w:val="32"/>
          <w:szCs w:val="40"/>
          <w:highlight w:val="none"/>
          <w:lang w:val="en-US" w:eastAsia="zh-CN"/>
        </w:rPr>
        <w:t>项目</w:t>
      </w:r>
      <w:r>
        <w:rPr>
          <w:rFonts w:hint="eastAsia" w:ascii="仿宋_GB2312" w:hAnsi="仿宋_GB2312" w:eastAsia="仿宋_GB2312" w:cs="仿宋_GB2312"/>
          <w:sz w:val="32"/>
          <w:szCs w:val="40"/>
          <w:highlight w:val="none"/>
          <w:lang w:eastAsia="zh-CN"/>
        </w:rPr>
        <w:t>。</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历年项目资金分配情况，详见下表：</w:t>
      </w:r>
    </w:p>
    <w:p>
      <w:pPr>
        <w:spacing w:line="560" w:lineRule="exact"/>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表2：历年项目资金分配情况（单位：万元）</w:t>
      </w:r>
    </w:p>
    <w:tbl>
      <w:tblPr>
        <w:tblStyle w:val="16"/>
        <w:tblpPr w:leftFromText="180" w:rightFromText="180" w:vertAnchor="text" w:horzAnchor="page" w:tblpX="1796" w:tblpY="-20"/>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44"/>
        <w:gridCol w:w="1853"/>
        <w:gridCol w:w="1454"/>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single" w:color="A5A5A5" w:sz="12" w:space="0"/>
              <w:left w:val="nil"/>
              <w:bottom w:val="single" w:color="A5A5A5" w:sz="4" w:space="0"/>
              <w:right w:val="nil"/>
              <w:tl2br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年份</w:t>
            </w:r>
          </w:p>
        </w:tc>
        <w:tc>
          <w:tcPr>
            <w:tcW w:w="1644"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项目名称</w:t>
            </w:r>
          </w:p>
        </w:tc>
        <w:tc>
          <w:tcPr>
            <w:tcW w:w="1853"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区（市）</w:t>
            </w:r>
          </w:p>
        </w:tc>
        <w:tc>
          <w:tcPr>
            <w:tcW w:w="1454"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预算金额</w:t>
            </w:r>
          </w:p>
        </w:tc>
        <w:tc>
          <w:tcPr>
            <w:tcW w:w="1454"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预算支出</w:t>
            </w:r>
          </w:p>
        </w:tc>
        <w:tc>
          <w:tcPr>
            <w:tcW w:w="1454" w:type="dxa"/>
            <w:tcBorders>
              <w:top w:val="single" w:color="A5A5A5" w:sz="12" w:space="0"/>
              <w:left w:val="nil"/>
              <w:bottom w:val="single" w:color="A5A5A5" w:sz="4"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2021</w:t>
            </w:r>
          </w:p>
        </w:tc>
        <w:tc>
          <w:tcPr>
            <w:tcW w:w="1644"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绿色硅谷</w:t>
            </w:r>
          </w:p>
        </w:tc>
        <w:tc>
          <w:tcPr>
            <w:tcW w:w="1853"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西海岸新区</w:t>
            </w:r>
          </w:p>
        </w:tc>
        <w:tc>
          <w:tcPr>
            <w:tcW w:w="1454"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2021</w:t>
            </w:r>
          </w:p>
        </w:tc>
        <w:tc>
          <w:tcPr>
            <w:tcW w:w="16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凯盛浩丰</w:t>
            </w:r>
          </w:p>
        </w:tc>
        <w:tc>
          <w:tcPr>
            <w:tcW w:w="185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莱西市</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859"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2022</w:t>
            </w:r>
          </w:p>
        </w:tc>
        <w:tc>
          <w:tcPr>
            <w:tcW w:w="16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国信1号</w:t>
            </w:r>
          </w:p>
        </w:tc>
        <w:tc>
          <w:tcPr>
            <w:tcW w:w="185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即墨区</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2022</w:t>
            </w:r>
          </w:p>
        </w:tc>
        <w:tc>
          <w:tcPr>
            <w:tcW w:w="16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七河生物</w:t>
            </w:r>
          </w:p>
        </w:tc>
        <w:tc>
          <w:tcPr>
            <w:tcW w:w="185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平度市</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520.00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59"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2023</w:t>
            </w:r>
          </w:p>
        </w:tc>
        <w:tc>
          <w:tcPr>
            <w:tcW w:w="16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艾泽福吉</w:t>
            </w:r>
          </w:p>
        </w:tc>
        <w:tc>
          <w:tcPr>
            <w:tcW w:w="185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莱西市</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608.00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2023</w:t>
            </w:r>
          </w:p>
        </w:tc>
        <w:tc>
          <w:tcPr>
            <w:tcW w:w="16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融汇润达</w:t>
            </w:r>
          </w:p>
        </w:tc>
        <w:tc>
          <w:tcPr>
            <w:tcW w:w="185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胶州市</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2024</w:t>
            </w:r>
          </w:p>
        </w:tc>
        <w:tc>
          <w:tcPr>
            <w:tcW w:w="164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里岔黑猪</w:t>
            </w:r>
          </w:p>
        </w:tc>
        <w:tc>
          <w:tcPr>
            <w:tcW w:w="1853"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胶州市</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0.00</w:t>
            </w:r>
          </w:p>
        </w:tc>
        <w:tc>
          <w:tcPr>
            <w:tcW w:w="1454"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9"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合计</w:t>
            </w:r>
          </w:p>
        </w:tc>
        <w:tc>
          <w:tcPr>
            <w:tcW w:w="1644"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w:t>
            </w:r>
          </w:p>
        </w:tc>
        <w:tc>
          <w:tcPr>
            <w:tcW w:w="1853"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w:t>
            </w:r>
          </w:p>
        </w:tc>
        <w:tc>
          <w:tcPr>
            <w:tcW w:w="1454"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 xml:space="preserve"> 7,000.00 </w:t>
            </w:r>
          </w:p>
        </w:tc>
        <w:tc>
          <w:tcPr>
            <w:tcW w:w="1454"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 xml:space="preserve">4,128.00 </w:t>
            </w:r>
          </w:p>
        </w:tc>
        <w:tc>
          <w:tcPr>
            <w:tcW w:w="1454"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bCs/>
                <w:color w:val="000000"/>
                <w:sz w:val="21"/>
                <w:szCs w:val="21"/>
                <w:highlight w:val="none"/>
                <w:vertAlign w:val="baseline"/>
                <w:lang w:val="en-US" w:eastAsia="zh-CN"/>
              </w:rPr>
            </w:pPr>
            <w:r>
              <w:rPr>
                <w:rFonts w:hint="eastAsia" w:ascii="仿宋_GB2312" w:hAnsi="仿宋_GB2312" w:eastAsia="仿宋_GB2312" w:cs="仿宋_GB2312"/>
                <w:b/>
                <w:bCs/>
                <w:color w:val="000000"/>
                <w:sz w:val="21"/>
                <w:szCs w:val="21"/>
                <w:highlight w:val="none"/>
                <w:vertAlign w:val="baseline"/>
                <w:lang w:val="en-US" w:eastAsia="zh-CN"/>
              </w:rPr>
              <w:t>58.97%</w:t>
            </w:r>
          </w:p>
        </w:tc>
      </w:tr>
    </w:tbl>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（二）</w:t>
      </w:r>
      <w:r>
        <w:rPr>
          <w:rFonts w:hint="eastAsia" w:ascii="楷体_GB2312" w:hAnsi="楷体_GB2312" w:eastAsia="楷体_GB2312" w:cs="楷体_GB2312"/>
          <w:sz w:val="32"/>
          <w:szCs w:val="40"/>
          <w:highlight w:val="none"/>
          <w:lang w:eastAsia="zh-CN"/>
        </w:rPr>
        <w:t>政策</w:t>
      </w:r>
      <w:r>
        <w:rPr>
          <w:rFonts w:hint="eastAsia" w:ascii="楷体_GB2312" w:hAnsi="楷体_GB2312" w:eastAsia="楷体_GB2312" w:cs="楷体_GB2312"/>
          <w:sz w:val="32"/>
          <w:szCs w:val="40"/>
          <w:highlight w:val="none"/>
        </w:rPr>
        <w:t>绩效目标</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1.总体目标。</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十四五”期间，采取先建后补方式，在设施种植、大田种植、畜禽养殖、水产养殖等领域，支持在我市注册成立的具有独立法人资格的涉农企业、农民合作社、家庭农场等市场主体建设10个数字农业示范园，带动一产固定资产投资，发挥示范引领作用，促进农业数字转型和高质量发展。实现项目劳动生产率提高50%以上，单位面积产量提升10%以上，水、肥、药等农业投入品降低10%以上，取得显著经济社会生态效益。</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val="en-US" w:eastAsia="zh-CN"/>
        </w:rPr>
        <w:t>2.</w:t>
      </w:r>
      <w:r>
        <w:rPr>
          <w:rFonts w:hint="eastAsia" w:ascii="仿宋_GB2312" w:hAnsi="仿宋_GB2312" w:eastAsia="仿宋_GB2312" w:cs="仿宋_GB2312"/>
          <w:sz w:val="32"/>
          <w:szCs w:val="40"/>
          <w:highlight w:val="none"/>
        </w:rPr>
        <w:t>年度目标。</w:t>
      </w:r>
    </w:p>
    <w:p>
      <w:pPr>
        <w:numPr>
          <w:ilvl w:val="0"/>
          <w:numId w:val="0"/>
        </w:num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val="en-US" w:eastAsia="zh-CN"/>
        </w:rPr>
        <w:t>2021年—</w:t>
      </w:r>
      <w:r>
        <w:rPr>
          <w:rFonts w:hint="eastAsia" w:ascii="仿宋_GB2312" w:hAnsi="仿宋_GB2312" w:eastAsia="仿宋_GB2312" w:cs="仿宋_GB2312"/>
          <w:sz w:val="32"/>
          <w:szCs w:val="40"/>
          <w:highlight w:val="none"/>
        </w:rPr>
        <w:t>202</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年，采取先建后补方式，重点在设施种植、大田种植、畜禽养殖、水产养殖等领域，</w:t>
      </w:r>
      <w:r>
        <w:rPr>
          <w:rFonts w:hint="eastAsia" w:ascii="仿宋_GB2312" w:hAnsi="仿宋_GB2312" w:eastAsia="仿宋_GB2312" w:cs="仿宋_GB2312"/>
          <w:sz w:val="32"/>
          <w:szCs w:val="40"/>
          <w:highlight w:val="none"/>
          <w:lang w:val="en-US" w:eastAsia="zh-CN"/>
        </w:rPr>
        <w:t>每年</w:t>
      </w:r>
      <w:r>
        <w:rPr>
          <w:rFonts w:hint="eastAsia" w:ascii="仿宋_GB2312" w:hAnsi="仿宋_GB2312" w:eastAsia="仿宋_GB2312" w:cs="仿宋_GB2312"/>
          <w:sz w:val="32"/>
          <w:szCs w:val="40"/>
          <w:highlight w:val="none"/>
        </w:rPr>
        <w:t>支持建设2个数字农业示范园。</w:t>
      </w: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二、绩效评价工作开展情况</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（一）评价目的、评价对象和范围</w:t>
      </w:r>
    </w:p>
    <w:p>
      <w:pPr>
        <w:numPr>
          <w:ilvl w:val="0"/>
          <w:numId w:val="0"/>
        </w:num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评价组从“青岛市农业农村局 青岛市财政局关于‘十四五’数字农业示范园建设的实施意见”政策制定、政策实施、政策效果三个方面对2021年—2024年预算数7000.00万元开展绩效评价，并延伸至政策申报项目的具体实施内容和流程，全面评价项目的验收及运营情况。旨在通过全面评价，总结政策制定与实施过程中取得的经验、存在的不足，对政策后续调整优化提出合理建议。</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（二）评价思路、评价重点、评价指标体系和评价标准</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根据关于印发《青岛市市级项目支出预算绩效管理结果应用办法》的通知（青财绩〔2023〕5号）文件要求，设置绩效评价指标体系，</w:t>
      </w:r>
      <w:r>
        <w:rPr>
          <w:rFonts w:hint="eastAsia" w:ascii="仿宋_GB2312" w:hAnsi="仿宋_GB2312" w:eastAsia="仿宋_GB2312" w:cs="仿宋_GB2312"/>
          <w:sz w:val="32"/>
          <w:szCs w:val="40"/>
          <w:highlight w:val="none"/>
          <w:lang w:val="en-US" w:eastAsia="zh-CN"/>
        </w:rPr>
        <w:t>结合实施方案，</w:t>
      </w:r>
      <w:r>
        <w:rPr>
          <w:rFonts w:hint="eastAsia" w:ascii="仿宋_GB2312" w:hAnsi="仿宋_GB2312" w:eastAsia="仿宋_GB2312" w:cs="仿宋_GB2312"/>
          <w:sz w:val="32"/>
          <w:szCs w:val="40"/>
          <w:highlight w:val="none"/>
        </w:rPr>
        <w:t>有针对性地梳理资料、核查</w:t>
      </w:r>
      <w:r>
        <w:rPr>
          <w:rFonts w:hint="eastAsia" w:ascii="仿宋_GB2312" w:hAnsi="仿宋_GB2312" w:eastAsia="仿宋_GB2312" w:cs="仿宋_GB2312"/>
          <w:sz w:val="32"/>
          <w:szCs w:val="40"/>
          <w:highlight w:val="none"/>
          <w:lang w:val="en-US" w:eastAsia="zh-CN"/>
        </w:rPr>
        <w:t>政策</w:t>
      </w:r>
      <w:r>
        <w:rPr>
          <w:rFonts w:hint="eastAsia" w:ascii="仿宋_GB2312" w:hAnsi="仿宋_GB2312" w:eastAsia="仿宋_GB2312" w:cs="仿宋_GB2312"/>
          <w:sz w:val="32"/>
          <w:szCs w:val="40"/>
          <w:highlight w:val="none"/>
        </w:rPr>
        <w:t>重点</w:t>
      </w:r>
      <w:r>
        <w:rPr>
          <w:rFonts w:hint="eastAsia" w:ascii="仿宋_GB2312" w:hAnsi="仿宋_GB2312" w:eastAsia="仿宋_GB2312" w:cs="仿宋_GB2312"/>
          <w:sz w:val="32"/>
          <w:szCs w:val="40"/>
          <w:highlight w:val="none"/>
          <w:lang w:val="en-US" w:eastAsia="zh-CN"/>
        </w:rPr>
        <w:t>实施</w:t>
      </w:r>
      <w:r>
        <w:rPr>
          <w:rFonts w:hint="eastAsia" w:ascii="仿宋_GB2312" w:hAnsi="仿宋_GB2312" w:eastAsia="仿宋_GB2312" w:cs="仿宋_GB2312"/>
          <w:sz w:val="32"/>
          <w:szCs w:val="40"/>
          <w:highlight w:val="none"/>
        </w:rPr>
        <w:t>绩效，提出合理建议。在指标体系框架下，重点关注</w:t>
      </w:r>
      <w:r>
        <w:rPr>
          <w:rFonts w:hint="eastAsia" w:ascii="仿宋_GB2312" w:hAnsi="仿宋_GB2312" w:eastAsia="仿宋_GB2312" w:cs="仿宋_GB2312"/>
          <w:sz w:val="32"/>
          <w:szCs w:val="40"/>
          <w:highlight w:val="none"/>
          <w:lang w:val="en-US" w:eastAsia="zh-CN"/>
        </w:rPr>
        <w:t>政策设立</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val="en-US" w:eastAsia="zh-CN"/>
        </w:rPr>
        <w:t>资金管理</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val="en-US" w:eastAsia="zh-CN"/>
        </w:rPr>
        <w:t>政策效益</w:t>
      </w:r>
      <w:r>
        <w:rPr>
          <w:rFonts w:hint="eastAsia" w:ascii="仿宋_GB2312" w:hAnsi="仿宋_GB2312" w:eastAsia="仿宋_GB2312" w:cs="仿宋_GB2312"/>
          <w:sz w:val="32"/>
          <w:szCs w:val="40"/>
          <w:highlight w:val="none"/>
        </w:rPr>
        <w:t>等指标，具体指标如附件1所示。</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《青岛市市级项目支出预算绩效管理结果应用办法》规定：等级一般划分为四档：90分（含）-100分为优、80分（含）-90分为良、60分（含）-80分为中、60分以下为差。</w:t>
      </w:r>
    </w:p>
    <w:p>
      <w:pPr>
        <w:spacing w:line="600" w:lineRule="exact"/>
        <w:ind w:firstLine="640" w:firstLineChars="200"/>
        <w:outlineLvl w:val="1"/>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（三）</w:t>
      </w:r>
      <w:bookmarkStart w:id="0" w:name="_Toc26022"/>
      <w:r>
        <w:rPr>
          <w:rFonts w:hint="eastAsia" w:ascii="楷体_GB2312" w:hAnsi="楷体_GB2312" w:eastAsia="楷体_GB2312" w:cs="楷体_GB2312"/>
          <w:sz w:val="32"/>
          <w:szCs w:val="40"/>
          <w:highlight w:val="none"/>
        </w:rPr>
        <w:t>评价组织实施与评价方法</w:t>
      </w:r>
      <w:bookmarkEnd w:id="0"/>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1.评价组织实施。</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lang w:eastAsia="zh-CN"/>
        </w:rPr>
        <w:t>）前期准备</w:t>
      </w:r>
      <w:r>
        <w:rPr>
          <w:rFonts w:hint="eastAsia" w:ascii="仿宋_GB2312" w:hAnsi="仿宋_GB2312" w:eastAsia="仿宋_GB2312" w:cs="仿宋_GB2312"/>
          <w:sz w:val="32"/>
          <w:szCs w:val="40"/>
          <w:highlight w:val="none"/>
          <w:lang w:val="en-US" w:eastAsia="zh-CN"/>
        </w:rPr>
        <w:t>阶段</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我们与</w:t>
      </w:r>
      <w:r>
        <w:rPr>
          <w:rFonts w:hint="eastAsia" w:ascii="仿宋_GB2312" w:hAnsi="仿宋_GB2312" w:eastAsia="仿宋_GB2312" w:cs="仿宋_GB2312"/>
          <w:sz w:val="32"/>
          <w:szCs w:val="40"/>
          <w:highlight w:val="none"/>
          <w:lang w:val="en-US" w:eastAsia="zh-CN"/>
        </w:rPr>
        <w:t>市农业农村局业务处室</w:t>
      </w:r>
      <w:r>
        <w:rPr>
          <w:rFonts w:hint="eastAsia" w:ascii="仿宋_GB2312" w:hAnsi="仿宋_GB2312" w:eastAsia="仿宋_GB2312" w:cs="仿宋_GB2312"/>
          <w:sz w:val="32"/>
          <w:szCs w:val="40"/>
          <w:highlight w:val="none"/>
          <w:lang w:eastAsia="zh-CN"/>
        </w:rPr>
        <w:t>进行了沟通，充分了解了项目的基本情况，获取了项目的一些基本资料，制定了项目初步实施方案，然后对部分</w:t>
      </w:r>
      <w:r>
        <w:rPr>
          <w:rFonts w:hint="eastAsia" w:ascii="仿宋_GB2312" w:hAnsi="仿宋_GB2312" w:eastAsia="仿宋_GB2312" w:cs="仿宋_GB2312"/>
          <w:sz w:val="32"/>
          <w:szCs w:val="40"/>
          <w:highlight w:val="none"/>
          <w:lang w:val="en-US" w:eastAsia="zh-CN"/>
        </w:rPr>
        <w:t>区（市）</w:t>
      </w:r>
      <w:r>
        <w:rPr>
          <w:rFonts w:hint="eastAsia" w:ascii="仿宋_GB2312" w:hAnsi="仿宋_GB2312" w:eastAsia="仿宋_GB2312" w:cs="仿宋_GB2312"/>
          <w:sz w:val="32"/>
          <w:szCs w:val="40"/>
          <w:highlight w:val="none"/>
          <w:lang w:eastAsia="zh-CN"/>
        </w:rPr>
        <w:t>进行了“预调研、试评价”，进一步完善实施方案后，</w:t>
      </w:r>
      <w:r>
        <w:rPr>
          <w:rFonts w:hint="eastAsia" w:ascii="仿宋_GB2312" w:hAnsi="仿宋_GB2312" w:eastAsia="仿宋_GB2312" w:cs="仿宋_GB2312"/>
          <w:sz w:val="32"/>
          <w:szCs w:val="40"/>
          <w:highlight w:val="none"/>
          <w:lang w:val="en-US" w:eastAsia="zh-CN"/>
        </w:rPr>
        <w:t>根据市</w:t>
      </w:r>
      <w:r>
        <w:rPr>
          <w:rFonts w:hint="eastAsia" w:ascii="仿宋_GB2312" w:hAnsi="仿宋_GB2312" w:eastAsia="仿宋_GB2312" w:cs="仿宋_GB2312"/>
          <w:sz w:val="32"/>
          <w:szCs w:val="40"/>
          <w:highlight w:val="none"/>
          <w:lang w:eastAsia="zh-CN"/>
        </w:rPr>
        <w:t>财政</w:t>
      </w:r>
      <w:r>
        <w:rPr>
          <w:rFonts w:hint="eastAsia" w:ascii="仿宋_GB2312" w:hAnsi="仿宋_GB2312" w:eastAsia="仿宋_GB2312" w:cs="仿宋_GB2312"/>
          <w:sz w:val="32"/>
          <w:szCs w:val="40"/>
          <w:highlight w:val="none"/>
          <w:lang w:val="en-US" w:eastAsia="zh-CN"/>
        </w:rPr>
        <w:t>局反馈的意见</w:t>
      </w:r>
      <w:r>
        <w:rPr>
          <w:rFonts w:hint="eastAsia" w:ascii="仿宋_GB2312" w:hAnsi="仿宋_GB2312" w:eastAsia="仿宋_GB2312" w:cs="仿宋_GB2312"/>
          <w:sz w:val="32"/>
          <w:szCs w:val="40"/>
          <w:highlight w:val="none"/>
          <w:lang w:eastAsia="zh-CN"/>
        </w:rPr>
        <w:t>，修改完善后形成最终实施方案。</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2</w:t>
      </w:r>
      <w:r>
        <w:rPr>
          <w:rFonts w:hint="eastAsia" w:ascii="仿宋_GB2312" w:hAnsi="仿宋_GB2312" w:eastAsia="仿宋_GB2312" w:cs="仿宋_GB2312"/>
          <w:sz w:val="32"/>
          <w:szCs w:val="40"/>
          <w:highlight w:val="none"/>
          <w:lang w:eastAsia="zh-CN"/>
        </w:rPr>
        <w:t>）组织实施</w:t>
      </w:r>
      <w:r>
        <w:rPr>
          <w:rFonts w:hint="eastAsia" w:ascii="仿宋_GB2312" w:hAnsi="仿宋_GB2312" w:eastAsia="仿宋_GB2312" w:cs="仿宋_GB2312"/>
          <w:sz w:val="32"/>
          <w:szCs w:val="40"/>
          <w:highlight w:val="none"/>
          <w:lang w:val="en-US" w:eastAsia="zh-CN"/>
        </w:rPr>
        <w:t>阶段</w:t>
      </w:r>
    </w:p>
    <w:p>
      <w:pPr>
        <w:spacing w:line="600" w:lineRule="exact"/>
        <w:ind w:firstLine="643" w:firstLineChars="200"/>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现场评价：</w:t>
      </w:r>
      <w:r>
        <w:rPr>
          <w:rFonts w:hint="eastAsia" w:ascii="仿宋_GB2312" w:hAnsi="仿宋_GB2312" w:eastAsia="仿宋_GB2312" w:cs="仿宋_GB2312"/>
          <w:b w:val="0"/>
          <w:bCs w:val="0"/>
          <w:sz w:val="32"/>
          <w:szCs w:val="40"/>
          <w:highlight w:val="none"/>
          <w:lang w:val="en-US" w:eastAsia="zh-CN"/>
        </w:rPr>
        <w:t>评价工作组在市农业农村局的带领下，开展现场评价工作，现场评价覆盖重点区（市），具体包含：胶州市、平度市、莱西市、即墨区、西海岸新区。现场评价过程中，一是与各（区）市农业农村局开展现场座谈，了解政策执行及资金管理情况；二是问询政策执行实际流程、项目验收情况以及对后续政策调整意见；三是实际走访示范园，查看数字化建设开展情况。</w:t>
      </w:r>
    </w:p>
    <w:p>
      <w:pPr>
        <w:spacing w:line="600" w:lineRule="exact"/>
        <w:ind w:firstLine="643"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b/>
          <w:bCs/>
          <w:sz w:val="32"/>
          <w:szCs w:val="40"/>
          <w:highlight w:val="none"/>
          <w:lang w:val="en-US" w:eastAsia="zh-CN"/>
        </w:rPr>
        <w:t>非现场评价：</w:t>
      </w:r>
      <w:r>
        <w:rPr>
          <w:rFonts w:hint="eastAsia" w:ascii="仿宋_GB2312" w:hAnsi="仿宋_GB2312" w:eastAsia="仿宋_GB2312" w:cs="仿宋_GB2312"/>
          <w:b w:val="0"/>
          <w:bCs w:val="0"/>
          <w:sz w:val="32"/>
          <w:szCs w:val="40"/>
          <w:highlight w:val="none"/>
          <w:lang w:val="en-US" w:eastAsia="zh-CN"/>
        </w:rPr>
        <w:t>按照绩效评价规范要求，工作组对相关资料进行核实、验证，对被评价项目的相关资料信息进行收集、整理、分析。在对各（区）市农业农村局、各申报单位提交的政策实施数据资料、绩效评价资料进行全面审核的基础上，对发现的问题进行沟通确认，以评价该政策是否依法依规实施，在政策绩效方面是否高效可持续。</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3</w:t>
      </w:r>
      <w:r>
        <w:rPr>
          <w:rFonts w:hint="eastAsia" w:ascii="仿宋_GB2312" w:hAnsi="仿宋_GB2312" w:eastAsia="仿宋_GB2312" w:cs="仿宋_GB2312"/>
          <w:sz w:val="32"/>
          <w:szCs w:val="40"/>
          <w:highlight w:val="none"/>
          <w:lang w:eastAsia="zh-CN"/>
        </w:rPr>
        <w:t>）报告撰写审核阶段</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对确定项目绩效的评价结果及问题清单进行逐级复核、汇总、分析，核查评价工作中是否存在重复和遗漏的情况。在此基础上，最终确定绩效评价报告。</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2.评价方法。</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严格遵循科学规范、绩效相关、公开透明、激励约束的关键原则，主要采用比较法、公众评判法等方法，通过对绩效目标与实施效果、历史与当期的纵向比较综合分析影响绩效目标实现及实施效果的各种原因，并结合</w:t>
      </w:r>
      <w:r>
        <w:rPr>
          <w:rFonts w:hint="eastAsia" w:ascii="仿宋_GB2312" w:hAnsi="仿宋_GB2312" w:eastAsia="仿宋_GB2312" w:cs="仿宋_GB2312"/>
          <w:sz w:val="32"/>
          <w:szCs w:val="40"/>
          <w:highlight w:val="none"/>
          <w:lang w:val="en-US" w:eastAsia="zh-CN"/>
        </w:rPr>
        <w:t>政策基层执行人员调查</w:t>
      </w:r>
      <w:r>
        <w:rPr>
          <w:rFonts w:hint="eastAsia" w:ascii="仿宋_GB2312" w:hAnsi="仿宋_GB2312" w:eastAsia="仿宋_GB2312" w:cs="仿宋_GB2312"/>
          <w:sz w:val="32"/>
          <w:szCs w:val="40"/>
          <w:highlight w:val="none"/>
        </w:rPr>
        <w:t>问卷对</w:t>
      </w:r>
      <w:r>
        <w:rPr>
          <w:rFonts w:hint="eastAsia" w:ascii="仿宋_GB2312" w:hAnsi="仿宋_GB2312" w:eastAsia="仿宋_GB2312" w:cs="仿宋_GB2312"/>
          <w:sz w:val="32"/>
          <w:szCs w:val="40"/>
          <w:highlight w:val="none"/>
          <w:lang w:val="en-US" w:eastAsia="zh-CN"/>
        </w:rPr>
        <w:t>该项目</w:t>
      </w:r>
      <w:r>
        <w:rPr>
          <w:rFonts w:hint="eastAsia" w:ascii="仿宋_GB2312" w:hAnsi="仿宋_GB2312" w:eastAsia="仿宋_GB2312" w:cs="仿宋_GB2312"/>
          <w:sz w:val="32"/>
          <w:szCs w:val="40"/>
          <w:highlight w:val="none"/>
        </w:rPr>
        <w:t>实施效果进行评判，评价绩效目标的实现程度。</w:t>
      </w: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三、评价结论及分析</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（一）综合评价结论</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本轮政策自20</w:t>
      </w:r>
      <w:r>
        <w:rPr>
          <w:rFonts w:hint="eastAsia" w:ascii="仿宋_GB2312" w:hAnsi="仿宋_GB2312" w:eastAsia="仿宋_GB2312" w:cs="仿宋_GB2312"/>
          <w:sz w:val="32"/>
          <w:szCs w:val="40"/>
          <w:highlight w:val="none"/>
          <w:lang w:val="en-US" w:eastAsia="zh-CN"/>
        </w:rPr>
        <w:t>21</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5</w:t>
      </w:r>
      <w:r>
        <w:rPr>
          <w:rFonts w:hint="eastAsia" w:ascii="仿宋_GB2312" w:hAnsi="仿宋_GB2312" w:eastAsia="仿宋_GB2312" w:cs="仿宋_GB2312"/>
          <w:sz w:val="32"/>
          <w:szCs w:val="40"/>
          <w:highlight w:val="none"/>
        </w:rPr>
        <w:t>月</w:t>
      </w:r>
      <w:r>
        <w:rPr>
          <w:rFonts w:hint="eastAsia" w:ascii="仿宋_GB2312" w:hAnsi="仿宋_GB2312" w:eastAsia="仿宋_GB2312" w:cs="仿宋_GB2312"/>
          <w:sz w:val="32"/>
          <w:szCs w:val="40"/>
          <w:highlight w:val="none"/>
          <w:lang w:val="en-US" w:eastAsia="zh-CN"/>
        </w:rPr>
        <w:t>11</w:t>
      </w:r>
      <w:r>
        <w:rPr>
          <w:rFonts w:hint="eastAsia" w:ascii="仿宋_GB2312" w:hAnsi="仿宋_GB2312" w:eastAsia="仿宋_GB2312" w:cs="仿宋_GB2312"/>
          <w:sz w:val="32"/>
          <w:szCs w:val="40"/>
          <w:highlight w:val="none"/>
        </w:rPr>
        <w:t>日起执行，有效期5年，</w:t>
      </w:r>
      <w:r>
        <w:rPr>
          <w:rFonts w:hint="eastAsia" w:ascii="仿宋_GB2312" w:hAnsi="仿宋_GB2312" w:eastAsia="仿宋_GB2312" w:cs="仿宋_GB2312"/>
          <w:sz w:val="32"/>
          <w:szCs w:val="40"/>
          <w:highlight w:val="none"/>
          <w:lang w:val="en-US" w:eastAsia="zh-CN"/>
        </w:rPr>
        <w:t>将</w:t>
      </w:r>
      <w:r>
        <w:rPr>
          <w:rFonts w:hint="eastAsia" w:ascii="仿宋_GB2312" w:hAnsi="仿宋_GB2312" w:eastAsia="仿宋_GB2312" w:cs="仿宋_GB2312"/>
          <w:sz w:val="32"/>
          <w:szCs w:val="40"/>
          <w:highlight w:val="none"/>
        </w:rPr>
        <w:t>于</w:t>
      </w:r>
      <w:r>
        <w:rPr>
          <w:rFonts w:hint="eastAsia" w:ascii="仿宋_GB2312" w:hAnsi="仿宋_GB2312" w:eastAsia="仿宋_GB2312" w:cs="仿宋_GB2312"/>
          <w:sz w:val="32"/>
          <w:szCs w:val="40"/>
          <w:highlight w:val="none"/>
          <w:lang w:val="en-US" w:eastAsia="zh-CN"/>
        </w:rPr>
        <w:t>2025</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12</w:t>
      </w:r>
      <w:r>
        <w:rPr>
          <w:rFonts w:hint="eastAsia" w:ascii="仿宋_GB2312" w:hAnsi="仿宋_GB2312" w:eastAsia="仿宋_GB2312" w:cs="仿宋_GB2312"/>
          <w:sz w:val="32"/>
          <w:szCs w:val="40"/>
          <w:highlight w:val="none"/>
        </w:rPr>
        <w:t>月</w:t>
      </w:r>
      <w:r>
        <w:rPr>
          <w:rFonts w:hint="eastAsia" w:ascii="仿宋_GB2312" w:hAnsi="仿宋_GB2312" w:eastAsia="仿宋_GB2312" w:cs="仿宋_GB2312"/>
          <w:sz w:val="32"/>
          <w:szCs w:val="40"/>
          <w:highlight w:val="none"/>
          <w:lang w:val="en-US" w:eastAsia="zh-CN"/>
        </w:rPr>
        <w:t>31</w:t>
      </w:r>
      <w:r>
        <w:rPr>
          <w:rFonts w:hint="eastAsia" w:ascii="仿宋_GB2312" w:hAnsi="仿宋_GB2312" w:eastAsia="仿宋_GB2312" w:cs="仿宋_GB2312"/>
          <w:sz w:val="32"/>
          <w:szCs w:val="40"/>
          <w:highlight w:val="none"/>
        </w:rPr>
        <w:t>日政策期满</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2021年—2024年</w:t>
      </w:r>
      <w:r>
        <w:rPr>
          <w:rFonts w:hint="eastAsia" w:ascii="仿宋_GB2312" w:hAnsi="仿宋_GB2312" w:eastAsia="仿宋_GB2312" w:cs="仿宋_GB2312"/>
          <w:sz w:val="32"/>
          <w:szCs w:val="40"/>
          <w:highlight w:val="none"/>
        </w:rPr>
        <w:t>政策绩效评价得分</w:t>
      </w:r>
      <w:r>
        <w:rPr>
          <w:rFonts w:hint="eastAsia" w:ascii="仿宋_GB2312" w:hAnsi="仿宋_GB2312" w:eastAsia="仿宋_GB2312" w:cs="仿宋_GB2312"/>
          <w:sz w:val="32"/>
          <w:szCs w:val="40"/>
          <w:highlight w:val="none"/>
          <w:lang w:val="en-US" w:eastAsia="zh-CN"/>
        </w:rPr>
        <w:t>83.73</w:t>
      </w:r>
      <w:r>
        <w:rPr>
          <w:rFonts w:hint="eastAsia" w:ascii="仿宋_GB2312" w:hAnsi="仿宋_GB2312" w:eastAsia="仿宋_GB2312" w:cs="仿宋_GB2312"/>
          <w:sz w:val="32"/>
          <w:szCs w:val="40"/>
          <w:highlight w:val="none"/>
        </w:rPr>
        <w:t>分（详见表3：政策绩效评价得分情况表），评价结果为“</w:t>
      </w:r>
      <w:r>
        <w:rPr>
          <w:rFonts w:hint="eastAsia" w:ascii="仿宋_GB2312" w:hAnsi="仿宋_GB2312" w:eastAsia="仿宋_GB2312" w:cs="仿宋_GB2312"/>
          <w:sz w:val="32"/>
          <w:szCs w:val="40"/>
          <w:highlight w:val="none"/>
          <w:lang w:val="en-US" w:eastAsia="zh-CN"/>
        </w:rPr>
        <w:t>良</w:t>
      </w:r>
      <w:r>
        <w:rPr>
          <w:rFonts w:hint="eastAsia" w:ascii="仿宋_GB2312" w:hAnsi="仿宋_GB2312" w:eastAsia="仿宋_GB2312" w:cs="仿宋_GB2312"/>
          <w:sz w:val="32"/>
          <w:szCs w:val="40"/>
          <w:highlight w:val="none"/>
        </w:rPr>
        <w:t>”。建议相关部门结合十四五目标任务，对到期</w:t>
      </w:r>
      <w:r>
        <w:rPr>
          <w:rFonts w:hint="eastAsia" w:ascii="仿宋_GB2312" w:hAnsi="仿宋_GB2312" w:eastAsia="仿宋_GB2312" w:cs="仿宋_GB2312"/>
          <w:sz w:val="32"/>
          <w:szCs w:val="40"/>
          <w:highlight w:val="none"/>
          <w:lang w:val="en-US" w:eastAsia="zh-CN"/>
        </w:rPr>
        <w:t>后</w:t>
      </w:r>
      <w:r>
        <w:rPr>
          <w:rFonts w:hint="eastAsia" w:ascii="仿宋_GB2312" w:hAnsi="仿宋_GB2312" w:eastAsia="仿宋_GB2312" w:cs="仿宋_GB2312"/>
          <w:sz w:val="32"/>
          <w:szCs w:val="40"/>
          <w:highlight w:val="none"/>
        </w:rPr>
        <w:t>政策是否延续进行系统研究和综合评估，如经评估确需制定新一轮政策并设立专项转移支付的，建议进一步对支持重点、方式和对象予以优化调整。</w:t>
      </w:r>
    </w:p>
    <w:p>
      <w:pPr>
        <w:spacing w:line="560" w:lineRule="exact"/>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表3：政策绩效评价得分情况表</w:t>
      </w:r>
    </w:p>
    <w:tbl>
      <w:tblPr>
        <w:tblStyle w:val="16"/>
        <w:tblW w:w="8349"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7" w:type="dxa"/>
            <w:tcBorders>
              <w:top w:val="single" w:color="A5A5A5" w:sz="12" w:space="0"/>
              <w:left w:val="nil"/>
              <w:bottom w:val="single" w:color="A5A5A5" w:sz="4" w:space="0"/>
              <w:right w:val="nil"/>
              <w:tl2br w:val="nil"/>
            </w:tcBorders>
            <w:shd w:val="clear" w:color="auto" w:fill="C9C9C9"/>
          </w:tcPr>
          <w:p>
            <w:pPr>
              <w:spacing w:line="560" w:lineRule="exact"/>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一级指标</w:t>
            </w:r>
          </w:p>
        </w:tc>
        <w:tc>
          <w:tcPr>
            <w:tcW w:w="2087" w:type="dxa"/>
            <w:tcBorders>
              <w:top w:val="single" w:color="A5A5A5" w:sz="12" w:space="0"/>
              <w:left w:val="nil"/>
              <w:bottom w:val="single" w:color="A5A5A5" w:sz="4" w:space="0"/>
              <w:right w:val="nil"/>
            </w:tcBorders>
            <w:shd w:val="clear" w:color="auto" w:fill="C9C9C9"/>
          </w:tcPr>
          <w:p>
            <w:pPr>
              <w:spacing w:line="560" w:lineRule="exact"/>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指标分值</w:t>
            </w:r>
          </w:p>
        </w:tc>
        <w:tc>
          <w:tcPr>
            <w:tcW w:w="2087" w:type="dxa"/>
            <w:tcBorders>
              <w:top w:val="single" w:color="A5A5A5" w:sz="12" w:space="0"/>
              <w:left w:val="nil"/>
              <w:bottom w:val="single" w:color="A5A5A5" w:sz="4" w:space="0"/>
              <w:right w:val="nil"/>
            </w:tcBorders>
            <w:shd w:val="clear" w:color="auto" w:fill="C9C9C9"/>
          </w:tcPr>
          <w:p>
            <w:pPr>
              <w:spacing w:line="560" w:lineRule="exact"/>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得分</w:t>
            </w:r>
          </w:p>
        </w:tc>
        <w:tc>
          <w:tcPr>
            <w:tcW w:w="2088" w:type="dxa"/>
            <w:tcBorders>
              <w:top w:val="single" w:color="A5A5A5" w:sz="12" w:space="0"/>
              <w:left w:val="nil"/>
              <w:bottom w:val="single" w:color="A5A5A5" w:sz="4" w:space="0"/>
              <w:right w:val="nil"/>
            </w:tcBorders>
            <w:shd w:val="clear" w:color="auto" w:fill="C9C9C9"/>
          </w:tcPr>
          <w:p>
            <w:pPr>
              <w:spacing w:line="560" w:lineRule="exact"/>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7" w:type="dxa"/>
            <w:tcBorders>
              <w:top w:val="single" w:color="A5A5A5" w:sz="4" w:space="0"/>
              <w:left w:val="nil"/>
              <w:bottom w:val="nil"/>
              <w:right w:val="nil"/>
            </w:tcBorders>
            <w:shd w:val="clear" w:color="auto" w:fill="FFFFFF"/>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政策制定</w:t>
            </w:r>
          </w:p>
        </w:tc>
        <w:tc>
          <w:tcPr>
            <w:tcW w:w="2087" w:type="dxa"/>
            <w:tcBorders>
              <w:top w:val="single" w:color="A5A5A5" w:sz="4" w:space="0"/>
              <w:left w:val="nil"/>
              <w:bottom w:val="nil"/>
              <w:right w:val="nil"/>
            </w:tcBorders>
            <w:shd w:val="clear" w:color="auto" w:fill="FFFFFF"/>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w:t>
            </w:r>
          </w:p>
        </w:tc>
        <w:tc>
          <w:tcPr>
            <w:tcW w:w="2087" w:type="dxa"/>
            <w:tcBorders>
              <w:top w:val="single" w:color="A5A5A5" w:sz="4" w:space="0"/>
              <w:left w:val="nil"/>
              <w:bottom w:val="nil"/>
              <w:right w:val="nil"/>
            </w:tcBorders>
            <w:shd w:val="clear" w:color="auto" w:fill="FFFFFF"/>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w:t>
            </w:r>
          </w:p>
        </w:tc>
        <w:tc>
          <w:tcPr>
            <w:tcW w:w="2088" w:type="dxa"/>
            <w:tcBorders>
              <w:top w:val="single" w:color="A5A5A5" w:sz="4" w:space="0"/>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7" w:type="dxa"/>
            <w:tcBorders>
              <w:top w:val="nil"/>
              <w:left w:val="nil"/>
              <w:bottom w:val="nil"/>
              <w:right w:val="nil"/>
            </w:tcBorders>
            <w:shd w:val="clear" w:color="auto" w:fill="FFFFFF"/>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政策实施</w:t>
            </w:r>
          </w:p>
        </w:tc>
        <w:tc>
          <w:tcPr>
            <w:tcW w:w="2087" w:type="dxa"/>
            <w:tcBorders>
              <w:top w:val="nil"/>
              <w:left w:val="nil"/>
              <w:bottom w:val="nil"/>
              <w:right w:val="nil"/>
            </w:tcBorders>
            <w:shd w:val="clear" w:color="auto" w:fill="FFFFFF"/>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w:t>
            </w:r>
          </w:p>
        </w:tc>
        <w:tc>
          <w:tcPr>
            <w:tcW w:w="2087" w:type="dxa"/>
            <w:tcBorders>
              <w:top w:val="nil"/>
              <w:left w:val="nil"/>
              <w:bottom w:val="nil"/>
              <w:right w:val="nil"/>
            </w:tcBorders>
            <w:shd w:val="clear" w:color="auto" w:fill="FFFFFF"/>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16.27</w:t>
            </w:r>
          </w:p>
        </w:tc>
        <w:tc>
          <w:tcPr>
            <w:tcW w:w="2088"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7" w:type="dxa"/>
            <w:tcBorders>
              <w:top w:val="nil"/>
              <w:left w:val="nil"/>
              <w:bottom w:val="nil"/>
              <w:right w:val="nil"/>
            </w:tcBorders>
            <w:shd w:val="clear" w:color="auto" w:fill="FFFFFF"/>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政策效果</w:t>
            </w:r>
          </w:p>
        </w:tc>
        <w:tc>
          <w:tcPr>
            <w:tcW w:w="2087" w:type="dxa"/>
            <w:tcBorders>
              <w:top w:val="nil"/>
              <w:left w:val="nil"/>
              <w:bottom w:val="nil"/>
              <w:right w:val="nil"/>
            </w:tcBorders>
            <w:shd w:val="clear" w:color="auto" w:fill="FFFFFF"/>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60</w:t>
            </w:r>
          </w:p>
        </w:tc>
        <w:tc>
          <w:tcPr>
            <w:tcW w:w="2087" w:type="dxa"/>
            <w:tcBorders>
              <w:top w:val="nil"/>
              <w:left w:val="nil"/>
              <w:bottom w:val="nil"/>
              <w:right w:val="nil"/>
            </w:tcBorders>
            <w:shd w:val="clear" w:color="auto" w:fill="FFFFFF"/>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47.46</w:t>
            </w:r>
          </w:p>
        </w:tc>
        <w:tc>
          <w:tcPr>
            <w:tcW w:w="2088" w:type="dxa"/>
            <w:tcBorders>
              <w:top w:val="nil"/>
              <w:left w:val="nil"/>
              <w:bottom w:val="nil"/>
              <w:right w:val="nil"/>
            </w:tcBorders>
            <w:shd w:val="clear" w:color="auto" w:fill="FFFFFF"/>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79.10%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7" w:type="dxa"/>
            <w:tcBorders>
              <w:top w:val="nil"/>
              <w:left w:val="nil"/>
              <w:bottom w:val="single" w:color="A5A5A5" w:sz="12" w:space="0"/>
              <w:right w:val="nil"/>
            </w:tcBorders>
            <w:shd w:val="clear" w:color="auto" w:fill="C9C9C9"/>
          </w:tcPr>
          <w:p>
            <w:pPr>
              <w:spacing w:line="560" w:lineRule="exact"/>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合计</w:t>
            </w:r>
          </w:p>
        </w:tc>
        <w:tc>
          <w:tcPr>
            <w:tcW w:w="2087" w:type="dxa"/>
            <w:tcBorders>
              <w:top w:val="nil"/>
              <w:left w:val="nil"/>
              <w:bottom w:val="single" w:color="A5A5A5" w:sz="12" w:space="0"/>
              <w:right w:val="nil"/>
            </w:tcBorders>
            <w:shd w:val="clear" w:color="auto" w:fill="C9C9C9"/>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100</w:t>
            </w:r>
          </w:p>
        </w:tc>
        <w:tc>
          <w:tcPr>
            <w:tcW w:w="2087" w:type="dxa"/>
            <w:tcBorders>
              <w:top w:val="nil"/>
              <w:left w:val="nil"/>
              <w:bottom w:val="single" w:color="A5A5A5" w:sz="12" w:space="0"/>
              <w:right w:val="nil"/>
            </w:tcBorders>
            <w:shd w:val="clear" w:color="auto" w:fill="C9C9C9"/>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83.73</w:t>
            </w:r>
          </w:p>
        </w:tc>
        <w:tc>
          <w:tcPr>
            <w:tcW w:w="2088" w:type="dxa"/>
            <w:tcBorders>
              <w:top w:val="nil"/>
              <w:left w:val="nil"/>
              <w:bottom w:val="single" w:color="A5A5A5" w:sz="12" w:space="0"/>
              <w:right w:val="nil"/>
            </w:tcBorders>
            <w:shd w:val="clear" w:color="auto" w:fill="C9C9C9"/>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83.73%</w:t>
            </w:r>
          </w:p>
        </w:tc>
      </w:tr>
    </w:tbl>
    <w:p>
      <w:pPr>
        <w:numPr>
          <w:ilvl w:val="0"/>
          <w:numId w:val="0"/>
        </w:numPr>
        <w:spacing w:line="600" w:lineRule="exact"/>
        <w:ind w:firstLine="640" w:firstLineChars="200"/>
        <w:rPr>
          <w:rFonts w:hint="eastAsia" w:ascii="楷体_GB2312" w:hAnsi="楷体_GB2312" w:eastAsia="楷体_GB2312" w:cs="楷体_GB2312"/>
          <w:sz w:val="32"/>
          <w:szCs w:val="40"/>
          <w:highlight w:val="none"/>
        </w:rPr>
      </w:pPr>
      <w:r>
        <w:rPr>
          <w:rFonts w:hint="eastAsia" w:ascii="楷体_GB2312" w:hAnsi="楷体_GB2312" w:eastAsia="楷体_GB2312" w:cs="楷体_GB2312"/>
          <w:kern w:val="2"/>
          <w:sz w:val="32"/>
          <w:szCs w:val="40"/>
          <w:lang w:val="en-US" w:eastAsia="zh-CN" w:bidi="ar-SA"/>
        </w:rPr>
        <w:t>（二）</w:t>
      </w:r>
      <w:r>
        <w:rPr>
          <w:rFonts w:hint="eastAsia" w:ascii="楷体_GB2312" w:hAnsi="楷体_GB2312" w:eastAsia="楷体_GB2312" w:cs="楷体_GB2312"/>
          <w:sz w:val="32"/>
          <w:szCs w:val="40"/>
          <w:highlight w:val="none"/>
        </w:rPr>
        <w:t>指标分析</w:t>
      </w:r>
    </w:p>
    <w:p>
      <w:pPr>
        <w:numPr>
          <w:ilvl w:val="0"/>
          <w:numId w:val="0"/>
        </w:num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w:t>
      </w:r>
      <w:r>
        <w:rPr>
          <w:rFonts w:hint="eastAsia" w:ascii="仿宋_GB2312" w:hAnsi="仿宋_GB2312" w:eastAsia="仿宋_GB2312" w:cs="仿宋_GB2312"/>
          <w:sz w:val="32"/>
          <w:szCs w:val="40"/>
          <w:highlight w:val="none"/>
          <w:lang w:val="en-US" w:eastAsia="zh-CN"/>
        </w:rPr>
        <w:t>政策制定</w:t>
      </w:r>
      <w:r>
        <w:rPr>
          <w:rFonts w:hint="eastAsia" w:ascii="仿宋_GB2312" w:hAnsi="仿宋_GB2312" w:eastAsia="仿宋_GB2312" w:cs="仿宋_GB2312"/>
          <w:sz w:val="32"/>
          <w:szCs w:val="40"/>
          <w:highlight w:val="none"/>
        </w:rPr>
        <w:t>指标分析</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指标分值</w:t>
      </w:r>
      <w:r>
        <w:rPr>
          <w:rFonts w:hint="eastAsia" w:ascii="仿宋_GB2312" w:hAnsi="仿宋_GB2312" w:eastAsia="仿宋_GB2312" w:cs="仿宋_GB2312"/>
          <w:sz w:val="32"/>
          <w:szCs w:val="40"/>
          <w:highlight w:val="none"/>
          <w:lang w:val="en-US" w:eastAsia="zh-CN"/>
        </w:rPr>
        <w:t>20</w:t>
      </w:r>
      <w:r>
        <w:rPr>
          <w:rFonts w:hint="eastAsia" w:ascii="仿宋_GB2312" w:hAnsi="仿宋_GB2312" w:eastAsia="仿宋_GB2312" w:cs="仿宋_GB2312"/>
          <w:sz w:val="32"/>
          <w:szCs w:val="40"/>
          <w:highlight w:val="none"/>
        </w:rPr>
        <w:t>分，得</w:t>
      </w:r>
      <w:r>
        <w:rPr>
          <w:rFonts w:hint="eastAsia" w:ascii="仿宋_GB2312" w:hAnsi="仿宋_GB2312" w:eastAsia="仿宋_GB2312" w:cs="仿宋_GB2312"/>
          <w:sz w:val="32"/>
          <w:szCs w:val="40"/>
          <w:highlight w:val="none"/>
          <w:lang w:val="en-US" w:eastAsia="zh-CN"/>
        </w:rPr>
        <w:t>20.00</w:t>
      </w:r>
      <w:r>
        <w:rPr>
          <w:rFonts w:hint="eastAsia" w:ascii="仿宋_GB2312" w:hAnsi="仿宋_GB2312" w:eastAsia="仿宋_GB2312" w:cs="仿宋_GB2312"/>
          <w:sz w:val="32"/>
          <w:szCs w:val="40"/>
          <w:highlight w:val="none"/>
        </w:rPr>
        <w:t>分，得分率</w:t>
      </w:r>
      <w:r>
        <w:rPr>
          <w:rFonts w:hint="eastAsia" w:ascii="仿宋_GB2312" w:hAnsi="仿宋_GB2312" w:eastAsia="仿宋_GB2312" w:cs="仿宋_GB2312"/>
          <w:sz w:val="32"/>
          <w:szCs w:val="40"/>
          <w:highlight w:val="none"/>
          <w:lang w:val="en-US" w:eastAsia="zh-CN"/>
        </w:rPr>
        <w:t>100.00</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eastAsia="zh-CN"/>
        </w:rPr>
        <w:t>。</w:t>
      </w:r>
    </w:p>
    <w:tbl>
      <w:tblPr>
        <w:tblStyle w:val="15"/>
        <w:tblpPr w:leftFromText="180" w:rightFromText="180" w:vertAnchor="text" w:horzAnchor="page" w:tblpX="1771" w:tblpY="605"/>
        <w:tblOverlap w:val="neve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1613"/>
        <w:gridCol w:w="2205"/>
        <w:gridCol w:w="177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58"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一级指标</w:t>
            </w:r>
          </w:p>
        </w:tc>
        <w:tc>
          <w:tcPr>
            <w:tcW w:w="1613"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二级指标</w:t>
            </w: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三级指标</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权重</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458" w:type="dxa"/>
            <w:vMerge w:val="restart"/>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政策制定</w:t>
            </w:r>
          </w:p>
        </w:tc>
        <w:tc>
          <w:tcPr>
            <w:tcW w:w="1613" w:type="dxa"/>
            <w:vMerge w:val="restart"/>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政策设立</w:t>
            </w: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设立依据充分性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1458" w:type="dxa"/>
            <w:vMerge w:val="continue"/>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continue"/>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设立程序规范性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1458" w:type="dxa"/>
            <w:vMerge w:val="continue"/>
            <w:tcBorders>
              <w:top w:val="single" w:color="auto" w:sz="6" w:space="0"/>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tcBorders>
              <w:top w:val="single" w:color="auto" w:sz="6" w:space="0"/>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绩效目标</w:t>
            </w:r>
          </w:p>
        </w:tc>
        <w:tc>
          <w:tcPr>
            <w:tcW w:w="220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目标合理性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1458" w:type="dxa"/>
            <w:vMerge w:val="continue"/>
            <w:tcBorders>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restart"/>
            <w:tcBorders>
              <w:top w:val="single" w:color="auto" w:sz="6" w:space="0"/>
              <w:left w:val="single" w:color="auto" w:sz="6" w:space="0"/>
              <w:right w:val="single" w:color="auto" w:sz="6"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资金安排</w:t>
            </w: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政策支出标准科学性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1458" w:type="dxa"/>
            <w:vMerge w:val="continue"/>
            <w:tcBorders>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continue"/>
            <w:tcBorders>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205"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资金分配合理性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5276"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合    计</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w:t>
            </w:r>
          </w:p>
        </w:tc>
      </w:tr>
    </w:tbl>
    <w:p>
      <w:pPr>
        <w:pStyle w:val="3"/>
        <w:rPr>
          <w:rFonts w:hint="eastAsia"/>
          <w:lang w:val="en-US" w:eastAsia="zh-CN"/>
        </w:rPr>
      </w:pPr>
    </w:p>
    <w:p>
      <w:pPr>
        <w:spacing w:line="600" w:lineRule="exact"/>
        <w:ind w:firstLine="643" w:firstLineChars="200"/>
        <w:outlineLvl w:val="3"/>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w:t>
      </w:r>
      <w:r>
        <w:rPr>
          <w:rFonts w:hint="eastAsia" w:ascii="仿宋_GB2312" w:hAnsi="仿宋_GB2312" w:eastAsia="仿宋_GB2312" w:cs="仿宋_GB2312"/>
          <w:b/>
          <w:bCs/>
          <w:sz w:val="32"/>
          <w:szCs w:val="40"/>
          <w:highlight w:val="none"/>
          <w:lang w:eastAsia="zh-CN"/>
        </w:rPr>
        <w:t>）设立依据充分性</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该指标满分为3分，根据评分标准得</w:t>
      </w:r>
      <w:r>
        <w:rPr>
          <w:rFonts w:hint="eastAsia" w:ascii="仿宋_GB2312" w:hAnsi="仿宋_GB2312" w:eastAsia="仿宋_GB2312" w:cs="仿宋_GB2312"/>
          <w:b w:val="0"/>
          <w:bCs w:val="0"/>
          <w:sz w:val="32"/>
          <w:szCs w:val="40"/>
          <w:highlight w:val="none"/>
          <w:lang w:val="en-US" w:eastAsia="zh-CN"/>
        </w:rPr>
        <w:t>3</w:t>
      </w:r>
      <w:r>
        <w:rPr>
          <w:rFonts w:hint="eastAsia" w:ascii="仿宋_GB2312" w:hAnsi="仿宋_GB2312" w:eastAsia="仿宋_GB2312" w:cs="仿宋_GB2312"/>
          <w:b w:val="0"/>
          <w:bCs w:val="0"/>
          <w:sz w:val="32"/>
          <w:szCs w:val="40"/>
          <w:highlight w:val="none"/>
          <w:lang w:eastAsia="zh-CN"/>
        </w:rPr>
        <w:t>分，设立依据充分。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2</w:t>
      </w:r>
      <w:r>
        <w:rPr>
          <w:rFonts w:hint="eastAsia" w:ascii="仿宋_GB2312" w:hAnsi="仿宋_GB2312" w:eastAsia="仿宋_GB2312" w:cs="仿宋_GB2312"/>
          <w:b/>
          <w:bCs/>
          <w:sz w:val="32"/>
          <w:szCs w:val="40"/>
          <w:highlight w:val="none"/>
          <w:lang w:eastAsia="zh-CN"/>
        </w:rPr>
        <w:t>）设立程序规范性</w:t>
      </w:r>
    </w:p>
    <w:p>
      <w:pPr>
        <w:spacing w:line="600" w:lineRule="exact"/>
        <w:ind w:firstLine="640" w:firstLineChars="200"/>
        <w:outlineLvl w:val="3"/>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eastAsia="zh-CN"/>
        </w:rPr>
        <w:t>该指标满分为3分，根据评分标准得3分，</w:t>
      </w:r>
      <w:r>
        <w:rPr>
          <w:rFonts w:hint="eastAsia" w:ascii="仿宋_GB2312" w:hAnsi="仿宋_GB2312" w:eastAsia="仿宋_GB2312" w:cs="仿宋_GB2312"/>
          <w:b w:val="0"/>
          <w:bCs w:val="0"/>
          <w:sz w:val="32"/>
          <w:szCs w:val="40"/>
          <w:highlight w:val="none"/>
          <w:lang w:val="en-US" w:eastAsia="zh-CN"/>
        </w:rPr>
        <w:t>设立程序规范。</w:t>
      </w:r>
    </w:p>
    <w:p>
      <w:pPr>
        <w:spacing w:line="600" w:lineRule="exact"/>
        <w:ind w:firstLine="643" w:firstLineChars="200"/>
        <w:outlineLvl w:val="3"/>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3</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rPr>
        <w:t>绩效目标合理性</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rPr>
        <w:t>该指标满分为</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分，根据评分标准得</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分</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绩效目标合理。</w:t>
      </w:r>
    </w:p>
    <w:p>
      <w:pPr>
        <w:spacing w:line="600" w:lineRule="exact"/>
        <w:ind w:firstLine="643" w:firstLineChars="200"/>
        <w:outlineLvl w:val="3"/>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4</w:t>
      </w:r>
      <w:r>
        <w:rPr>
          <w:rFonts w:hint="eastAsia" w:ascii="仿宋_GB2312" w:hAnsi="仿宋_GB2312" w:eastAsia="仿宋_GB2312" w:cs="仿宋_GB2312"/>
          <w:b/>
          <w:bCs/>
          <w:sz w:val="32"/>
          <w:szCs w:val="40"/>
          <w:highlight w:val="none"/>
          <w:lang w:eastAsia="zh-CN"/>
        </w:rPr>
        <w:t>）政策支出标准科学性</w:t>
      </w:r>
    </w:p>
    <w:p>
      <w:pPr>
        <w:spacing w:line="600" w:lineRule="exact"/>
        <w:ind w:firstLine="640" w:firstLineChars="200"/>
        <w:outlineLvl w:val="3"/>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该指标满分为</w:t>
      </w:r>
      <w:r>
        <w:rPr>
          <w:rFonts w:hint="eastAsia" w:ascii="仿宋_GB2312" w:hAnsi="仿宋_GB2312" w:eastAsia="仿宋_GB2312" w:cs="仿宋_GB2312"/>
          <w:sz w:val="32"/>
          <w:szCs w:val="40"/>
          <w:highlight w:val="none"/>
          <w:lang w:val="en-US" w:eastAsia="zh-CN"/>
        </w:rPr>
        <w:t>5</w:t>
      </w:r>
      <w:r>
        <w:rPr>
          <w:rFonts w:hint="eastAsia" w:ascii="仿宋_GB2312" w:hAnsi="仿宋_GB2312" w:eastAsia="仿宋_GB2312" w:cs="仿宋_GB2312"/>
          <w:sz w:val="32"/>
          <w:szCs w:val="40"/>
          <w:highlight w:val="none"/>
        </w:rPr>
        <w:t>分，根据评分标准得</w:t>
      </w:r>
      <w:r>
        <w:rPr>
          <w:rFonts w:hint="eastAsia" w:ascii="仿宋_GB2312" w:hAnsi="仿宋_GB2312" w:eastAsia="仿宋_GB2312" w:cs="仿宋_GB2312"/>
          <w:sz w:val="32"/>
          <w:szCs w:val="40"/>
          <w:highlight w:val="none"/>
          <w:lang w:val="en-US" w:eastAsia="zh-CN"/>
        </w:rPr>
        <w:t>5</w:t>
      </w:r>
      <w:r>
        <w:rPr>
          <w:rFonts w:hint="eastAsia" w:ascii="仿宋_GB2312" w:hAnsi="仿宋_GB2312" w:eastAsia="仿宋_GB2312" w:cs="仿宋_GB2312"/>
          <w:sz w:val="32"/>
          <w:szCs w:val="40"/>
          <w:highlight w:val="none"/>
        </w:rPr>
        <w:t>分</w:t>
      </w:r>
      <w:r>
        <w:rPr>
          <w:rFonts w:hint="eastAsia" w:ascii="仿宋_GB2312" w:hAnsi="仿宋_GB2312" w:eastAsia="仿宋_GB2312" w:cs="仿宋_GB2312"/>
          <w:sz w:val="32"/>
          <w:szCs w:val="40"/>
          <w:highlight w:val="none"/>
          <w:lang w:eastAsia="zh-CN"/>
        </w:rPr>
        <w:t xml:space="preserve">，政策支出标准科学。 </w:t>
      </w:r>
    </w:p>
    <w:p>
      <w:pPr>
        <w:spacing w:line="600" w:lineRule="exact"/>
        <w:ind w:firstLine="643" w:firstLineChars="200"/>
        <w:outlineLvl w:val="3"/>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5</w:t>
      </w:r>
      <w:r>
        <w:rPr>
          <w:rFonts w:hint="eastAsia" w:ascii="仿宋_GB2312" w:hAnsi="仿宋_GB2312" w:eastAsia="仿宋_GB2312" w:cs="仿宋_GB2312"/>
          <w:b/>
          <w:bCs/>
          <w:sz w:val="32"/>
          <w:szCs w:val="40"/>
          <w:highlight w:val="none"/>
          <w:lang w:eastAsia="zh-CN"/>
        </w:rPr>
        <w:t>）资金分配合理性</w:t>
      </w:r>
    </w:p>
    <w:p>
      <w:pPr>
        <w:pStyle w:val="3"/>
        <w:ind w:firstLine="640" w:firstLineChars="200"/>
        <w:rPr>
          <w:rFonts w:hint="eastAsia" w:ascii="仿宋_GB2312" w:hAnsi="仿宋_GB2312" w:eastAsia="仿宋_GB2312" w:cs="仿宋_GB2312"/>
          <w:kern w:val="2"/>
          <w:sz w:val="32"/>
          <w:szCs w:val="40"/>
          <w:highlight w:val="none"/>
          <w:lang w:val="en-US" w:eastAsia="zh-CN" w:bidi="ar-SA"/>
        </w:rPr>
      </w:pPr>
      <w:r>
        <w:rPr>
          <w:rFonts w:hint="eastAsia" w:ascii="仿宋_GB2312" w:hAnsi="仿宋_GB2312" w:eastAsia="仿宋_GB2312" w:cs="仿宋_GB2312"/>
          <w:kern w:val="2"/>
          <w:sz w:val="32"/>
          <w:szCs w:val="40"/>
          <w:highlight w:val="none"/>
          <w:lang w:val="en-US" w:eastAsia="zh-CN" w:bidi="ar-SA"/>
        </w:rPr>
        <w:t xml:space="preserve">该指标满分为5分，根据评分标准得5分，资金分配合理。 </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val="en-US" w:eastAsia="zh-CN"/>
        </w:rPr>
        <w:t>2.政策实施</w:t>
      </w:r>
      <w:r>
        <w:rPr>
          <w:rFonts w:hint="eastAsia" w:ascii="仿宋_GB2312" w:hAnsi="仿宋_GB2312" w:eastAsia="仿宋_GB2312" w:cs="仿宋_GB2312"/>
          <w:sz w:val="32"/>
          <w:szCs w:val="40"/>
          <w:highlight w:val="none"/>
        </w:rPr>
        <w:t>指标分析</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指标分值</w:t>
      </w:r>
      <w:r>
        <w:rPr>
          <w:rFonts w:hint="eastAsia" w:ascii="仿宋_GB2312" w:hAnsi="仿宋_GB2312" w:eastAsia="仿宋_GB2312" w:cs="仿宋_GB2312"/>
          <w:sz w:val="32"/>
          <w:szCs w:val="40"/>
          <w:highlight w:val="none"/>
          <w:lang w:val="en-US" w:eastAsia="zh-CN"/>
        </w:rPr>
        <w:t>20</w:t>
      </w:r>
      <w:r>
        <w:rPr>
          <w:rFonts w:hint="eastAsia" w:ascii="仿宋_GB2312" w:hAnsi="仿宋_GB2312" w:eastAsia="仿宋_GB2312" w:cs="仿宋_GB2312"/>
          <w:sz w:val="32"/>
          <w:szCs w:val="40"/>
          <w:highlight w:val="none"/>
        </w:rPr>
        <w:t>分，得</w:t>
      </w:r>
      <w:r>
        <w:rPr>
          <w:rFonts w:hint="eastAsia" w:ascii="仿宋_GB2312" w:hAnsi="仿宋_GB2312" w:eastAsia="仿宋_GB2312" w:cs="仿宋_GB2312"/>
          <w:sz w:val="32"/>
          <w:szCs w:val="40"/>
          <w:highlight w:val="none"/>
          <w:lang w:val="en-US" w:eastAsia="zh-CN"/>
        </w:rPr>
        <w:t>16.27</w:t>
      </w:r>
      <w:r>
        <w:rPr>
          <w:rFonts w:hint="eastAsia" w:ascii="仿宋_GB2312" w:hAnsi="仿宋_GB2312" w:eastAsia="仿宋_GB2312" w:cs="仿宋_GB2312"/>
          <w:sz w:val="32"/>
          <w:szCs w:val="40"/>
          <w:highlight w:val="none"/>
        </w:rPr>
        <w:t>分，得分率</w:t>
      </w:r>
      <w:r>
        <w:rPr>
          <w:rFonts w:hint="eastAsia" w:ascii="仿宋_GB2312" w:hAnsi="仿宋_GB2312" w:eastAsia="仿宋_GB2312" w:cs="仿宋_GB2312"/>
          <w:sz w:val="32"/>
          <w:szCs w:val="40"/>
          <w:highlight w:val="none"/>
          <w:lang w:val="en-US" w:eastAsia="zh-CN"/>
        </w:rPr>
        <w:t>81.35</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eastAsia="zh-CN"/>
        </w:rPr>
        <w:t>。</w:t>
      </w:r>
    </w:p>
    <w:tbl>
      <w:tblPr>
        <w:tblStyle w:val="15"/>
        <w:tblpPr w:leftFromText="180" w:rightFromText="180" w:vertAnchor="text" w:horzAnchor="page" w:tblpX="1771" w:tblpY="605"/>
        <w:tblOverlap w:val="neve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1613"/>
        <w:gridCol w:w="2205"/>
        <w:gridCol w:w="177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58"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一级指标</w:t>
            </w:r>
          </w:p>
        </w:tc>
        <w:tc>
          <w:tcPr>
            <w:tcW w:w="1613"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二级指标</w:t>
            </w: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三级指标</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权重</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458" w:type="dxa"/>
            <w:vMerge w:val="restart"/>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政策实施</w:t>
            </w:r>
          </w:p>
        </w:tc>
        <w:tc>
          <w:tcPr>
            <w:tcW w:w="1613" w:type="dxa"/>
            <w:vMerge w:val="restart"/>
            <w:tcBorders>
              <w:top w:val="single" w:color="auto" w:sz="6" w:space="0"/>
              <w:left w:val="single" w:color="auto" w:sz="6" w:space="0"/>
              <w:right w:val="single" w:color="auto" w:sz="6" w:space="0"/>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资金管理</w:t>
            </w: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资金到位保障</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1458" w:type="dxa"/>
            <w:vMerge w:val="continue"/>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continue"/>
            <w:tcBorders>
              <w:left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预算执行率</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1458" w:type="dxa"/>
            <w:vMerge w:val="continue"/>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continue"/>
            <w:tcBorders>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205"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资金使用规范性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1458" w:type="dxa"/>
            <w:vMerge w:val="continue"/>
            <w:tcBorders>
              <w:top w:val="single" w:color="auto" w:sz="6" w:space="0"/>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restart"/>
            <w:tcBorders>
              <w:top w:val="single" w:color="auto" w:sz="6" w:space="0"/>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保障机制</w:t>
            </w:r>
          </w:p>
        </w:tc>
        <w:tc>
          <w:tcPr>
            <w:tcW w:w="220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政策制度健全性</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1458" w:type="dxa"/>
            <w:vMerge w:val="continue"/>
            <w:tcBorders>
              <w:top w:val="single" w:color="auto" w:sz="6" w:space="0"/>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613" w:type="dxa"/>
            <w:vMerge w:val="continue"/>
            <w:tcBorders>
              <w:left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20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政策执行监管</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5276"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合    计</w:t>
            </w:r>
          </w:p>
        </w:tc>
        <w:tc>
          <w:tcPr>
            <w:tcW w:w="17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20</w:t>
            </w:r>
          </w:p>
        </w:tc>
        <w:tc>
          <w:tcPr>
            <w:tcW w:w="1470"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16.27</w:t>
            </w:r>
          </w:p>
        </w:tc>
      </w:tr>
    </w:tbl>
    <w:p>
      <w:pPr>
        <w:pStyle w:val="3"/>
        <w:numPr>
          <w:ilvl w:val="0"/>
          <w:numId w:val="0"/>
        </w:numPr>
      </w:pPr>
    </w:p>
    <w:p>
      <w:pPr>
        <w:spacing w:line="600" w:lineRule="exact"/>
        <w:ind w:firstLine="643" w:firstLineChars="200"/>
        <w:outlineLvl w:val="3"/>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w:t>
      </w:r>
      <w:r>
        <w:rPr>
          <w:rFonts w:hint="eastAsia" w:ascii="仿宋_GB2312" w:hAnsi="仿宋_GB2312" w:eastAsia="仿宋_GB2312" w:cs="仿宋_GB2312"/>
          <w:b/>
          <w:bCs/>
          <w:sz w:val="32"/>
          <w:szCs w:val="40"/>
          <w:highlight w:val="none"/>
          <w:lang w:eastAsia="zh-CN"/>
        </w:rPr>
        <w:t>）资金到位保障</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该指标满分为3分，根据评分标准得</w:t>
      </w:r>
      <w:r>
        <w:rPr>
          <w:rFonts w:hint="eastAsia" w:ascii="仿宋_GB2312" w:hAnsi="仿宋_GB2312" w:eastAsia="仿宋_GB2312" w:cs="仿宋_GB2312"/>
          <w:b w:val="0"/>
          <w:bCs w:val="0"/>
          <w:sz w:val="32"/>
          <w:szCs w:val="40"/>
          <w:highlight w:val="none"/>
          <w:lang w:val="en-US" w:eastAsia="zh-CN"/>
        </w:rPr>
        <w:t>3</w:t>
      </w:r>
      <w:r>
        <w:rPr>
          <w:rFonts w:hint="eastAsia" w:ascii="仿宋_GB2312" w:hAnsi="仿宋_GB2312" w:eastAsia="仿宋_GB2312" w:cs="仿宋_GB2312"/>
          <w:b w:val="0"/>
          <w:bCs w:val="0"/>
          <w:sz w:val="32"/>
          <w:szCs w:val="40"/>
          <w:highlight w:val="none"/>
          <w:lang w:eastAsia="zh-CN"/>
        </w:rPr>
        <w:t>分，资金保障</w:t>
      </w:r>
      <w:r>
        <w:rPr>
          <w:rFonts w:hint="eastAsia" w:ascii="仿宋_GB2312" w:hAnsi="仿宋_GB2312" w:eastAsia="仿宋_GB2312" w:cs="仿宋_GB2312"/>
          <w:b w:val="0"/>
          <w:bCs w:val="0"/>
          <w:sz w:val="32"/>
          <w:szCs w:val="40"/>
          <w:highlight w:val="none"/>
          <w:lang w:val="en-US" w:eastAsia="zh-CN"/>
        </w:rPr>
        <w:t>到位</w:t>
      </w:r>
      <w:r>
        <w:rPr>
          <w:rFonts w:hint="eastAsia" w:ascii="仿宋_GB2312" w:hAnsi="仿宋_GB2312" w:eastAsia="仿宋_GB2312" w:cs="仿宋_GB2312"/>
          <w:b w:val="0"/>
          <w:bCs w:val="0"/>
          <w:sz w:val="32"/>
          <w:szCs w:val="40"/>
          <w:highlight w:val="none"/>
          <w:lang w:eastAsia="zh-CN"/>
        </w:rPr>
        <w:t>。</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2</w:t>
      </w:r>
      <w:r>
        <w:rPr>
          <w:rFonts w:hint="eastAsia" w:ascii="仿宋_GB2312" w:hAnsi="仿宋_GB2312" w:eastAsia="仿宋_GB2312" w:cs="仿宋_GB2312"/>
          <w:b/>
          <w:bCs/>
          <w:sz w:val="32"/>
          <w:szCs w:val="40"/>
          <w:highlight w:val="none"/>
          <w:lang w:eastAsia="zh-CN"/>
        </w:rPr>
        <w:t>）预算执行率</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该指标满分为3分，根据评分标准得</w:t>
      </w:r>
      <w:r>
        <w:rPr>
          <w:rFonts w:hint="eastAsia" w:ascii="仿宋_GB2312" w:hAnsi="仿宋_GB2312" w:eastAsia="仿宋_GB2312" w:cs="仿宋_GB2312"/>
          <w:b w:val="0"/>
          <w:bCs w:val="0"/>
          <w:sz w:val="32"/>
          <w:szCs w:val="40"/>
          <w:highlight w:val="none"/>
          <w:lang w:val="en-US" w:eastAsia="zh-CN"/>
        </w:rPr>
        <w:t>1.77</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根据财政支付凭证，2021年-2024年各（区）市实际收到市级资金7000.00万元，实际拨付到项目单位的资金共计4128.00万元，市级财政资金预算执行率=（实际支出资金/实际到位资金）×100%=58.97%，根据评分标准，得分=预算执行率*权重分，扣1.23分。</w:t>
      </w:r>
    </w:p>
    <w:p>
      <w:pPr>
        <w:spacing w:line="600" w:lineRule="exact"/>
        <w:ind w:firstLine="643" w:firstLineChars="200"/>
        <w:outlineLvl w:val="3"/>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3</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rPr>
        <w:t>资金使用规范性</w:t>
      </w:r>
    </w:p>
    <w:p>
      <w:pPr>
        <w:spacing w:line="600" w:lineRule="exact"/>
        <w:ind w:firstLine="640" w:firstLineChars="200"/>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4</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4</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资金使用规范</w:t>
      </w:r>
      <w:r>
        <w:rPr>
          <w:rFonts w:hint="eastAsia" w:ascii="仿宋_GB2312" w:hAnsi="仿宋_GB2312" w:eastAsia="仿宋_GB2312" w:cs="仿宋_GB2312"/>
          <w:b w:val="0"/>
          <w:bCs w:val="0"/>
          <w:sz w:val="32"/>
          <w:szCs w:val="40"/>
          <w:highlight w:val="none"/>
          <w:lang w:eastAsia="zh-CN"/>
        </w:rPr>
        <w:t>。</w:t>
      </w:r>
    </w:p>
    <w:p>
      <w:pPr>
        <w:spacing w:line="600" w:lineRule="exact"/>
        <w:ind w:firstLine="643" w:firstLineChars="200"/>
        <w:outlineLvl w:val="3"/>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4</w:t>
      </w:r>
      <w:r>
        <w:rPr>
          <w:rFonts w:hint="eastAsia" w:ascii="仿宋_GB2312" w:hAnsi="仿宋_GB2312" w:eastAsia="仿宋_GB2312" w:cs="仿宋_GB2312"/>
          <w:b/>
          <w:bCs/>
          <w:sz w:val="32"/>
          <w:szCs w:val="40"/>
          <w:highlight w:val="none"/>
          <w:lang w:eastAsia="zh-CN"/>
        </w:rPr>
        <w:t>）政策制度健全性</w:t>
      </w:r>
    </w:p>
    <w:p>
      <w:pPr>
        <w:spacing w:line="600" w:lineRule="exact"/>
        <w:ind w:firstLine="640" w:firstLineChars="200"/>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3.75</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val="en-US" w:eastAsia="zh-CN"/>
        </w:rPr>
        <w:t>政策实施单位已具有相应的财务和业务管理制度。但政策实施单位未明确规定项目资金审查要求和必备资料，未对项目撤销、延迟等情况作出明确规定。</w:t>
      </w:r>
      <w:r>
        <w:rPr>
          <w:rFonts w:hint="eastAsia" w:ascii="仿宋_GB2312" w:hAnsi="仿宋_GB2312" w:eastAsia="仿宋_GB2312" w:cs="仿宋_GB2312"/>
          <w:b w:val="0"/>
          <w:bCs w:val="0"/>
          <w:sz w:val="32"/>
          <w:szCs w:val="40"/>
          <w:highlight w:val="none"/>
          <w:lang w:eastAsia="zh-CN"/>
        </w:rPr>
        <w:t>根据评分标准，</w:t>
      </w:r>
      <w:r>
        <w:rPr>
          <w:rFonts w:hint="eastAsia" w:ascii="仿宋_GB2312" w:hAnsi="仿宋_GB2312" w:eastAsia="仿宋_GB2312" w:cs="仿宋_GB2312"/>
          <w:sz w:val="32"/>
          <w:szCs w:val="40"/>
          <w:highlight w:val="none"/>
          <w:lang w:eastAsia="zh-CN"/>
        </w:rPr>
        <w:t>扣除</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lang w:eastAsia="zh-CN"/>
        </w:rPr>
        <w:t>权重分</w:t>
      </w:r>
      <w:r>
        <w:rPr>
          <w:rFonts w:hint="eastAsia" w:ascii="仿宋_GB2312" w:hAnsi="仿宋_GB2312" w:eastAsia="仿宋_GB2312" w:cs="仿宋_GB2312"/>
          <w:sz w:val="32"/>
          <w:szCs w:val="40"/>
          <w:highlight w:val="none"/>
          <w:lang w:val="en-US" w:eastAsia="zh-CN"/>
        </w:rPr>
        <w:t>1.25</w:t>
      </w:r>
      <w:r>
        <w:rPr>
          <w:rFonts w:hint="eastAsia" w:ascii="仿宋_GB2312" w:hAnsi="仿宋_GB2312" w:eastAsia="仿宋_GB2312" w:cs="仿宋_GB2312"/>
          <w:sz w:val="32"/>
          <w:szCs w:val="40"/>
          <w:highlight w:val="none"/>
        </w:rPr>
        <w:t>分</w:t>
      </w:r>
      <w:r>
        <w:rPr>
          <w:rFonts w:hint="eastAsia" w:ascii="仿宋_GB2312" w:hAnsi="仿宋_GB2312" w:eastAsia="仿宋_GB2312" w:cs="仿宋_GB2312"/>
          <w:b w:val="0"/>
          <w:bCs w:val="0"/>
          <w:sz w:val="32"/>
          <w:szCs w:val="40"/>
          <w:highlight w:val="none"/>
          <w:lang w:eastAsia="zh-CN"/>
        </w:rPr>
        <w:t>。</w:t>
      </w:r>
    </w:p>
    <w:p>
      <w:pPr>
        <w:spacing w:line="600" w:lineRule="exact"/>
        <w:ind w:firstLine="643" w:firstLineChars="200"/>
        <w:outlineLvl w:val="3"/>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5</w:t>
      </w:r>
      <w:r>
        <w:rPr>
          <w:rFonts w:hint="eastAsia" w:ascii="仿宋_GB2312" w:hAnsi="仿宋_GB2312" w:eastAsia="仿宋_GB2312" w:cs="仿宋_GB2312"/>
          <w:b/>
          <w:bCs/>
          <w:sz w:val="32"/>
          <w:szCs w:val="40"/>
          <w:highlight w:val="none"/>
          <w:lang w:eastAsia="zh-CN"/>
        </w:rPr>
        <w:t>）政策执行监管</w:t>
      </w:r>
    </w:p>
    <w:p>
      <w:pPr>
        <w:spacing w:line="600" w:lineRule="exact"/>
        <w:ind w:firstLine="640" w:firstLineChars="200"/>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3.75</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val="en-US" w:eastAsia="zh-CN"/>
        </w:rPr>
        <w:t>项目执行遵守相关法律法规，各（区）市项目验收资料齐全，按政策要求归档备案。部分项目的实施条件未落实到位。根据评分标准，扣除1/4权重分1.25分。</w:t>
      </w:r>
    </w:p>
    <w:p>
      <w:pPr>
        <w:numPr>
          <w:ilvl w:val="0"/>
          <w:numId w:val="0"/>
        </w:num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3.政策效果指标分析</w:t>
      </w:r>
    </w:p>
    <w:p>
      <w:pPr>
        <w:numPr>
          <w:ilvl w:val="0"/>
          <w:numId w:val="0"/>
        </w:num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指标分值</w:t>
      </w:r>
      <w:r>
        <w:rPr>
          <w:rFonts w:hint="eastAsia" w:ascii="仿宋_GB2312" w:hAnsi="仿宋_GB2312" w:eastAsia="仿宋_GB2312" w:cs="仿宋_GB2312"/>
          <w:sz w:val="32"/>
          <w:szCs w:val="40"/>
          <w:highlight w:val="none"/>
          <w:lang w:val="en-US" w:eastAsia="zh-CN"/>
        </w:rPr>
        <w:t>60</w:t>
      </w:r>
      <w:r>
        <w:rPr>
          <w:rFonts w:hint="eastAsia" w:ascii="仿宋_GB2312" w:hAnsi="仿宋_GB2312" w:eastAsia="仿宋_GB2312" w:cs="仿宋_GB2312"/>
          <w:sz w:val="32"/>
          <w:szCs w:val="40"/>
          <w:highlight w:val="none"/>
        </w:rPr>
        <w:t>分，得</w:t>
      </w:r>
      <w:r>
        <w:rPr>
          <w:rFonts w:hint="eastAsia" w:ascii="仿宋_GB2312" w:hAnsi="仿宋_GB2312" w:eastAsia="仿宋_GB2312" w:cs="仿宋_GB2312"/>
          <w:sz w:val="32"/>
          <w:szCs w:val="40"/>
          <w:highlight w:val="none"/>
          <w:lang w:val="en-US" w:eastAsia="zh-CN"/>
        </w:rPr>
        <w:t>47.46</w:t>
      </w:r>
      <w:r>
        <w:rPr>
          <w:rFonts w:hint="eastAsia" w:ascii="仿宋_GB2312" w:hAnsi="仿宋_GB2312" w:eastAsia="仿宋_GB2312" w:cs="仿宋_GB2312"/>
          <w:sz w:val="32"/>
          <w:szCs w:val="40"/>
          <w:highlight w:val="none"/>
        </w:rPr>
        <w:t>分，得分率</w:t>
      </w:r>
      <w:r>
        <w:rPr>
          <w:rFonts w:hint="eastAsia" w:ascii="仿宋_GB2312" w:hAnsi="仿宋_GB2312" w:eastAsia="仿宋_GB2312" w:cs="仿宋_GB2312"/>
          <w:sz w:val="32"/>
          <w:szCs w:val="40"/>
          <w:highlight w:val="none"/>
          <w:lang w:val="en-US" w:eastAsia="zh-CN"/>
        </w:rPr>
        <w:t>79.10</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eastAsia="zh-CN"/>
        </w:rPr>
        <w:t>。</w:t>
      </w:r>
    </w:p>
    <w:p>
      <w:pPr>
        <w:pStyle w:val="2"/>
        <w:rPr>
          <w:rFonts w:hint="eastAsia"/>
          <w:lang w:eastAsia="zh-CN"/>
        </w:rPr>
      </w:pPr>
    </w:p>
    <w:tbl>
      <w:tblPr>
        <w:tblStyle w:val="15"/>
        <w:tblW w:w="8711"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110"/>
        <w:gridCol w:w="1565"/>
        <w:gridCol w:w="2770"/>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trPr>
        <w:tc>
          <w:tcPr>
            <w:tcW w:w="956"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一级</w:t>
            </w:r>
          </w:p>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指标</w:t>
            </w:r>
          </w:p>
        </w:tc>
        <w:tc>
          <w:tcPr>
            <w:tcW w:w="111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二级指标</w:t>
            </w:r>
          </w:p>
        </w:tc>
        <w:tc>
          <w:tcPr>
            <w:tcW w:w="1565"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三级指标</w:t>
            </w:r>
          </w:p>
        </w:tc>
        <w:tc>
          <w:tcPr>
            <w:tcW w:w="277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四级指标</w:t>
            </w:r>
          </w:p>
        </w:tc>
        <w:tc>
          <w:tcPr>
            <w:tcW w:w="1155"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权重</w:t>
            </w:r>
          </w:p>
        </w:tc>
        <w:tc>
          <w:tcPr>
            <w:tcW w:w="1155"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w:t>
            </w:r>
          </w:p>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效果</w:t>
            </w:r>
          </w:p>
        </w:tc>
        <w:tc>
          <w:tcPr>
            <w:tcW w:w="1110"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政策产出</w:t>
            </w:r>
          </w:p>
        </w:tc>
        <w:tc>
          <w:tcPr>
            <w:tcW w:w="1565"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数量指标</w:t>
            </w:r>
          </w:p>
        </w:tc>
        <w:tc>
          <w:tcPr>
            <w:tcW w:w="277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创建农业示范园数量</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质量指标</w:t>
            </w:r>
          </w:p>
        </w:tc>
        <w:tc>
          <w:tcPr>
            <w:tcW w:w="277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补助认定准确率</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77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补助发放准确率</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时效指标</w:t>
            </w:r>
          </w:p>
        </w:tc>
        <w:tc>
          <w:tcPr>
            <w:tcW w:w="277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项目验收及时性</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770"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补助拨付及时性</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政策效益</w:t>
            </w:r>
          </w:p>
        </w:tc>
        <w:tc>
          <w:tcPr>
            <w:tcW w:w="1565"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社会效益/经济效益/生态效益</w:t>
            </w:r>
          </w:p>
        </w:tc>
        <w:tc>
          <w:tcPr>
            <w:tcW w:w="27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促进农业高质量发展</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7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示范园建设成效</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7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发挥示范引领作用</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restart"/>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可持续影响</w:t>
            </w:r>
          </w:p>
        </w:tc>
        <w:tc>
          <w:tcPr>
            <w:tcW w:w="27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经验模式推广度</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27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长效管理机制健全性</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5</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6"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110" w:type="dxa"/>
            <w:vMerge w:val="continue"/>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p>
        </w:tc>
        <w:tc>
          <w:tcPr>
            <w:tcW w:w="1565" w:type="dxa"/>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政策满意度</w:t>
            </w:r>
          </w:p>
        </w:tc>
        <w:tc>
          <w:tcPr>
            <w:tcW w:w="27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执行对象满意度</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01" w:type="dxa"/>
            <w:gridSpan w:val="4"/>
            <w:tcBorders>
              <w:top w:val="single" w:color="auto" w:sz="4" w:space="0"/>
              <w:left w:val="single" w:color="auto" w:sz="4" w:space="0"/>
              <w:bottom w:val="single" w:color="auto" w:sz="4" w:space="0"/>
              <w:right w:val="single" w:color="auto" w:sz="4" w:space="0"/>
              <w:tl2br w:val="nil"/>
              <w:tr2bl w:val="nil"/>
            </w:tcBorders>
            <w:shd w:val="solid" w:color="FFFFFF" w:fill="auto"/>
            <w:vAlign w:val="center"/>
          </w:tcPr>
          <w:p>
            <w:pPr>
              <w:spacing w:line="560" w:lineRule="exact"/>
              <w:jc w:val="center"/>
              <w:rPr>
                <w:rFonts w:hint="eastAsia"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合计</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60</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仿宋_GB2312" w:hAnsi="仿宋_GB2312" w:eastAsia="仿宋_GB2312" w:cs="仿宋_GB2312"/>
                <w:b w:val="0"/>
                <w:color w:val="000000"/>
                <w:sz w:val="21"/>
                <w:szCs w:val="21"/>
                <w:highlight w:val="none"/>
                <w:vertAlign w:val="baseline"/>
                <w:lang w:val="en-US" w:eastAsia="zh-CN"/>
              </w:rPr>
            </w:pPr>
            <w:r>
              <w:rPr>
                <w:rFonts w:hint="eastAsia" w:ascii="仿宋_GB2312" w:hAnsi="仿宋_GB2312" w:eastAsia="仿宋_GB2312" w:cs="仿宋_GB2312"/>
                <w:b w:val="0"/>
                <w:color w:val="000000"/>
                <w:sz w:val="21"/>
                <w:szCs w:val="21"/>
                <w:highlight w:val="none"/>
                <w:vertAlign w:val="baseline"/>
                <w:lang w:val="en-US" w:eastAsia="zh-CN"/>
              </w:rPr>
              <w:t>47.46</w:t>
            </w:r>
          </w:p>
        </w:tc>
      </w:tr>
    </w:tbl>
    <w:p>
      <w:pPr>
        <w:spacing w:line="600" w:lineRule="exact"/>
        <w:ind w:firstLine="643" w:firstLineChars="200"/>
        <w:outlineLvl w:val="3"/>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w:t>
      </w:r>
      <w:r>
        <w:rPr>
          <w:rFonts w:hint="eastAsia" w:ascii="仿宋_GB2312" w:hAnsi="仿宋_GB2312" w:eastAsia="仿宋_GB2312" w:cs="仿宋_GB2312"/>
          <w:b/>
          <w:bCs/>
          <w:sz w:val="32"/>
          <w:szCs w:val="40"/>
          <w:highlight w:val="none"/>
          <w:lang w:eastAsia="zh-CN"/>
        </w:rPr>
        <w:t>）创建农业示范园数量</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3.5</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sz w:val="32"/>
          <w:szCs w:val="40"/>
          <w:highlight w:val="none"/>
          <w:lang w:val="en-US" w:eastAsia="zh-CN"/>
        </w:rPr>
        <w:t>根据市级数字农业示范园项目评审结果的公示、市级数字农业示范园财政支持项目名单，政策执行期间共创建7个数字农业示范园，实际完成率70%。根据评分标准，扣1.5分。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2</w:t>
      </w:r>
      <w:r>
        <w:rPr>
          <w:rFonts w:hint="eastAsia" w:ascii="仿宋_GB2312" w:hAnsi="仿宋_GB2312" w:eastAsia="仿宋_GB2312" w:cs="仿宋_GB2312"/>
          <w:b/>
          <w:bCs/>
          <w:sz w:val="32"/>
          <w:szCs w:val="40"/>
          <w:highlight w:val="none"/>
          <w:lang w:eastAsia="zh-CN"/>
        </w:rPr>
        <w:t>）补助认定准确率</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6</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6</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补助认定准确率100%</w:t>
      </w:r>
      <w:r>
        <w:rPr>
          <w:rFonts w:hint="eastAsia" w:ascii="仿宋_GB2312" w:hAnsi="仿宋_GB2312" w:eastAsia="仿宋_GB2312" w:cs="仿宋_GB2312"/>
          <w:b w:val="0"/>
          <w:bCs w:val="0"/>
          <w:sz w:val="32"/>
          <w:szCs w:val="40"/>
          <w:highlight w:val="none"/>
          <w:lang w:eastAsia="zh-CN"/>
        </w:rPr>
        <w:t>。</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3</w:t>
      </w:r>
      <w:r>
        <w:rPr>
          <w:rFonts w:hint="eastAsia" w:ascii="仿宋_GB2312" w:hAnsi="仿宋_GB2312" w:eastAsia="仿宋_GB2312" w:cs="仿宋_GB2312"/>
          <w:b/>
          <w:bCs/>
          <w:sz w:val="32"/>
          <w:szCs w:val="40"/>
          <w:highlight w:val="none"/>
          <w:lang w:eastAsia="zh-CN"/>
        </w:rPr>
        <w:t>）补助</w:t>
      </w:r>
      <w:r>
        <w:rPr>
          <w:rFonts w:hint="eastAsia" w:ascii="仿宋_GB2312" w:hAnsi="仿宋_GB2312" w:eastAsia="仿宋_GB2312" w:cs="仿宋_GB2312"/>
          <w:b/>
          <w:bCs/>
          <w:sz w:val="32"/>
          <w:szCs w:val="40"/>
          <w:highlight w:val="none"/>
          <w:lang w:val="en-US" w:eastAsia="zh-CN"/>
        </w:rPr>
        <w:t>发放</w:t>
      </w:r>
      <w:r>
        <w:rPr>
          <w:rFonts w:hint="eastAsia" w:ascii="仿宋_GB2312" w:hAnsi="仿宋_GB2312" w:eastAsia="仿宋_GB2312" w:cs="仿宋_GB2312"/>
          <w:b/>
          <w:bCs/>
          <w:sz w:val="32"/>
          <w:szCs w:val="40"/>
          <w:highlight w:val="none"/>
          <w:lang w:eastAsia="zh-CN"/>
        </w:rPr>
        <w:t>准确率</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6</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6</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补助发放准确率100%。</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4</w:t>
      </w:r>
      <w:r>
        <w:rPr>
          <w:rFonts w:hint="eastAsia" w:ascii="仿宋_GB2312" w:hAnsi="仿宋_GB2312" w:eastAsia="仿宋_GB2312" w:cs="仿宋_GB2312"/>
          <w:b/>
          <w:bCs/>
          <w:sz w:val="32"/>
          <w:szCs w:val="40"/>
          <w:highlight w:val="none"/>
          <w:lang w:eastAsia="zh-CN"/>
        </w:rPr>
        <w:t>）项目验收及时性</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4</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2.86</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2021—2024年支持创建7个数字示范园，两个项目验收不及时，其余项目在申报当年完成验收，验收及时率71.43%。根据评分标准，扣1.14分。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5</w:t>
      </w:r>
      <w:r>
        <w:rPr>
          <w:rFonts w:hint="eastAsia" w:ascii="仿宋_GB2312" w:hAnsi="仿宋_GB2312" w:eastAsia="仿宋_GB2312" w:cs="仿宋_GB2312"/>
          <w:b/>
          <w:bCs/>
          <w:sz w:val="32"/>
          <w:szCs w:val="40"/>
          <w:highlight w:val="none"/>
          <w:lang w:eastAsia="zh-CN"/>
        </w:rPr>
        <w:t>）补助拨付及时性</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4</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1.6</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根据各示范园区验收报告、验收申请书，2021年—2024年已验收5个农业示范园，2021年凯盛浩丰和绿色硅谷在项目申请当年12月中旬前完成兑付，其余园区未及时兑付。拨付及时率40%，根据评分标准，得分=拨付及时率*权重分，扣2.4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6</w:t>
      </w:r>
      <w:r>
        <w:rPr>
          <w:rFonts w:hint="eastAsia" w:ascii="仿宋_GB2312" w:hAnsi="仿宋_GB2312" w:eastAsia="仿宋_GB2312" w:cs="仿宋_GB2312"/>
          <w:b/>
          <w:bCs/>
          <w:sz w:val="32"/>
          <w:szCs w:val="40"/>
          <w:highlight w:val="none"/>
          <w:lang w:eastAsia="zh-CN"/>
        </w:rPr>
        <w:t>）促进农业高质量发展</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3.33</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val="en-US" w:eastAsia="zh-CN"/>
        </w:rPr>
        <w:t>2021年—2024年已验收5个农业示范园，绿色硅谷运营未实现预期目标。其他示范园劳动生产率、单位面积产量和农业品投入均达到政策要求。根据评分标准，</w:t>
      </w:r>
      <w:r>
        <w:rPr>
          <w:rFonts w:hint="eastAsia" w:ascii="仿宋_GB2312" w:hAnsi="仿宋_GB2312" w:eastAsia="仿宋_GB2312" w:cs="仿宋_GB2312"/>
          <w:b w:val="0"/>
          <w:bCs w:val="0"/>
          <w:sz w:val="32"/>
          <w:szCs w:val="40"/>
          <w:highlight w:val="none"/>
          <w:lang w:eastAsia="zh-CN"/>
        </w:rPr>
        <w:t>扣</w:t>
      </w:r>
      <w:r>
        <w:rPr>
          <w:rFonts w:hint="eastAsia" w:ascii="仿宋_GB2312" w:hAnsi="仿宋_GB2312" w:eastAsia="仿宋_GB2312" w:cs="仿宋_GB2312"/>
          <w:b w:val="0"/>
          <w:bCs w:val="0"/>
          <w:sz w:val="32"/>
          <w:szCs w:val="40"/>
          <w:highlight w:val="none"/>
          <w:lang w:val="en-US" w:eastAsia="zh-CN"/>
        </w:rPr>
        <w:t>1.67</w:t>
      </w:r>
      <w:r>
        <w:rPr>
          <w:rFonts w:hint="eastAsia" w:ascii="仿宋_GB2312" w:hAnsi="仿宋_GB2312" w:eastAsia="仿宋_GB2312" w:cs="仿宋_GB2312"/>
          <w:b w:val="0"/>
          <w:bCs w:val="0"/>
          <w:sz w:val="32"/>
          <w:szCs w:val="40"/>
          <w:highlight w:val="none"/>
          <w:lang w:eastAsia="zh-CN"/>
        </w:rPr>
        <w:t>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7</w:t>
      </w:r>
      <w:r>
        <w:rPr>
          <w:rFonts w:hint="eastAsia" w:ascii="仿宋_GB2312" w:hAnsi="仿宋_GB2312" w:eastAsia="仿宋_GB2312" w:cs="仿宋_GB2312"/>
          <w:b/>
          <w:bCs/>
          <w:sz w:val="32"/>
          <w:szCs w:val="40"/>
          <w:highlight w:val="none"/>
          <w:lang w:eastAsia="zh-CN"/>
        </w:rPr>
        <w:t>）示范园建设成效</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3.5</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eastAsia="zh-CN"/>
        </w:rPr>
        <w:t>2021年—2024年已验收5个农业示范园，绿色硅谷项目建设成效不足，收入和纳税未实现增长；国信1号和艾泽福吉运营年度主导产业主营业务收入降低。</w:t>
      </w:r>
      <w:r>
        <w:rPr>
          <w:rFonts w:hint="eastAsia" w:ascii="仿宋_GB2312" w:hAnsi="仿宋_GB2312" w:eastAsia="仿宋_GB2312" w:cs="仿宋_GB2312"/>
          <w:b w:val="0"/>
          <w:bCs w:val="0"/>
          <w:sz w:val="32"/>
          <w:szCs w:val="40"/>
          <w:highlight w:val="none"/>
          <w:lang w:val="en-US" w:eastAsia="zh-CN"/>
        </w:rPr>
        <w:t>根据评分标准，扣1.5分。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8</w:t>
      </w:r>
      <w:r>
        <w:rPr>
          <w:rFonts w:hint="eastAsia" w:ascii="仿宋_GB2312" w:hAnsi="仿宋_GB2312" w:eastAsia="仿宋_GB2312" w:cs="仿宋_GB2312"/>
          <w:b/>
          <w:bCs/>
          <w:sz w:val="32"/>
          <w:szCs w:val="40"/>
          <w:highlight w:val="none"/>
          <w:lang w:eastAsia="zh-CN"/>
        </w:rPr>
        <w:t>）发挥示范引领作用</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4</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val="en-US" w:eastAsia="zh-CN"/>
        </w:rPr>
        <w:t>2</w:t>
      </w:r>
      <w:r>
        <w:rPr>
          <w:rFonts w:hint="eastAsia" w:ascii="仿宋_GB2312" w:hAnsi="仿宋_GB2312" w:eastAsia="仿宋_GB2312" w:cs="仿宋_GB2312"/>
          <w:b w:val="0"/>
          <w:bCs w:val="0"/>
          <w:sz w:val="32"/>
          <w:szCs w:val="40"/>
          <w:highlight w:val="none"/>
          <w:lang w:eastAsia="zh-CN"/>
        </w:rPr>
        <w:t>021年—2024年已验收5个农业示范园，未获取绿色硅谷相关数据。其他4家示范园均在不同程度发挥了示范引领作用。根据评分标准，扣1分。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9</w:t>
      </w:r>
      <w:r>
        <w:rPr>
          <w:rFonts w:hint="eastAsia" w:ascii="仿宋_GB2312" w:hAnsi="仿宋_GB2312" w:eastAsia="仿宋_GB2312" w:cs="仿宋_GB2312"/>
          <w:b/>
          <w:bCs/>
          <w:sz w:val="32"/>
          <w:szCs w:val="40"/>
          <w:highlight w:val="none"/>
          <w:lang w:eastAsia="zh-CN"/>
        </w:rPr>
        <w:t>）经验模式推广度</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已对</w:t>
      </w:r>
      <w:r>
        <w:rPr>
          <w:rFonts w:hint="eastAsia" w:ascii="仿宋_GB2312" w:hAnsi="仿宋_GB2312" w:eastAsia="仿宋_GB2312" w:cs="仿宋_GB2312"/>
          <w:b w:val="0"/>
          <w:bCs w:val="0"/>
          <w:sz w:val="32"/>
          <w:szCs w:val="40"/>
          <w:highlight w:val="none"/>
          <w:lang w:eastAsia="zh-CN"/>
        </w:rPr>
        <w:t>示范园的经验做法进行推广。</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10</w:t>
      </w:r>
      <w:r>
        <w:rPr>
          <w:rFonts w:hint="eastAsia" w:ascii="仿宋_GB2312" w:hAnsi="仿宋_GB2312" w:eastAsia="仿宋_GB2312" w:cs="仿宋_GB2312"/>
          <w:b/>
          <w:bCs/>
          <w:sz w:val="32"/>
          <w:szCs w:val="40"/>
          <w:highlight w:val="none"/>
          <w:lang w:eastAsia="zh-CN"/>
        </w:rPr>
        <w:t>）管理机制健全性</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5</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1.67</w:t>
      </w:r>
      <w:r>
        <w:rPr>
          <w:rFonts w:hint="eastAsia" w:ascii="仿宋_GB2312" w:hAnsi="仿宋_GB2312" w:eastAsia="仿宋_GB2312" w:cs="仿宋_GB2312"/>
          <w:b w:val="0"/>
          <w:bCs w:val="0"/>
          <w:sz w:val="32"/>
          <w:szCs w:val="40"/>
          <w:highlight w:val="none"/>
          <w:lang w:eastAsia="zh-CN"/>
        </w:rPr>
        <w:t>分。</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项目主管单位对示范园运营成效进行了监测，但未明确“新增投资1亿元”的资金认定范围，未设立奖惩措施。根据评分标准，扣除2/3权重分3.33分。</w:t>
      </w:r>
    </w:p>
    <w:p>
      <w:pPr>
        <w:spacing w:line="600" w:lineRule="exact"/>
        <w:ind w:firstLine="643" w:firstLineChars="200"/>
        <w:outlineLvl w:val="3"/>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11</w:t>
      </w:r>
      <w:r>
        <w:rPr>
          <w:rFonts w:hint="eastAsia" w:ascii="仿宋_GB2312" w:hAnsi="仿宋_GB2312" w:eastAsia="仿宋_GB2312" w:cs="仿宋_GB2312"/>
          <w:b/>
          <w:bCs/>
          <w:sz w:val="32"/>
          <w:szCs w:val="40"/>
          <w:highlight w:val="none"/>
          <w:lang w:eastAsia="zh-CN"/>
        </w:rPr>
        <w:t>）执行对象满意度</w:t>
      </w:r>
    </w:p>
    <w:p>
      <w:pPr>
        <w:spacing w:line="600" w:lineRule="exact"/>
        <w:ind w:firstLine="640" w:firstLineChars="200"/>
        <w:outlineLvl w:val="3"/>
        <w:rPr>
          <w:rFonts w:hint="eastAsia" w:ascii="仿宋_GB2312" w:hAnsi="仿宋_GB2312" w:eastAsia="仿宋_GB2312" w:cs="仿宋_GB2312"/>
          <w:b w:val="0"/>
          <w:bCs w:val="0"/>
          <w:sz w:val="32"/>
          <w:szCs w:val="40"/>
          <w:highlight w:val="none"/>
          <w:lang w:eastAsia="zh-CN"/>
        </w:rPr>
      </w:pPr>
      <w:r>
        <w:rPr>
          <w:rFonts w:hint="eastAsia" w:ascii="仿宋_GB2312" w:hAnsi="仿宋_GB2312" w:eastAsia="仿宋_GB2312" w:cs="仿宋_GB2312"/>
          <w:b w:val="0"/>
          <w:bCs w:val="0"/>
          <w:sz w:val="32"/>
          <w:szCs w:val="40"/>
          <w:highlight w:val="none"/>
          <w:lang w:eastAsia="zh-CN"/>
        </w:rPr>
        <w:t>该指标满分为</w:t>
      </w:r>
      <w:r>
        <w:rPr>
          <w:rFonts w:hint="eastAsia" w:ascii="仿宋_GB2312" w:hAnsi="仿宋_GB2312" w:eastAsia="仿宋_GB2312" w:cs="仿宋_GB2312"/>
          <w:b w:val="0"/>
          <w:bCs w:val="0"/>
          <w:sz w:val="32"/>
          <w:szCs w:val="40"/>
          <w:highlight w:val="none"/>
          <w:lang w:val="en-US" w:eastAsia="zh-CN"/>
        </w:rPr>
        <w:t>10</w:t>
      </w:r>
      <w:r>
        <w:rPr>
          <w:rFonts w:hint="eastAsia" w:ascii="仿宋_GB2312" w:hAnsi="仿宋_GB2312" w:eastAsia="仿宋_GB2312" w:cs="仿宋_GB2312"/>
          <w:b w:val="0"/>
          <w:bCs w:val="0"/>
          <w:sz w:val="32"/>
          <w:szCs w:val="40"/>
          <w:highlight w:val="none"/>
          <w:lang w:eastAsia="zh-CN"/>
        </w:rPr>
        <w:t>分，根据评分标准得</w:t>
      </w:r>
      <w:r>
        <w:rPr>
          <w:rFonts w:hint="eastAsia" w:ascii="仿宋_GB2312" w:hAnsi="仿宋_GB2312" w:eastAsia="仿宋_GB2312" w:cs="仿宋_GB2312"/>
          <w:b w:val="0"/>
          <w:bCs w:val="0"/>
          <w:sz w:val="32"/>
          <w:szCs w:val="40"/>
          <w:highlight w:val="none"/>
          <w:lang w:val="en-US" w:eastAsia="zh-CN"/>
        </w:rPr>
        <w:t>10</w:t>
      </w:r>
      <w:r>
        <w:rPr>
          <w:rFonts w:hint="eastAsia" w:ascii="仿宋_GB2312" w:hAnsi="仿宋_GB2312" w:eastAsia="仿宋_GB2312" w:cs="仿宋_GB2312"/>
          <w:b w:val="0"/>
          <w:bCs w:val="0"/>
          <w:sz w:val="32"/>
          <w:szCs w:val="40"/>
          <w:highlight w:val="none"/>
          <w:lang w:eastAsia="zh-CN"/>
        </w:rPr>
        <w:t>分，</w:t>
      </w:r>
      <w:r>
        <w:rPr>
          <w:rFonts w:hint="eastAsia" w:ascii="仿宋_GB2312" w:hAnsi="仿宋_GB2312" w:eastAsia="仿宋_GB2312" w:cs="仿宋_GB2312"/>
          <w:b w:val="0"/>
          <w:bCs w:val="0"/>
          <w:sz w:val="32"/>
          <w:szCs w:val="40"/>
          <w:highlight w:val="none"/>
          <w:lang w:val="en-US" w:eastAsia="zh-CN"/>
        </w:rPr>
        <w:t>政策满意度达标</w:t>
      </w:r>
      <w:r>
        <w:rPr>
          <w:rFonts w:hint="eastAsia" w:ascii="仿宋_GB2312" w:hAnsi="仿宋_GB2312" w:eastAsia="仿宋_GB2312" w:cs="仿宋_GB2312"/>
          <w:b w:val="0"/>
          <w:bCs w:val="0"/>
          <w:sz w:val="32"/>
          <w:szCs w:val="40"/>
          <w:highlight w:val="none"/>
          <w:lang w:eastAsia="zh-CN"/>
        </w:rPr>
        <w:t>。</w:t>
      </w:r>
    </w:p>
    <w:p>
      <w:pPr>
        <w:spacing w:line="600" w:lineRule="exact"/>
        <w:ind w:firstLine="640" w:firstLineChars="200"/>
        <w:rPr>
          <w:rFonts w:hint="eastAsia" w:ascii="黑体" w:hAnsi="黑体" w:eastAsia="黑体" w:cs="黑体"/>
          <w:sz w:val="32"/>
          <w:szCs w:val="40"/>
          <w:highlight w:val="none"/>
        </w:rPr>
      </w:pPr>
      <w:r>
        <w:rPr>
          <w:rFonts w:hint="eastAsia" w:ascii="黑体" w:hAnsi="黑体" w:eastAsia="黑体" w:cs="黑体"/>
          <w:sz w:val="32"/>
          <w:szCs w:val="40"/>
          <w:highlight w:val="none"/>
        </w:rPr>
        <w:t>四、</w:t>
      </w:r>
      <w:r>
        <w:rPr>
          <w:rFonts w:hint="eastAsia" w:ascii="黑体" w:hAnsi="黑体" w:eastAsia="黑体" w:cs="黑体"/>
          <w:sz w:val="32"/>
          <w:szCs w:val="40"/>
          <w:highlight w:val="none"/>
          <w:lang w:eastAsia="zh-CN"/>
        </w:rPr>
        <w:t>政策</w:t>
      </w:r>
      <w:r>
        <w:rPr>
          <w:rFonts w:hint="eastAsia" w:ascii="黑体" w:hAnsi="黑体" w:eastAsia="黑体" w:cs="黑体"/>
          <w:sz w:val="32"/>
          <w:szCs w:val="40"/>
          <w:highlight w:val="none"/>
        </w:rPr>
        <w:t>实施成效</w:t>
      </w:r>
    </w:p>
    <w:p>
      <w:pPr>
        <w:spacing w:line="600" w:lineRule="exact"/>
        <w:ind w:firstLine="640" w:firstLineChars="200"/>
        <w:outlineLvl w:val="3"/>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2021年—2024年验收通过5个农业示范园，80%投产运营的示范园实现项目劳动生产率提高50%以上，单位面积产量提升10%以上，水、肥、药等农业投入品降低10%以上，达到政策总体要求。</w:t>
      </w:r>
    </w:p>
    <w:p>
      <w:pPr>
        <w:spacing w:line="600" w:lineRule="exact"/>
        <w:ind w:firstLine="640" w:firstLineChars="200"/>
        <w:rPr>
          <w:rFonts w:hint="eastAsia" w:ascii="黑体" w:hAnsi="黑体" w:eastAsia="黑体" w:cs="黑体"/>
          <w:sz w:val="32"/>
          <w:szCs w:val="40"/>
          <w:highlight w:val="none"/>
        </w:rPr>
      </w:pPr>
      <w:r>
        <w:rPr>
          <w:rFonts w:hint="eastAsia" w:ascii="黑体" w:hAnsi="黑体" w:eastAsia="黑体" w:cs="黑体"/>
          <w:sz w:val="32"/>
          <w:szCs w:val="40"/>
          <w:highlight w:val="none"/>
        </w:rPr>
        <w:t>五、发现的问题及原因分析</w:t>
      </w:r>
    </w:p>
    <w:p>
      <w:pPr>
        <w:spacing w:line="600" w:lineRule="exact"/>
        <w:ind w:firstLine="640" w:firstLineChars="200"/>
        <w:rPr>
          <w:rFonts w:hint="eastAsia" w:ascii="楷体_GB2312" w:hAnsi="楷体_GB2312" w:eastAsia="楷体_GB2312" w:cs="楷体_GB2312"/>
          <w:sz w:val="32"/>
          <w:szCs w:val="40"/>
          <w:highlight w:val="none"/>
          <w:lang w:val="en-US" w:eastAsia="zh-CN"/>
        </w:rPr>
      </w:pPr>
      <w:r>
        <w:rPr>
          <w:rFonts w:hint="eastAsia" w:ascii="楷体_GB2312" w:hAnsi="楷体_GB2312" w:eastAsia="楷体_GB2312" w:cs="楷体_GB2312"/>
          <w:sz w:val="32"/>
          <w:szCs w:val="40"/>
          <w:highlight w:val="none"/>
          <w:lang w:val="en-US" w:eastAsia="zh-CN"/>
        </w:rPr>
        <w:t>（一）政策成效未达预期。</w:t>
      </w:r>
    </w:p>
    <w:p>
      <w:pPr>
        <w:spacing w:line="600" w:lineRule="exact"/>
        <w:ind w:firstLine="643" w:firstLineChars="200"/>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trike w:val="0"/>
          <w:dstrike w:val="0"/>
          <w:sz w:val="32"/>
          <w:szCs w:val="40"/>
          <w:highlight w:val="none"/>
          <w:lang w:val="en-US" w:eastAsia="zh-CN"/>
        </w:rPr>
        <w:t>一是</w:t>
      </w:r>
      <w:r>
        <w:rPr>
          <w:rFonts w:hint="eastAsia" w:ascii="仿宋_GB2312" w:hAnsi="仿宋_GB2312" w:eastAsia="仿宋_GB2312" w:cs="仿宋_GB2312"/>
          <w:b w:val="0"/>
          <w:bCs w:val="0"/>
          <w:strike w:val="0"/>
          <w:dstrike w:val="0"/>
          <w:sz w:val="32"/>
          <w:szCs w:val="40"/>
          <w:highlight w:val="none"/>
          <w:lang w:val="en-US" w:eastAsia="zh-CN"/>
        </w:rPr>
        <w:t>实际创建示范园数量未完成政策目标。政策要求“十四五”期间建设10个数字农业示范园，实际建设7个示范园（含2025年1个）。经了解，部分项目方案设计符合政策导向，但由于这个时期经济大环境发生变化和农业投资增速放缓，受限于政策要求的较高资金投入规模，项目实施单位在配套资金筹措上面临现实困难，最终选择放弃申报。</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b w:val="0"/>
          <w:bCs w:val="0"/>
          <w:sz w:val="32"/>
          <w:szCs w:val="40"/>
          <w:highlight w:val="none"/>
          <w:lang w:val="en-US" w:eastAsia="zh-CN"/>
        </w:rPr>
        <w:t>个别示范园未发挥示范带动作用。</w:t>
      </w:r>
      <w:r>
        <w:rPr>
          <w:rFonts w:hint="eastAsia" w:ascii="仿宋_GB2312" w:hAnsi="仿宋_GB2312" w:eastAsia="仿宋_GB2312" w:cs="仿宋_GB2312"/>
          <w:b w:val="0"/>
          <w:bCs w:val="0"/>
          <w:strike w:val="0"/>
          <w:dstrike w:val="0"/>
          <w:sz w:val="32"/>
          <w:szCs w:val="40"/>
          <w:highlight w:val="none"/>
          <w:lang w:val="en-US" w:eastAsia="zh-CN"/>
        </w:rPr>
        <w:t>评价组实地走访发现，2021年西海岸市新区农业农村局申报的西海岸新区绿色硅谷数字农业示范园部分场地已对外出租，部分数字化设备闲置。</w:t>
      </w:r>
    </w:p>
    <w:p>
      <w:pPr>
        <w:spacing w:line="600" w:lineRule="exact"/>
        <w:ind w:firstLine="640" w:firstLineChars="200"/>
        <w:rPr>
          <w:rFonts w:hint="default" w:ascii="楷体_GB2312" w:hAnsi="楷体_GB2312" w:eastAsia="楷体_GB2312" w:cs="楷体_GB2312"/>
          <w:sz w:val="32"/>
          <w:szCs w:val="40"/>
          <w:highlight w:val="none"/>
          <w:lang w:val="en-US" w:eastAsia="zh-CN"/>
        </w:rPr>
      </w:pPr>
      <w:r>
        <w:rPr>
          <w:rFonts w:hint="eastAsia" w:ascii="楷体_GB2312" w:hAnsi="楷体_GB2312" w:eastAsia="楷体_GB2312" w:cs="楷体_GB2312"/>
          <w:sz w:val="32"/>
          <w:szCs w:val="40"/>
          <w:highlight w:val="none"/>
          <w:lang w:val="en-US" w:eastAsia="zh-CN"/>
        </w:rPr>
        <w:t>（二）复审工作不及时。</w:t>
      </w:r>
    </w:p>
    <w:p>
      <w:pPr>
        <w:spacing w:line="600" w:lineRule="exact"/>
        <w:ind w:firstLine="640" w:firstLineChars="200"/>
        <w:rPr>
          <w:rFonts w:hint="default" w:ascii="仿宋_GB2312" w:hAnsi="仿宋_GB2312" w:eastAsia="仿宋_GB2312" w:cs="仿宋_GB2312"/>
          <w:b w:val="0"/>
          <w:bCs w:val="0"/>
          <w:strike w:val="0"/>
          <w:dstrike w:val="0"/>
          <w:sz w:val="32"/>
          <w:szCs w:val="40"/>
          <w:highlight w:val="none"/>
          <w:lang w:val="en-US" w:eastAsia="zh-CN"/>
        </w:rPr>
      </w:pPr>
      <w:r>
        <w:rPr>
          <w:rFonts w:hint="eastAsia" w:ascii="仿宋_GB2312" w:hAnsi="仿宋_GB2312" w:eastAsia="仿宋_GB2312" w:cs="仿宋_GB2312"/>
          <w:b w:val="0"/>
          <w:bCs w:val="0"/>
          <w:strike w:val="0"/>
          <w:dstrike w:val="0"/>
          <w:sz w:val="32"/>
          <w:szCs w:val="40"/>
          <w:highlight w:val="none"/>
          <w:lang w:val="en-US" w:eastAsia="zh-CN"/>
        </w:rPr>
        <w:t>经审核，市农业农村局对2021年项目在当年进行复审，2022年验收的项目在2023年10月份进行复审。</w:t>
      </w:r>
    </w:p>
    <w:p>
      <w:pPr>
        <w:spacing w:line="600" w:lineRule="exact"/>
        <w:ind w:firstLine="640" w:firstLineChars="200"/>
        <w:rPr>
          <w:rFonts w:hint="default" w:ascii="楷体_GB2312" w:hAnsi="楷体_GB2312" w:eastAsia="楷体_GB2312" w:cs="楷体_GB2312"/>
          <w:sz w:val="32"/>
          <w:szCs w:val="40"/>
          <w:highlight w:val="none"/>
          <w:lang w:val="en-US" w:eastAsia="zh-CN"/>
        </w:rPr>
      </w:pPr>
      <w:r>
        <w:rPr>
          <w:rFonts w:hint="eastAsia" w:ascii="楷体_GB2312" w:hAnsi="楷体_GB2312" w:eastAsia="楷体_GB2312" w:cs="楷体_GB2312"/>
          <w:sz w:val="32"/>
          <w:szCs w:val="40"/>
          <w:highlight w:val="none"/>
          <w:lang w:val="en-US" w:eastAsia="zh-CN"/>
        </w:rPr>
        <w:t>（三）资金执行监管待加强。</w:t>
      </w:r>
    </w:p>
    <w:p>
      <w:pPr>
        <w:spacing w:line="600" w:lineRule="exact"/>
        <w:ind w:firstLine="643" w:firstLineChars="200"/>
        <w:rPr>
          <w:rFonts w:hint="eastAsia" w:ascii="仿宋_GB2312" w:hAnsi="仿宋_GB2312" w:eastAsia="仿宋_GB2312" w:cs="仿宋_GB2312"/>
          <w:b w:val="0"/>
          <w:bCs w:val="0"/>
          <w:strike w:val="0"/>
          <w:dstrike w:val="0"/>
          <w:sz w:val="32"/>
          <w:szCs w:val="40"/>
          <w:highlight w:val="none"/>
          <w:lang w:val="en-US" w:eastAsia="zh-CN"/>
        </w:rPr>
      </w:pPr>
      <w:r>
        <w:rPr>
          <w:rFonts w:hint="eastAsia" w:ascii="仿宋_GB2312" w:hAnsi="仿宋_GB2312" w:eastAsia="仿宋_GB2312" w:cs="仿宋_GB2312"/>
          <w:b/>
          <w:bCs/>
          <w:strike w:val="0"/>
          <w:dstrike w:val="0"/>
          <w:sz w:val="32"/>
          <w:szCs w:val="40"/>
          <w:highlight w:val="none"/>
          <w:lang w:val="en-US" w:eastAsia="zh-CN"/>
        </w:rPr>
        <w:t>一是</w:t>
      </w:r>
      <w:r>
        <w:rPr>
          <w:rFonts w:hint="eastAsia" w:ascii="仿宋_GB2312" w:hAnsi="仿宋_GB2312" w:eastAsia="仿宋_GB2312" w:cs="仿宋_GB2312"/>
          <w:b w:val="0"/>
          <w:bCs w:val="0"/>
          <w:strike w:val="0"/>
          <w:dstrike w:val="0"/>
          <w:sz w:val="32"/>
          <w:szCs w:val="40"/>
          <w:highlight w:val="none"/>
          <w:lang w:val="en-US" w:eastAsia="zh-CN"/>
        </w:rPr>
        <w:t>对已经完成验收的项目未及时拨付资金。如，2022年平度市农业农村局申报的平度市蓼兰镇智慧化香菇菌棒培育基地数字农业示范园建设项目于2022年11月完成验收，截至报告日仍有480万元未拨付。</w:t>
      </w:r>
      <w:r>
        <w:rPr>
          <w:rFonts w:hint="eastAsia" w:ascii="仿宋_GB2312" w:hAnsi="仿宋_GB2312" w:eastAsia="仿宋_GB2312" w:cs="仿宋_GB2312"/>
          <w:b/>
          <w:bCs/>
          <w:strike w:val="0"/>
          <w:dstrike w:val="0"/>
          <w:sz w:val="32"/>
          <w:szCs w:val="40"/>
          <w:highlight w:val="none"/>
          <w:lang w:val="en-US" w:eastAsia="zh-CN"/>
        </w:rPr>
        <w:t>二是</w:t>
      </w:r>
      <w:r>
        <w:rPr>
          <w:rFonts w:hint="eastAsia" w:ascii="仿宋_GB2312" w:hAnsi="仿宋_GB2312" w:eastAsia="仿宋_GB2312" w:cs="仿宋_GB2312"/>
          <w:b w:val="0"/>
          <w:bCs w:val="0"/>
          <w:strike w:val="0"/>
          <w:dstrike w:val="0"/>
          <w:sz w:val="32"/>
          <w:szCs w:val="40"/>
          <w:highlight w:val="none"/>
          <w:lang w:val="en-US" w:eastAsia="zh-CN"/>
        </w:rPr>
        <w:t>个别项目持续无法完工，造成财政资金闲置。如：胶州市农业农村局申报的2023年融汇润达数字农业示范园项目由于建设后期生鲜牛乳价格的持续低迷，申报主体将奶牛养殖转成肉牛养殖，主动放弃奖补资金，客观上导致1000万财政资金的闲置。期间，市农业农村局已与胶州市达成一致，将尽快收回上述资金或视情况用于以后年度乡村振兴项目。</w:t>
      </w: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六、相关建议</w:t>
      </w:r>
    </w:p>
    <w:p>
      <w:pPr>
        <w:numPr>
          <w:ilvl w:val="0"/>
          <w:numId w:val="0"/>
        </w:numPr>
        <w:spacing w:line="600" w:lineRule="exact"/>
        <w:ind w:left="0" w:leftChars="0" w:firstLine="640" w:firstLineChars="200"/>
        <w:outlineLvl w:val="3"/>
        <w:rPr>
          <w:rFonts w:hint="eastAsia" w:ascii="楷体_GB2312" w:hAnsi="楷体_GB2312" w:eastAsia="楷体_GB2312" w:cs="楷体_GB2312"/>
          <w:b w:val="0"/>
          <w:bCs w:val="0"/>
          <w:kern w:val="2"/>
          <w:sz w:val="32"/>
          <w:szCs w:val="40"/>
          <w:lang w:val="en-US" w:eastAsia="zh-CN" w:bidi="ar-SA"/>
        </w:rPr>
      </w:pPr>
      <w:r>
        <w:rPr>
          <w:rFonts w:hint="eastAsia" w:ascii="楷体_GB2312" w:hAnsi="楷体_GB2312" w:eastAsia="楷体_GB2312" w:cs="楷体_GB2312"/>
          <w:b w:val="0"/>
          <w:bCs w:val="0"/>
          <w:kern w:val="2"/>
          <w:sz w:val="32"/>
          <w:szCs w:val="40"/>
          <w:lang w:val="en-US" w:eastAsia="zh-CN" w:bidi="ar-SA"/>
        </w:rPr>
        <w:t>（一）提升政策实施成效。</w:t>
      </w:r>
    </w:p>
    <w:p>
      <w:pPr>
        <w:numPr>
          <w:ilvl w:val="0"/>
          <w:numId w:val="0"/>
        </w:numPr>
        <w:spacing w:line="600" w:lineRule="exact"/>
        <w:ind w:left="0" w:leftChars="0" w:firstLine="643" w:firstLineChars="200"/>
        <w:outlineLvl w:val="3"/>
        <w:rPr>
          <w:rFonts w:hint="eastAsia" w:ascii="仿宋_GB2312" w:hAnsi="仿宋_GB2312" w:eastAsia="仿宋_GB2312" w:cs="仿宋_GB2312"/>
          <w:b w:val="0"/>
          <w:bCs w:val="0"/>
          <w:strike w:val="0"/>
          <w:dstrike w:val="0"/>
          <w:kern w:val="2"/>
          <w:sz w:val="32"/>
          <w:szCs w:val="40"/>
          <w:highlight w:val="none"/>
          <w:lang w:val="en-US" w:eastAsia="zh-CN" w:bidi="ar-SA"/>
        </w:rPr>
      </w:pPr>
      <w:r>
        <w:rPr>
          <w:rFonts w:hint="eastAsia" w:ascii="仿宋_GB2312" w:hAnsi="仿宋_GB2312" w:eastAsia="仿宋_GB2312" w:cs="仿宋_GB2312"/>
          <w:b/>
          <w:bCs/>
          <w:strike w:val="0"/>
          <w:dstrike w:val="0"/>
          <w:kern w:val="2"/>
          <w:sz w:val="32"/>
          <w:szCs w:val="40"/>
          <w:highlight w:val="none"/>
          <w:lang w:val="en-US" w:eastAsia="zh-CN" w:bidi="ar-SA"/>
        </w:rPr>
        <w:t>一是</w:t>
      </w:r>
      <w:r>
        <w:rPr>
          <w:rFonts w:hint="eastAsia" w:ascii="仿宋_GB2312" w:hAnsi="仿宋_GB2312" w:eastAsia="仿宋_GB2312" w:cs="仿宋_GB2312"/>
          <w:b w:val="0"/>
          <w:bCs w:val="0"/>
          <w:strike w:val="0"/>
          <w:dstrike w:val="0"/>
          <w:kern w:val="2"/>
          <w:sz w:val="32"/>
          <w:szCs w:val="40"/>
          <w:highlight w:val="none"/>
          <w:lang w:val="en-US" w:eastAsia="zh-CN" w:bidi="ar-SA"/>
        </w:rPr>
        <w:t>建议市农业农村局在政策到期后对政策予以调整后执行或不再执行。</w:t>
      </w:r>
      <w:r>
        <w:rPr>
          <w:rFonts w:hint="eastAsia" w:ascii="仿宋_GB2312" w:hAnsi="仿宋_GB2312" w:eastAsia="仿宋_GB2312" w:cs="仿宋_GB2312"/>
          <w:b/>
          <w:bCs/>
          <w:strike w:val="0"/>
          <w:dstrike w:val="0"/>
          <w:kern w:val="2"/>
          <w:sz w:val="32"/>
          <w:szCs w:val="40"/>
          <w:highlight w:val="none"/>
          <w:lang w:val="en-US" w:eastAsia="zh-CN" w:bidi="ar-SA"/>
        </w:rPr>
        <w:t>二是</w:t>
      </w:r>
      <w:r>
        <w:rPr>
          <w:rFonts w:hint="eastAsia" w:ascii="仿宋_GB2312" w:hAnsi="仿宋_GB2312" w:eastAsia="仿宋_GB2312" w:cs="仿宋_GB2312"/>
          <w:b w:val="0"/>
          <w:bCs w:val="0"/>
          <w:strike w:val="0"/>
          <w:dstrike w:val="0"/>
          <w:kern w:val="2"/>
          <w:sz w:val="32"/>
          <w:szCs w:val="40"/>
          <w:highlight w:val="none"/>
          <w:lang w:val="en-US" w:eastAsia="zh-CN" w:bidi="ar-SA"/>
        </w:rPr>
        <w:t>建议市农业农村局对已通过验收的示范园开展后续跟踪监管，确保创建成功的数字示范园持续发挥效果。</w:t>
      </w:r>
    </w:p>
    <w:p>
      <w:pPr>
        <w:numPr>
          <w:ilvl w:val="0"/>
          <w:numId w:val="0"/>
        </w:numPr>
        <w:spacing w:line="600" w:lineRule="exact"/>
        <w:ind w:left="0" w:leftChars="0" w:firstLine="640" w:firstLineChars="200"/>
        <w:outlineLvl w:val="3"/>
        <w:rPr>
          <w:rFonts w:hint="eastAsia" w:ascii="楷体_GB2312" w:hAnsi="楷体_GB2312" w:eastAsia="楷体_GB2312" w:cs="楷体_GB2312"/>
          <w:b w:val="0"/>
          <w:bCs w:val="0"/>
          <w:kern w:val="2"/>
          <w:sz w:val="32"/>
          <w:szCs w:val="40"/>
          <w:lang w:val="en-US" w:eastAsia="zh-CN" w:bidi="ar-SA"/>
        </w:rPr>
      </w:pPr>
      <w:r>
        <w:rPr>
          <w:rFonts w:hint="eastAsia" w:ascii="楷体_GB2312" w:hAnsi="楷体_GB2312" w:eastAsia="楷体_GB2312" w:cs="楷体_GB2312"/>
          <w:b w:val="0"/>
          <w:bCs w:val="0"/>
          <w:kern w:val="2"/>
          <w:sz w:val="32"/>
          <w:szCs w:val="40"/>
          <w:lang w:val="en-US" w:eastAsia="zh-CN" w:bidi="ar-SA"/>
        </w:rPr>
        <w:t>（二）健全项目管理机制。</w:t>
      </w:r>
    </w:p>
    <w:p>
      <w:pPr>
        <w:numPr>
          <w:ilvl w:val="0"/>
          <w:numId w:val="0"/>
        </w:numPr>
        <w:spacing w:line="600" w:lineRule="exact"/>
        <w:ind w:leftChars="0" w:firstLine="640" w:firstLineChars="200"/>
        <w:outlineLvl w:val="3"/>
        <w:rPr>
          <w:rFonts w:hint="default" w:ascii="仿宋_GB2312" w:hAnsi="仿宋_GB2312" w:eastAsia="仿宋_GB2312" w:cs="仿宋_GB2312"/>
          <w:b w:val="0"/>
          <w:bCs w:val="0"/>
          <w:strike w:val="0"/>
          <w:dstrike w:val="0"/>
          <w:kern w:val="2"/>
          <w:sz w:val="32"/>
          <w:szCs w:val="40"/>
          <w:highlight w:val="none"/>
          <w:lang w:val="en-US" w:eastAsia="zh-CN" w:bidi="ar-SA"/>
        </w:rPr>
      </w:pPr>
      <w:r>
        <w:rPr>
          <w:rFonts w:hint="eastAsia" w:ascii="仿宋_GB2312" w:hAnsi="仿宋_GB2312" w:eastAsia="仿宋_GB2312" w:cs="仿宋_GB2312"/>
          <w:b w:val="0"/>
          <w:bCs w:val="0"/>
          <w:strike w:val="0"/>
          <w:dstrike w:val="0"/>
          <w:kern w:val="2"/>
          <w:sz w:val="32"/>
          <w:szCs w:val="40"/>
          <w:highlight w:val="none"/>
          <w:lang w:val="en-US" w:eastAsia="zh-CN" w:bidi="ar-SA"/>
        </w:rPr>
        <w:t>建议市农业农村局加强复审工作，规定项目验收后市级复审时限、责任处室及复审要点</w:t>
      </w:r>
      <w:r>
        <w:rPr>
          <w:rFonts w:hint="default" w:ascii="仿宋_GB2312" w:hAnsi="仿宋_GB2312" w:eastAsia="仿宋_GB2312" w:cs="仿宋_GB2312"/>
          <w:b w:val="0"/>
          <w:bCs w:val="0"/>
          <w:strike w:val="0"/>
          <w:dstrike w:val="0"/>
          <w:kern w:val="2"/>
          <w:sz w:val="32"/>
          <w:szCs w:val="40"/>
          <w:highlight w:val="none"/>
          <w:lang w:val="en-US" w:eastAsia="zh-CN" w:bidi="ar-SA"/>
        </w:rPr>
        <w:t>。</w:t>
      </w:r>
    </w:p>
    <w:p>
      <w:pPr>
        <w:numPr>
          <w:ilvl w:val="0"/>
          <w:numId w:val="0"/>
        </w:numPr>
        <w:spacing w:line="600" w:lineRule="exact"/>
        <w:ind w:left="0" w:leftChars="0" w:firstLine="640" w:firstLineChars="200"/>
        <w:outlineLvl w:val="3"/>
        <w:rPr>
          <w:rFonts w:hint="eastAsia" w:ascii="楷体_GB2312" w:hAnsi="楷体_GB2312" w:eastAsia="楷体_GB2312" w:cs="楷体_GB2312"/>
          <w:b w:val="0"/>
          <w:bCs w:val="0"/>
          <w:kern w:val="2"/>
          <w:sz w:val="32"/>
          <w:szCs w:val="40"/>
          <w:lang w:val="en-US" w:eastAsia="zh-CN" w:bidi="ar-SA"/>
        </w:rPr>
      </w:pPr>
      <w:r>
        <w:rPr>
          <w:rFonts w:hint="eastAsia" w:ascii="楷体_GB2312" w:hAnsi="楷体_GB2312" w:eastAsia="楷体_GB2312" w:cs="楷体_GB2312"/>
          <w:b w:val="0"/>
          <w:bCs w:val="0"/>
          <w:kern w:val="2"/>
          <w:sz w:val="32"/>
          <w:szCs w:val="40"/>
          <w:lang w:val="en-US" w:eastAsia="zh-CN" w:bidi="ar-SA"/>
        </w:rPr>
        <w:t>（三）规范项目资金监管。</w:t>
      </w:r>
    </w:p>
    <w:p>
      <w:pPr>
        <w:spacing w:line="600" w:lineRule="exact"/>
        <w:ind w:firstLine="643" w:firstLineChars="200"/>
        <w:outlineLvl w:val="3"/>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trike w:val="0"/>
          <w:dstrike w:val="0"/>
          <w:kern w:val="2"/>
          <w:sz w:val="32"/>
          <w:szCs w:val="40"/>
          <w:highlight w:val="none"/>
          <w:lang w:val="en-US" w:eastAsia="zh-CN" w:bidi="ar-SA"/>
        </w:rPr>
        <w:t>一是</w:t>
      </w:r>
      <w:r>
        <w:rPr>
          <w:rFonts w:hint="eastAsia" w:ascii="仿宋_GB2312" w:hAnsi="仿宋_GB2312" w:eastAsia="仿宋_GB2312" w:cs="仿宋_GB2312"/>
          <w:b w:val="0"/>
          <w:bCs w:val="0"/>
          <w:strike w:val="0"/>
          <w:dstrike w:val="0"/>
          <w:kern w:val="2"/>
          <w:sz w:val="32"/>
          <w:szCs w:val="40"/>
          <w:highlight w:val="none"/>
          <w:lang w:val="en-US" w:eastAsia="zh-CN" w:bidi="ar-SA"/>
        </w:rPr>
        <w:t>建议市农业农村局督促各区（市）农业农村局，在完成验收后，及时协调同级财政部门按规定时限完成资金下达。</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b w:val="0"/>
          <w:bCs w:val="0"/>
          <w:sz w:val="32"/>
          <w:szCs w:val="40"/>
          <w:highlight w:val="none"/>
          <w:lang w:val="en-US" w:eastAsia="zh-CN"/>
        </w:rPr>
        <w:t>建议农业农村局及时</w:t>
      </w:r>
      <w:r>
        <w:rPr>
          <w:rFonts w:hint="eastAsia" w:ascii="仿宋_GB2312" w:hAnsi="仿宋_GB2312" w:eastAsia="仿宋_GB2312" w:cs="仿宋_GB2312"/>
          <w:sz w:val="32"/>
          <w:szCs w:val="40"/>
          <w:highlight w:val="none"/>
        </w:rPr>
        <w:t>清理滞留闲置资金</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尽快按程序</w:t>
      </w:r>
      <w:r>
        <w:rPr>
          <w:rFonts w:hint="eastAsia" w:ascii="仿宋_GB2312" w:hAnsi="仿宋_GB2312" w:eastAsia="仿宋_GB2312" w:cs="仿宋_GB2312"/>
          <w:sz w:val="32"/>
          <w:szCs w:val="40"/>
          <w:highlight w:val="none"/>
        </w:rPr>
        <w:t>调整或收回</w:t>
      </w:r>
      <w:r>
        <w:rPr>
          <w:rFonts w:hint="eastAsia" w:ascii="仿宋_GB2312" w:hAnsi="仿宋_GB2312" w:eastAsia="仿宋_GB2312" w:cs="仿宋_GB2312"/>
          <w:sz w:val="32"/>
          <w:szCs w:val="40"/>
          <w:highlight w:val="none"/>
          <w:lang w:val="en-US" w:eastAsia="zh-CN"/>
        </w:rPr>
        <w:t>闲置资金</w:t>
      </w:r>
      <w:r>
        <w:rPr>
          <w:rFonts w:hint="eastAsia" w:ascii="仿宋_GB2312" w:hAnsi="仿宋_GB2312" w:eastAsia="仿宋_GB2312" w:cs="仿宋_GB2312"/>
          <w:sz w:val="32"/>
          <w:szCs w:val="40"/>
          <w:highlight w:val="none"/>
        </w:rPr>
        <w:t>。</w:t>
      </w:r>
    </w:p>
    <w:p>
      <w:pPr>
        <w:pStyle w:val="2"/>
        <w:rPr>
          <w:rFonts w:hint="eastAsia" w:ascii="仿宋_GB2312" w:hAnsi="仿宋_GB2312" w:eastAsia="仿宋_GB2312" w:cs="仿宋_GB2312"/>
          <w:sz w:val="32"/>
          <w:szCs w:val="40"/>
          <w:highlight w:val="none"/>
        </w:rPr>
      </w:pPr>
    </w:p>
    <w:p>
      <w:pPr>
        <w:rPr>
          <w:rFonts w:hint="eastAsia" w:ascii="仿宋_GB2312" w:hAnsi="仿宋_GB2312" w:eastAsia="仿宋_GB2312" w:cs="仿宋_GB2312"/>
          <w:sz w:val="32"/>
          <w:szCs w:val="40"/>
          <w:highlight w:val="none"/>
        </w:rPr>
      </w:pPr>
    </w:p>
    <w:p>
      <w:pPr>
        <w:pStyle w:val="2"/>
        <w:numPr>
          <w:ilvl w:val="0"/>
          <w:numId w:val="0"/>
        </w:numPr>
      </w:pPr>
      <w:bookmarkStart w:id="1" w:name="_GoBack"/>
      <w:bookmarkEnd w:id="1"/>
    </w:p>
    <w:p>
      <w:pPr>
        <w:spacing w:line="20" w:lineRule="exact"/>
        <w:rPr>
          <w:rFonts w:ascii="楷体_GB2312" w:hAnsi="楷体_GB2312" w:eastAsia="楷体_GB2312" w:cs="楷体_GB2312"/>
          <w:sz w:val="32"/>
          <w:szCs w:val="32"/>
          <w:highlight w:val="none"/>
        </w:rPr>
      </w:pPr>
    </w:p>
    <w:sectPr>
      <w:footerReference r:id="rId4" w:type="default"/>
      <w:pgSz w:w="11906" w:h="16838"/>
      <w:pgMar w:top="2041" w:right="1701" w:bottom="2041" w:left="1701" w:header="851" w:footer="1361"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2E"/>
    <w:rsid w:val="0021272E"/>
    <w:rsid w:val="00243C1C"/>
    <w:rsid w:val="00C339C4"/>
    <w:rsid w:val="01D91EAC"/>
    <w:rsid w:val="0269176E"/>
    <w:rsid w:val="031E020B"/>
    <w:rsid w:val="03AD2E9B"/>
    <w:rsid w:val="04167F5F"/>
    <w:rsid w:val="045409B4"/>
    <w:rsid w:val="054C7DEB"/>
    <w:rsid w:val="05602FD1"/>
    <w:rsid w:val="0585466D"/>
    <w:rsid w:val="05C64552"/>
    <w:rsid w:val="05ED6B1B"/>
    <w:rsid w:val="0664493D"/>
    <w:rsid w:val="06B54CB4"/>
    <w:rsid w:val="085A1696"/>
    <w:rsid w:val="0A522CFE"/>
    <w:rsid w:val="0AD32091"/>
    <w:rsid w:val="0B39611F"/>
    <w:rsid w:val="0B620E00"/>
    <w:rsid w:val="0B8051E1"/>
    <w:rsid w:val="0BA07177"/>
    <w:rsid w:val="0BB07FB9"/>
    <w:rsid w:val="0BF9289F"/>
    <w:rsid w:val="0C8278CB"/>
    <w:rsid w:val="0C9F61E6"/>
    <w:rsid w:val="0DC475A0"/>
    <w:rsid w:val="0E2D54B7"/>
    <w:rsid w:val="0E5C414B"/>
    <w:rsid w:val="0EB03F8E"/>
    <w:rsid w:val="0F162439"/>
    <w:rsid w:val="0FC04081"/>
    <w:rsid w:val="106A3C74"/>
    <w:rsid w:val="107C0AD5"/>
    <w:rsid w:val="10DE353E"/>
    <w:rsid w:val="120E76EC"/>
    <w:rsid w:val="12E36EBA"/>
    <w:rsid w:val="130324A8"/>
    <w:rsid w:val="153E4FAC"/>
    <w:rsid w:val="16C77949"/>
    <w:rsid w:val="170B1E8C"/>
    <w:rsid w:val="17156B73"/>
    <w:rsid w:val="176B0FD2"/>
    <w:rsid w:val="181F7418"/>
    <w:rsid w:val="18CB084B"/>
    <w:rsid w:val="18CD5B45"/>
    <w:rsid w:val="1A294502"/>
    <w:rsid w:val="1A775D7D"/>
    <w:rsid w:val="1A9C62B6"/>
    <w:rsid w:val="1C377E99"/>
    <w:rsid w:val="1C404037"/>
    <w:rsid w:val="1DA376A1"/>
    <w:rsid w:val="1DE06B47"/>
    <w:rsid w:val="1ED85DBC"/>
    <w:rsid w:val="1F365D0D"/>
    <w:rsid w:val="1F92138C"/>
    <w:rsid w:val="203A349A"/>
    <w:rsid w:val="21041C00"/>
    <w:rsid w:val="213A031C"/>
    <w:rsid w:val="2174751F"/>
    <w:rsid w:val="21957C48"/>
    <w:rsid w:val="21CB5418"/>
    <w:rsid w:val="21FA5CFD"/>
    <w:rsid w:val="221F5C51"/>
    <w:rsid w:val="227B2913"/>
    <w:rsid w:val="22812763"/>
    <w:rsid w:val="229035B6"/>
    <w:rsid w:val="23027502"/>
    <w:rsid w:val="23693467"/>
    <w:rsid w:val="238916A4"/>
    <w:rsid w:val="245F0997"/>
    <w:rsid w:val="24EA3E14"/>
    <w:rsid w:val="25101AC1"/>
    <w:rsid w:val="25116CD5"/>
    <w:rsid w:val="25847DEE"/>
    <w:rsid w:val="25EC392B"/>
    <w:rsid w:val="27B60E04"/>
    <w:rsid w:val="27CE7A10"/>
    <w:rsid w:val="281731DB"/>
    <w:rsid w:val="286B210C"/>
    <w:rsid w:val="29086F52"/>
    <w:rsid w:val="2B542943"/>
    <w:rsid w:val="2B8D0808"/>
    <w:rsid w:val="2DA8328B"/>
    <w:rsid w:val="2DC8748F"/>
    <w:rsid w:val="2DD071FD"/>
    <w:rsid w:val="2E070BF9"/>
    <w:rsid w:val="2EF05F28"/>
    <w:rsid w:val="2F8F217B"/>
    <w:rsid w:val="3041265D"/>
    <w:rsid w:val="307F4548"/>
    <w:rsid w:val="310962B6"/>
    <w:rsid w:val="319D6E9C"/>
    <w:rsid w:val="326A59BD"/>
    <w:rsid w:val="328F1215"/>
    <w:rsid w:val="33451645"/>
    <w:rsid w:val="342033A2"/>
    <w:rsid w:val="34FE3CD8"/>
    <w:rsid w:val="358C24E4"/>
    <w:rsid w:val="35AC1918"/>
    <w:rsid w:val="35B31C47"/>
    <w:rsid w:val="371116C7"/>
    <w:rsid w:val="376C72E9"/>
    <w:rsid w:val="37E72AAB"/>
    <w:rsid w:val="37ED3EE3"/>
    <w:rsid w:val="38133B16"/>
    <w:rsid w:val="3B021A53"/>
    <w:rsid w:val="3B04194E"/>
    <w:rsid w:val="3B334A39"/>
    <w:rsid w:val="3BBD1E1E"/>
    <w:rsid w:val="3C38348A"/>
    <w:rsid w:val="3CD62EC1"/>
    <w:rsid w:val="3CDB01B0"/>
    <w:rsid w:val="3DAE7C70"/>
    <w:rsid w:val="3E04128D"/>
    <w:rsid w:val="3E4D2488"/>
    <w:rsid w:val="3E6D6D55"/>
    <w:rsid w:val="3EC432B7"/>
    <w:rsid w:val="3F0F0418"/>
    <w:rsid w:val="3F6F1FDE"/>
    <w:rsid w:val="40896772"/>
    <w:rsid w:val="40915918"/>
    <w:rsid w:val="412B4CFE"/>
    <w:rsid w:val="41A03D74"/>
    <w:rsid w:val="41C01EE4"/>
    <w:rsid w:val="42B83371"/>
    <w:rsid w:val="43A86F10"/>
    <w:rsid w:val="44B4145D"/>
    <w:rsid w:val="45B92F84"/>
    <w:rsid w:val="45C32135"/>
    <w:rsid w:val="4612161E"/>
    <w:rsid w:val="465B25C2"/>
    <w:rsid w:val="46B12F19"/>
    <w:rsid w:val="47415872"/>
    <w:rsid w:val="480025AE"/>
    <w:rsid w:val="482413BD"/>
    <w:rsid w:val="489D725F"/>
    <w:rsid w:val="48C447EC"/>
    <w:rsid w:val="49BB4A9A"/>
    <w:rsid w:val="4A69389D"/>
    <w:rsid w:val="4AF853E2"/>
    <w:rsid w:val="4BA95F1B"/>
    <w:rsid w:val="4BB63EFD"/>
    <w:rsid w:val="4BDE7972"/>
    <w:rsid w:val="4E3A1101"/>
    <w:rsid w:val="4E684061"/>
    <w:rsid w:val="4E7C33D6"/>
    <w:rsid w:val="4F091259"/>
    <w:rsid w:val="4F6033E7"/>
    <w:rsid w:val="4F7D4F42"/>
    <w:rsid w:val="4FCB46B2"/>
    <w:rsid w:val="50760B0E"/>
    <w:rsid w:val="52A8633E"/>
    <w:rsid w:val="532E2695"/>
    <w:rsid w:val="533377F5"/>
    <w:rsid w:val="538F16B1"/>
    <w:rsid w:val="54240834"/>
    <w:rsid w:val="54846CC0"/>
    <w:rsid w:val="5489450B"/>
    <w:rsid w:val="556B68E0"/>
    <w:rsid w:val="55CE1971"/>
    <w:rsid w:val="55FD4C24"/>
    <w:rsid w:val="56201DF2"/>
    <w:rsid w:val="56236D75"/>
    <w:rsid w:val="56567CB1"/>
    <w:rsid w:val="568B3B1D"/>
    <w:rsid w:val="56DD1C99"/>
    <w:rsid w:val="57CA671C"/>
    <w:rsid w:val="5AC461A2"/>
    <w:rsid w:val="5AF33BAD"/>
    <w:rsid w:val="5B6A6538"/>
    <w:rsid w:val="5D2D244B"/>
    <w:rsid w:val="5D92457E"/>
    <w:rsid w:val="5DEB5AF3"/>
    <w:rsid w:val="5F7F7F3C"/>
    <w:rsid w:val="5FB932AE"/>
    <w:rsid w:val="60117CDC"/>
    <w:rsid w:val="60201391"/>
    <w:rsid w:val="60443049"/>
    <w:rsid w:val="6067494C"/>
    <w:rsid w:val="60D40B51"/>
    <w:rsid w:val="610E08A2"/>
    <w:rsid w:val="615F10FE"/>
    <w:rsid w:val="61610FEB"/>
    <w:rsid w:val="62AE304C"/>
    <w:rsid w:val="630C0E11"/>
    <w:rsid w:val="639803ED"/>
    <w:rsid w:val="640B4764"/>
    <w:rsid w:val="64234F3F"/>
    <w:rsid w:val="64B54AA3"/>
    <w:rsid w:val="65631DED"/>
    <w:rsid w:val="65BF660F"/>
    <w:rsid w:val="664076AC"/>
    <w:rsid w:val="66A743CB"/>
    <w:rsid w:val="672506F4"/>
    <w:rsid w:val="672A12E9"/>
    <w:rsid w:val="6753313D"/>
    <w:rsid w:val="67FF388B"/>
    <w:rsid w:val="686F7489"/>
    <w:rsid w:val="695615A8"/>
    <w:rsid w:val="6A167C07"/>
    <w:rsid w:val="6AA81420"/>
    <w:rsid w:val="6B303356"/>
    <w:rsid w:val="6B826114"/>
    <w:rsid w:val="6C692C46"/>
    <w:rsid w:val="6CE32BE3"/>
    <w:rsid w:val="6CEC28A3"/>
    <w:rsid w:val="6D474A8C"/>
    <w:rsid w:val="6D4C0FD7"/>
    <w:rsid w:val="6E151AB4"/>
    <w:rsid w:val="6E31038A"/>
    <w:rsid w:val="6E38294D"/>
    <w:rsid w:val="6E7E5D73"/>
    <w:rsid w:val="6EC466C2"/>
    <w:rsid w:val="6EC523C6"/>
    <w:rsid w:val="6FEA072C"/>
    <w:rsid w:val="70F74EAF"/>
    <w:rsid w:val="71880AFA"/>
    <w:rsid w:val="71A05546"/>
    <w:rsid w:val="72BC5BE2"/>
    <w:rsid w:val="72C4624C"/>
    <w:rsid w:val="74187E90"/>
    <w:rsid w:val="754E7067"/>
    <w:rsid w:val="757B2E0B"/>
    <w:rsid w:val="75A650F5"/>
    <w:rsid w:val="75C97411"/>
    <w:rsid w:val="76175C33"/>
    <w:rsid w:val="777A4FD8"/>
    <w:rsid w:val="77D6360D"/>
    <w:rsid w:val="77FA131C"/>
    <w:rsid w:val="786B7E04"/>
    <w:rsid w:val="78784A09"/>
    <w:rsid w:val="78AA7C07"/>
    <w:rsid w:val="79206F6D"/>
    <w:rsid w:val="79D66291"/>
    <w:rsid w:val="7A2F65AA"/>
    <w:rsid w:val="7A465F7C"/>
    <w:rsid w:val="7A85352B"/>
    <w:rsid w:val="7ADD4B9B"/>
    <w:rsid w:val="7AE6195B"/>
    <w:rsid w:val="7BAF00FE"/>
    <w:rsid w:val="7BB15EA8"/>
    <w:rsid w:val="7C5514B4"/>
    <w:rsid w:val="7DAE0DC4"/>
    <w:rsid w:val="7E2275FD"/>
    <w:rsid w:val="7E751655"/>
    <w:rsid w:val="7F4B5423"/>
    <w:rsid w:val="7F963E27"/>
    <w:rsid w:val="7FF67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3">
    <w:name w:val="Body Text"/>
    <w:basedOn w:val="1"/>
    <w:next w:val="4"/>
    <w:qFormat/>
    <w:uiPriority w:val="99"/>
    <w:pPr>
      <w:spacing w:after="120"/>
    </w:pPr>
  </w:style>
  <w:style w:type="paragraph" w:customStyle="1" w:styleId="4">
    <w:name w:val="一级条标题"/>
    <w:basedOn w:val="5"/>
    <w:next w:val="6"/>
    <w:qFormat/>
    <w:uiPriority w:val="99"/>
    <w:pPr>
      <w:spacing w:beforeLines="50" w:afterLines="50"/>
      <w:outlineLvl w:val="2"/>
    </w:pPr>
  </w:style>
  <w:style w:type="paragraph" w:customStyle="1" w:styleId="5">
    <w:name w:val="章标题"/>
    <w:next w:val="1"/>
    <w:qFormat/>
    <w:uiPriority w:val="99"/>
    <w:pPr>
      <w:spacing w:beforeLines="100" w:afterLines="100"/>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99"/>
    <w:pPr>
      <w:tabs>
        <w:tab w:val="center" w:pos="4201"/>
        <w:tab w:val="right" w:leader="dot" w:pos="9298"/>
      </w:tabs>
      <w:autoSpaceDE w:val="0"/>
      <w:autoSpaceDN w:val="0"/>
      <w:ind w:firstLine="420" w:firstLineChars="200"/>
      <w:jc w:val="both"/>
    </w:pPr>
    <w:rPr>
      <w:rFonts w:ascii="宋体" w:hAnsi="宋体" w:eastAsia="宋体" w:cs="宋体"/>
      <w:kern w:val="2"/>
      <w:sz w:val="21"/>
      <w:szCs w:val="21"/>
      <w:lang w:val="en-US" w:eastAsia="zh-CN" w:bidi="ar-SA"/>
    </w:rPr>
  </w:style>
  <w:style w:type="paragraph" w:styleId="7">
    <w:name w:val="Body Text Indent"/>
    <w:basedOn w:val="1"/>
    <w:next w:val="1"/>
    <w:qFormat/>
    <w:uiPriority w:val="0"/>
    <w:pPr>
      <w:widowControl/>
      <w:spacing w:before="100" w:beforeAutospacing="1" w:after="100" w:afterAutospacing="1"/>
      <w:jc w:val="left"/>
    </w:pPr>
    <w:rPr>
      <w:rFonts w:ascii="宋体" w:hAnsi="宋体" w:eastAsia="宋体"/>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unhideWhenUsed/>
    <w:qFormat/>
    <w:uiPriority w:val="99"/>
    <w:pPr>
      <w:ind w:firstLine="42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rPr>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_Style 3"/>
    <w:basedOn w:val="1"/>
    <w:next w:val="18"/>
    <w:unhideWhenUsed/>
    <w:qFormat/>
    <w:uiPriority w:val="99"/>
    <w:pPr>
      <w:spacing w:line="360" w:lineRule="auto"/>
      <w:ind w:firstLine="420" w:firstLineChars="200"/>
      <w:jc w:val="left"/>
    </w:pPr>
    <w:rPr>
      <w:rFonts w:ascii="Times New Roman" w:hAnsi="Times New Roman" w:eastAsia="仿宋"/>
      <w:sz w:val="32"/>
      <w:lang w:eastAsia="zh-TW"/>
    </w:rPr>
  </w:style>
  <w:style w:type="paragraph" w:customStyle="1" w:styleId="18">
    <w:name w:val="List Paragraph"/>
    <w:basedOn w:val="1"/>
    <w:qFormat/>
    <w:uiPriority w:val="34"/>
    <w:pPr>
      <w:ind w:firstLine="420" w:firstLineChars="200"/>
    </w:p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21</Pages>
  <Words>7148</Words>
  <Characters>7979</Characters>
  <Lines>14</Lines>
  <Paragraphs>4</Paragraphs>
  <TotalTime>0</TotalTime>
  <ScaleCrop>false</ScaleCrop>
  <LinksUpToDate>false</LinksUpToDate>
  <CharactersWithSpaces>8010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2023-09-14T09:07:00Z</dcterms:created>
  <dc:creator>lenovo</dc:creator>
  <cp:lastModifiedBy>Administrator</cp:lastModifiedBy>
  <cp:lastPrinted>2025-09-04T05:53:00Z</cp:lastPrinted>
  <dcterms:modified xsi:type="dcterms:W3CDTF">2025-09-19T09:09:01Z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DF20CCAC4F5140E095D238A0CE9A8E46_13</vt:lpwstr>
  </property>
  <property fmtid="{D5CDD505-2E9C-101B-9397-08002B2CF9AE}" pid="4" name="KSOTemplateDocerSaveRecord">
    <vt:lpwstr>eyJoZGlkIjoiOWQ2ZWExMDIwMTAyNTlkY2I3MDQ0MGE2NzkwYzQ5NGQiLCJ1c2VySWQiOiIzNzE0MDg0ODAifQ==</vt:lpwstr>
  </property>
</Properties>
</file>