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spacing w:line="560" w:lineRule="exact"/>
        <w:ind w:firstLineChars="0" w:firstLine="0"/>
        <w:jc w:val="center"/>
        <w:rPr>
          <w:rFonts w:ascii="方正小标宋_GBK" w:eastAsia="方正小标宋_GBK" w:cs="文星简黑体"/>
          <w:sz w:val="44"/>
          <w:szCs w:val="44"/>
        </w:rPr>
      </w:pPr>
    </w:p>
    <w:p w:rsidR="006D18F2" w:rsidRDefault="00155297">
      <w:pPr>
        <w:spacing w:line="560" w:lineRule="exact"/>
        <w:ind w:firstLineChars="0" w:firstLine="0"/>
        <w:jc w:val="center"/>
        <w:rPr>
          <w:rFonts w:ascii="方正小标宋_GBK" w:eastAsia="方正小标宋_GBK" w:cs="文星简黑体"/>
          <w:sz w:val="44"/>
          <w:szCs w:val="44"/>
        </w:rPr>
      </w:pPr>
      <w:r>
        <w:rPr>
          <w:rFonts w:ascii="方正小标宋_GBK" w:eastAsia="方正小标宋_GBK" w:cs="文星简黑体" w:hint="eastAsia"/>
          <w:sz w:val="44"/>
          <w:szCs w:val="44"/>
        </w:rPr>
        <w:t>2020年度电子政务平台运行资金</w:t>
      </w:r>
    </w:p>
    <w:p w:rsidR="006D18F2" w:rsidRDefault="00155297">
      <w:pPr>
        <w:spacing w:line="560" w:lineRule="exact"/>
        <w:ind w:firstLineChars="0" w:firstLine="0"/>
        <w:jc w:val="center"/>
        <w:rPr>
          <w:rFonts w:ascii="方正小标宋_GBK" w:eastAsia="方正小标宋_GBK" w:cs="文星简黑体"/>
          <w:sz w:val="44"/>
          <w:szCs w:val="44"/>
        </w:rPr>
      </w:pPr>
      <w:r>
        <w:rPr>
          <w:rFonts w:ascii="方正小标宋_GBK" w:eastAsia="方正小标宋_GBK" w:cs="文星简黑体" w:hint="eastAsia"/>
          <w:sz w:val="44"/>
          <w:szCs w:val="44"/>
        </w:rPr>
        <w:t>项目支出财政绩效评价报告</w:t>
      </w: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420"/>
        <w:jc w:val="both"/>
        <w:rPr>
          <w:rFonts w:ascii="宋体" w:eastAsia="宋体" w:hAnsi="宋体" w:cs="宋体"/>
        </w:rPr>
      </w:pPr>
    </w:p>
    <w:p w:rsidR="006D18F2" w:rsidRDefault="006D18F2">
      <w:pPr>
        <w:pStyle w:val="14"/>
        <w:spacing w:line="560" w:lineRule="exact"/>
        <w:ind w:firstLineChars="200" w:firstLine="640"/>
        <w:jc w:val="both"/>
        <w:rPr>
          <w:rFonts w:ascii="黑体" w:eastAsia="黑体" w:hAnsi="黑体" w:cs="宋体"/>
          <w:sz w:val="32"/>
          <w:szCs w:val="32"/>
        </w:rPr>
      </w:pPr>
    </w:p>
    <w:p w:rsidR="006D18F2" w:rsidRDefault="006D18F2">
      <w:pPr>
        <w:pStyle w:val="14"/>
        <w:spacing w:line="560" w:lineRule="exact"/>
        <w:ind w:firstLineChars="200" w:firstLine="640"/>
        <w:jc w:val="both"/>
        <w:rPr>
          <w:rFonts w:ascii="黑体" w:eastAsia="黑体" w:hAnsi="黑体" w:cs="宋体"/>
          <w:sz w:val="32"/>
          <w:szCs w:val="32"/>
        </w:rPr>
      </w:pPr>
    </w:p>
    <w:p w:rsidR="006D18F2" w:rsidRDefault="006D18F2">
      <w:pPr>
        <w:pStyle w:val="14"/>
        <w:spacing w:line="560" w:lineRule="exact"/>
        <w:ind w:firstLineChars="200" w:firstLine="640"/>
        <w:jc w:val="both"/>
        <w:rPr>
          <w:rFonts w:ascii="黑体" w:eastAsia="黑体" w:hAnsi="黑体" w:cs="宋体"/>
          <w:sz w:val="32"/>
          <w:szCs w:val="32"/>
        </w:rPr>
      </w:pPr>
    </w:p>
    <w:p w:rsidR="006D18F2" w:rsidRDefault="006D18F2">
      <w:pPr>
        <w:pStyle w:val="14"/>
        <w:spacing w:line="560" w:lineRule="exact"/>
        <w:ind w:firstLineChars="200" w:firstLine="640"/>
        <w:jc w:val="both"/>
        <w:rPr>
          <w:rFonts w:ascii="黑体" w:eastAsia="黑体" w:hAnsi="黑体" w:cs="宋体"/>
          <w:sz w:val="32"/>
          <w:szCs w:val="32"/>
        </w:rPr>
      </w:pPr>
    </w:p>
    <w:p w:rsidR="006D18F2" w:rsidRDefault="006D18F2">
      <w:pPr>
        <w:spacing w:before="120" w:after="120" w:line="560" w:lineRule="exact"/>
        <w:ind w:firstLine="640"/>
        <w:rPr>
          <w:rFonts w:ascii="黑体" w:eastAsia="黑体" w:hAnsi="黑体" w:cs="文星简黑体"/>
          <w:szCs w:val="32"/>
        </w:rPr>
      </w:pPr>
    </w:p>
    <w:p w:rsidR="006D18F2" w:rsidRDefault="00155297">
      <w:pPr>
        <w:spacing w:before="120" w:after="120" w:line="560" w:lineRule="exact"/>
        <w:ind w:firstLine="640"/>
        <w:jc w:val="center"/>
        <w:rPr>
          <w:rFonts w:ascii="黑体" w:eastAsia="黑体" w:hAnsi="黑体" w:cs="文星简黑体"/>
          <w:szCs w:val="32"/>
        </w:rPr>
      </w:pPr>
      <w:r>
        <w:rPr>
          <w:rFonts w:ascii="黑体" w:eastAsia="黑体" w:hAnsi="黑体" w:cs="文星简黑体" w:hint="eastAsia"/>
          <w:szCs w:val="32"/>
        </w:rPr>
        <w:t>2021年7月</w:t>
      </w:r>
    </w:p>
    <w:p w:rsidR="006D18F2" w:rsidRDefault="006D18F2">
      <w:pPr>
        <w:spacing w:line="560" w:lineRule="exact"/>
        <w:ind w:firstLine="640"/>
        <w:rPr>
          <w:rFonts w:ascii="黑体" w:hAnsi="黑体"/>
          <w:szCs w:val="32"/>
        </w:rPr>
      </w:pPr>
    </w:p>
    <w:p w:rsidR="006D18F2" w:rsidRDefault="006D18F2">
      <w:pPr>
        <w:spacing w:line="560" w:lineRule="exact"/>
        <w:ind w:firstLine="640"/>
        <w:rPr>
          <w:rFonts w:ascii="黑体" w:hAnsi="黑体"/>
          <w:szCs w:val="32"/>
        </w:rPr>
      </w:pPr>
    </w:p>
    <w:p w:rsidR="006D18F2" w:rsidRDefault="006D18F2">
      <w:pPr>
        <w:spacing w:line="560" w:lineRule="exact"/>
        <w:ind w:firstLine="640"/>
        <w:rPr>
          <w:rFonts w:ascii="黑体" w:hAnsi="黑体"/>
          <w:szCs w:val="32"/>
        </w:rPr>
      </w:pPr>
    </w:p>
    <w:p w:rsidR="006D18F2" w:rsidRDefault="006D18F2">
      <w:pPr>
        <w:spacing w:line="560" w:lineRule="exact"/>
        <w:ind w:firstLine="640"/>
        <w:rPr>
          <w:rFonts w:ascii="黑体" w:hAnsi="黑体"/>
          <w:szCs w:val="32"/>
        </w:rPr>
      </w:pPr>
    </w:p>
    <w:p w:rsidR="006D18F2" w:rsidRDefault="006D18F2">
      <w:pPr>
        <w:pStyle w:val="a0"/>
        <w:spacing w:line="560" w:lineRule="exact"/>
        <w:ind w:firstLine="480"/>
      </w:pPr>
    </w:p>
    <w:p w:rsidR="006D18F2" w:rsidRDefault="00155297">
      <w:pPr>
        <w:spacing w:line="560" w:lineRule="exact"/>
        <w:ind w:firstLine="880"/>
        <w:jc w:val="center"/>
        <w:rPr>
          <w:rFonts w:ascii="方正小标宋_GBK" w:eastAsia="方正小标宋_GBK" w:cs="文星简黑体"/>
          <w:sz w:val="44"/>
          <w:szCs w:val="44"/>
        </w:rPr>
      </w:pPr>
      <w:bookmarkStart w:id="0" w:name="_Toc31945"/>
      <w:bookmarkStart w:id="1" w:name="_Toc1714762943"/>
      <w:bookmarkStart w:id="2" w:name="_Toc77895209"/>
      <w:bookmarkStart w:id="3" w:name="_Toc18394"/>
      <w:r>
        <w:rPr>
          <w:rFonts w:ascii="方正小标宋_GBK" w:eastAsia="方正小标宋_GBK" w:cs="文星简黑体" w:hint="eastAsia"/>
          <w:sz w:val="44"/>
          <w:szCs w:val="44"/>
        </w:rPr>
        <w:lastRenderedPageBreak/>
        <w:t>2020年度电子政务平台运行资金</w:t>
      </w:r>
    </w:p>
    <w:p w:rsidR="006D18F2" w:rsidRDefault="00155297">
      <w:pPr>
        <w:spacing w:line="560" w:lineRule="exact"/>
        <w:ind w:firstLine="880"/>
        <w:jc w:val="center"/>
        <w:rPr>
          <w:rFonts w:ascii="方正小标宋_GBK" w:eastAsia="方正小标宋_GBK" w:cs="文星简黑体"/>
          <w:sz w:val="44"/>
          <w:szCs w:val="44"/>
        </w:rPr>
      </w:pPr>
      <w:r>
        <w:rPr>
          <w:rFonts w:ascii="方正小标宋_GBK" w:eastAsia="方正小标宋_GBK" w:cs="文星简黑体" w:hint="eastAsia"/>
          <w:sz w:val="44"/>
          <w:szCs w:val="44"/>
        </w:rPr>
        <w:t>项目支出财政绩效评价报告</w:t>
      </w:r>
    </w:p>
    <w:p w:rsidR="006D18F2" w:rsidRDefault="006D18F2">
      <w:pPr>
        <w:spacing w:line="560" w:lineRule="exact"/>
        <w:ind w:firstLine="640"/>
        <w:rPr>
          <w:rFonts w:ascii="黑体" w:eastAsia="黑体" w:hAnsi="黑体"/>
          <w:szCs w:val="32"/>
        </w:rPr>
      </w:pPr>
    </w:p>
    <w:p w:rsidR="006D18F2" w:rsidRDefault="00155297">
      <w:pPr>
        <w:spacing w:line="600" w:lineRule="exact"/>
        <w:ind w:firstLine="640"/>
        <w:outlineLvl w:val="0"/>
        <w:rPr>
          <w:rFonts w:ascii="黑体" w:eastAsia="黑体" w:hAnsi="黑体"/>
          <w:szCs w:val="32"/>
        </w:rPr>
      </w:pPr>
      <w:r>
        <w:rPr>
          <w:rFonts w:ascii="黑体" w:eastAsia="黑体" w:hAnsi="黑体" w:hint="eastAsia"/>
          <w:szCs w:val="32"/>
        </w:rPr>
        <w:t>一、项目基本情况</w:t>
      </w:r>
      <w:bookmarkEnd w:id="0"/>
      <w:bookmarkEnd w:id="1"/>
      <w:bookmarkEnd w:id="2"/>
      <w:bookmarkEnd w:id="3"/>
    </w:p>
    <w:p w:rsidR="006D18F2" w:rsidRDefault="00155297">
      <w:pPr>
        <w:spacing w:line="600" w:lineRule="exact"/>
        <w:ind w:firstLine="640"/>
        <w:outlineLvl w:val="1"/>
        <w:rPr>
          <w:rFonts w:ascii="楷体_GB2312" w:eastAsia="楷体_GB2312"/>
          <w:szCs w:val="32"/>
        </w:rPr>
      </w:pPr>
      <w:bookmarkStart w:id="4" w:name="_Toc13674"/>
      <w:bookmarkStart w:id="5" w:name="_Toc18333"/>
      <w:bookmarkStart w:id="6" w:name="_Toc790240261"/>
      <w:bookmarkStart w:id="7" w:name="_Toc77895210"/>
      <w:r>
        <w:rPr>
          <w:rFonts w:ascii="楷体_GB2312" w:eastAsia="楷体_GB2312" w:hint="eastAsia"/>
          <w:szCs w:val="32"/>
        </w:rPr>
        <w:t>（一）项目概况</w:t>
      </w:r>
      <w:bookmarkEnd w:id="4"/>
      <w:bookmarkEnd w:id="5"/>
      <w:bookmarkEnd w:id="6"/>
      <w:bookmarkEnd w:id="7"/>
    </w:p>
    <w:p w:rsidR="006D18F2" w:rsidRDefault="00155297">
      <w:pPr>
        <w:spacing w:line="560" w:lineRule="exact"/>
        <w:ind w:firstLine="640"/>
        <w:rPr>
          <w:rFonts w:ascii="仿宋_GB2312" w:eastAsia="仿宋_GB2312" w:hAnsi="仿宋_GB2312" w:cs="仿宋_GB2312"/>
          <w:szCs w:val="32"/>
        </w:rPr>
      </w:pPr>
      <w:bookmarkStart w:id="8" w:name="_Toc77895211"/>
      <w:bookmarkStart w:id="9" w:name="_Toc1529193579"/>
      <w:r>
        <w:rPr>
          <w:rFonts w:ascii="仿宋_GB2312" w:eastAsia="仿宋_GB2312" w:hAnsi="仿宋_GB2312" w:cs="仿宋_GB2312" w:hint="eastAsia"/>
          <w:szCs w:val="32"/>
        </w:rPr>
        <w:t>1.项目立项背景</w:t>
      </w:r>
      <w:bookmarkEnd w:id="8"/>
      <w:bookmarkEnd w:id="9"/>
    </w:p>
    <w:p w:rsidR="006D18F2" w:rsidRDefault="00155297">
      <w:pPr>
        <w:spacing w:line="560" w:lineRule="exact"/>
        <w:ind w:firstLine="640"/>
        <w:rPr>
          <w:rFonts w:ascii="仿宋_GB2312" w:eastAsia="仿宋_GB2312" w:hAnsi="仿宋_GB2312" w:cs="仿宋_GB2312"/>
          <w:szCs w:val="32"/>
          <w:lang/>
        </w:rPr>
      </w:pPr>
      <w:r>
        <w:rPr>
          <w:rFonts w:ascii="仿宋_GB2312" w:eastAsia="仿宋_GB2312" w:hAnsi="仿宋_GB2312" w:cs="仿宋_GB2312" w:hint="eastAsia"/>
          <w:szCs w:val="32"/>
          <w:lang/>
        </w:rPr>
        <w:t>为积极响应习近平总书记对国家信息化发展做出的战略部署</w:t>
      </w:r>
      <w:r>
        <w:rPr>
          <w:rFonts w:ascii="仿宋_GB2312" w:eastAsia="仿宋_GB2312" w:hAnsi="仿宋_GB2312" w:cs="仿宋_GB2312" w:hint="eastAsia"/>
          <w:szCs w:val="32"/>
        </w:rPr>
        <w:t>，贯彻落实</w:t>
      </w:r>
      <w:r>
        <w:rPr>
          <w:rFonts w:ascii="仿宋_GB2312" w:eastAsia="仿宋_GB2312" w:hAnsi="仿宋_GB2312" w:cs="仿宋_GB2312" w:hint="eastAsia"/>
          <w:szCs w:val="32"/>
          <w:lang/>
        </w:rPr>
        <w:t>推动“数字中国”建设</w:t>
      </w:r>
      <w:r>
        <w:rPr>
          <w:rFonts w:ascii="仿宋_GB2312" w:eastAsia="仿宋_GB2312" w:hAnsi="仿宋_GB2312" w:cs="仿宋_GB2312" w:hint="eastAsia"/>
          <w:szCs w:val="32"/>
        </w:rPr>
        <w:t>要求</w:t>
      </w:r>
      <w:r>
        <w:rPr>
          <w:rFonts w:ascii="仿宋_GB2312" w:eastAsia="仿宋_GB2312" w:hAnsi="仿宋_GB2312" w:cs="仿宋_GB2312" w:hint="eastAsia"/>
          <w:szCs w:val="32"/>
          <w:lang/>
        </w:rPr>
        <w:t>，强化青岛市电子政务统筹整合</w:t>
      </w:r>
      <w:r>
        <w:rPr>
          <w:rFonts w:ascii="仿宋_GB2312" w:eastAsia="仿宋_GB2312" w:hAnsi="仿宋_GB2312" w:cs="仿宋_GB2312" w:hint="eastAsia"/>
          <w:szCs w:val="32"/>
        </w:rPr>
        <w:t>效果</w:t>
      </w:r>
      <w:r>
        <w:rPr>
          <w:rFonts w:ascii="仿宋_GB2312" w:eastAsia="仿宋_GB2312" w:hAnsi="仿宋_GB2312" w:cs="仿宋_GB2312" w:hint="eastAsia"/>
          <w:szCs w:val="32"/>
          <w:lang/>
        </w:rPr>
        <w:t>，提高资源集中共享和业务协同水平，根据《数字山东发展规划（2018-2022年）》提出的“打造政府数字治理新模式，提升政府社会治理水平”</w:t>
      </w:r>
      <w:r>
        <w:rPr>
          <w:rFonts w:ascii="仿宋_GB2312" w:eastAsia="仿宋_GB2312" w:hAnsi="仿宋_GB2312" w:cs="仿宋_GB2312" w:hint="eastAsia"/>
          <w:szCs w:val="32"/>
        </w:rPr>
        <w:t>、</w:t>
      </w:r>
      <w:r>
        <w:rPr>
          <w:rFonts w:ascii="仿宋_GB2312" w:eastAsia="仿宋_GB2312" w:hAnsi="仿宋_GB2312" w:cs="仿宋_GB2312" w:hint="eastAsia"/>
          <w:szCs w:val="32"/>
          <w:lang/>
        </w:rPr>
        <w:t>青岛市人民政府办公厅《关于印发&lt;数字青岛2020年行动方案&gt;的通知》（青政办字</w:t>
      </w:r>
      <w:r>
        <w:rPr>
          <w:rFonts w:ascii="仿宋_GB2312" w:eastAsia="仿宋_GB2312" w:hAnsi="仿宋_GB2312" w:cs="仿宋_GB2312" w:hint="eastAsia"/>
          <w:szCs w:val="32"/>
        </w:rPr>
        <w:t>〔2020〕</w:t>
      </w:r>
      <w:r>
        <w:rPr>
          <w:rFonts w:ascii="仿宋_GB2312" w:eastAsia="仿宋_GB2312" w:hAnsi="仿宋_GB2312" w:cs="仿宋_GB2312" w:hint="eastAsia"/>
          <w:szCs w:val="32"/>
          <w:lang/>
        </w:rPr>
        <w:t>10号）提出的“加快发展新一代数字设施，加快数字化转型支撑保障”</w:t>
      </w:r>
      <w:r>
        <w:rPr>
          <w:rFonts w:ascii="仿宋_GB2312" w:eastAsia="仿宋_GB2312" w:hAnsi="仿宋_GB2312" w:cs="仿宋_GB2312" w:hint="eastAsia"/>
          <w:szCs w:val="32"/>
        </w:rPr>
        <w:t>等政策文件</w:t>
      </w:r>
      <w:r>
        <w:rPr>
          <w:rFonts w:ascii="仿宋_GB2312" w:eastAsia="仿宋_GB2312" w:hAnsi="仿宋_GB2312" w:cs="仿宋_GB2312" w:hint="eastAsia"/>
          <w:szCs w:val="32"/>
          <w:lang/>
        </w:rPr>
        <w:t>要求，青岛市大数据发展管理局（以下简称“市大数据局”）于2019年正式</w:t>
      </w:r>
      <w:r>
        <w:rPr>
          <w:rFonts w:ascii="仿宋_GB2312" w:eastAsia="仿宋_GB2312" w:hAnsi="仿宋_GB2312" w:cs="仿宋_GB2312" w:hint="eastAsia"/>
          <w:szCs w:val="32"/>
        </w:rPr>
        <w:t>申报</w:t>
      </w:r>
      <w:r>
        <w:rPr>
          <w:rFonts w:ascii="仿宋_GB2312" w:eastAsia="仿宋_GB2312" w:hAnsi="仿宋_GB2312" w:cs="仿宋_GB2312" w:hint="eastAsia"/>
          <w:szCs w:val="32"/>
          <w:lang/>
        </w:rPr>
        <w:t>开展</w:t>
      </w:r>
      <w:r>
        <w:rPr>
          <w:rFonts w:ascii="仿宋_GB2312" w:eastAsia="仿宋_GB2312" w:hAnsi="仿宋_GB2312" w:cs="仿宋_GB2312" w:hint="eastAsia"/>
          <w:szCs w:val="32"/>
        </w:rPr>
        <w:t>“</w:t>
      </w:r>
      <w:r>
        <w:rPr>
          <w:rFonts w:ascii="仿宋_GB2312" w:eastAsia="仿宋_GB2312" w:hAnsi="仿宋_GB2312" w:cs="仿宋_GB2312" w:hint="eastAsia"/>
          <w:szCs w:val="32"/>
          <w:lang/>
        </w:rPr>
        <w:t>电子政务平台运行资金</w:t>
      </w:r>
      <w:r>
        <w:rPr>
          <w:rFonts w:ascii="仿宋_GB2312" w:eastAsia="仿宋_GB2312" w:hAnsi="仿宋_GB2312" w:cs="仿宋_GB2312" w:hint="eastAsia"/>
          <w:szCs w:val="32"/>
        </w:rPr>
        <w:t>”</w:t>
      </w:r>
      <w:r>
        <w:rPr>
          <w:rFonts w:ascii="仿宋_GB2312" w:eastAsia="仿宋_GB2312" w:hAnsi="仿宋_GB2312" w:cs="仿宋_GB2312" w:hint="eastAsia"/>
          <w:szCs w:val="32"/>
          <w:lang/>
        </w:rPr>
        <w:t>项目，</w:t>
      </w:r>
      <w:r>
        <w:rPr>
          <w:rFonts w:ascii="仿宋_GB2312" w:eastAsia="仿宋_GB2312" w:hAnsi="仿宋_GB2312" w:cs="仿宋_GB2312" w:hint="eastAsia"/>
          <w:szCs w:val="32"/>
        </w:rPr>
        <w:t>2020年</w:t>
      </w:r>
      <w:r>
        <w:rPr>
          <w:rFonts w:ascii="仿宋_GB2312" w:eastAsia="仿宋_GB2312" w:hAnsi="仿宋_GB2312" w:cs="仿宋_GB2312" w:hint="eastAsia"/>
          <w:szCs w:val="32"/>
          <w:lang/>
        </w:rPr>
        <w:t>市大数据局继续申报运行此项目</w:t>
      </w:r>
      <w:r>
        <w:rPr>
          <w:rFonts w:ascii="仿宋_GB2312" w:eastAsia="仿宋_GB2312" w:hAnsi="仿宋_GB2312" w:cs="仿宋_GB2312" w:hint="eastAsia"/>
          <w:szCs w:val="32"/>
        </w:rPr>
        <w:t>，用于支撑服务青岛市电子政务平台各项工作顺利开展</w:t>
      </w:r>
      <w:r>
        <w:rPr>
          <w:rFonts w:ascii="仿宋_GB2312" w:eastAsia="仿宋_GB2312" w:hAnsi="仿宋_GB2312" w:cs="仿宋_GB2312" w:hint="eastAsia"/>
          <w:szCs w:val="32"/>
          <w:lang/>
        </w:rPr>
        <w:t>。</w:t>
      </w:r>
    </w:p>
    <w:p w:rsidR="006D18F2" w:rsidRDefault="00155297">
      <w:pPr>
        <w:spacing w:line="560" w:lineRule="exact"/>
        <w:ind w:firstLine="640"/>
        <w:rPr>
          <w:rFonts w:ascii="仿宋_GB2312" w:eastAsia="仿宋_GB2312" w:hAnsi="仿宋_GB2312" w:cs="仿宋_GB2312"/>
          <w:szCs w:val="32"/>
        </w:rPr>
      </w:pPr>
      <w:bookmarkStart w:id="10" w:name="_Toc72194957"/>
      <w:bookmarkStart w:id="11" w:name="_Toc77895212"/>
      <w:r>
        <w:rPr>
          <w:rFonts w:ascii="仿宋_GB2312" w:eastAsia="仿宋_GB2312" w:hAnsi="仿宋_GB2312" w:cs="仿宋_GB2312" w:hint="eastAsia"/>
          <w:szCs w:val="32"/>
        </w:rPr>
        <w:t>2.项目主要内容及实施情况</w:t>
      </w:r>
      <w:bookmarkEnd w:id="10"/>
      <w:bookmarkEnd w:id="11"/>
    </w:p>
    <w:p w:rsidR="006D18F2" w:rsidRDefault="00155297">
      <w:pPr>
        <w:spacing w:line="560" w:lineRule="exact"/>
        <w:ind w:firstLine="640"/>
        <w:rPr>
          <w:rFonts w:ascii="仿宋_GB2312" w:eastAsia="仿宋_GB2312" w:hAnsi="仿宋_GB2312" w:cs="仿宋_GB2312"/>
          <w:szCs w:val="32"/>
          <w:lang/>
        </w:rPr>
      </w:pPr>
      <w:r>
        <w:rPr>
          <w:rFonts w:ascii="仿宋_GB2312" w:eastAsia="仿宋_GB2312" w:hAnsi="仿宋_GB2312" w:cs="仿宋_GB2312" w:hint="eastAsia"/>
          <w:szCs w:val="32"/>
        </w:rPr>
        <w:t>电子政务平台运行资金</w:t>
      </w:r>
      <w:r>
        <w:rPr>
          <w:rFonts w:ascii="仿宋_GB2312" w:eastAsia="仿宋_GB2312" w:hAnsi="仿宋_GB2312" w:cs="仿宋_GB2312" w:hint="eastAsia"/>
          <w:szCs w:val="32"/>
          <w:lang/>
        </w:rPr>
        <w:t>项目</w:t>
      </w:r>
      <w:r>
        <w:rPr>
          <w:rFonts w:ascii="仿宋_GB2312" w:eastAsia="仿宋_GB2312" w:hAnsi="仿宋_GB2312" w:cs="仿宋_GB2312" w:hint="eastAsia"/>
          <w:szCs w:val="32"/>
        </w:rPr>
        <w:t>2020年工作内容包含“</w:t>
      </w:r>
      <w:r>
        <w:rPr>
          <w:rFonts w:ascii="仿宋_GB2312" w:eastAsia="仿宋_GB2312" w:hAnsi="仿宋_GB2312" w:cs="仿宋_GB2312" w:hint="eastAsia"/>
          <w:szCs w:val="32"/>
          <w:lang/>
        </w:rPr>
        <w:t>共性应用软件升级维护资金</w:t>
      </w:r>
      <w:r>
        <w:rPr>
          <w:rFonts w:ascii="仿宋_GB2312" w:eastAsia="仿宋_GB2312" w:hAnsi="仿宋_GB2312" w:cs="仿宋_GB2312" w:hint="eastAsia"/>
          <w:szCs w:val="32"/>
        </w:rPr>
        <w:t>”和“</w:t>
      </w:r>
      <w:r>
        <w:rPr>
          <w:rFonts w:ascii="仿宋_GB2312" w:eastAsia="仿宋_GB2312" w:hAnsi="仿宋_GB2312" w:cs="仿宋_GB2312" w:hint="eastAsia"/>
          <w:szCs w:val="32"/>
          <w:lang/>
        </w:rPr>
        <w:t>政务大数据和云计算专项资金</w:t>
      </w:r>
      <w:r>
        <w:rPr>
          <w:rFonts w:ascii="仿宋_GB2312" w:eastAsia="仿宋_GB2312" w:hAnsi="仿宋_GB2312" w:cs="仿宋_GB2312" w:hint="eastAsia"/>
          <w:szCs w:val="32"/>
        </w:rPr>
        <w:t>”2</w:t>
      </w:r>
      <w:r>
        <w:rPr>
          <w:rFonts w:ascii="仿宋_GB2312" w:eastAsia="仿宋_GB2312" w:hAnsi="仿宋_GB2312" w:cs="仿宋_GB2312" w:hint="eastAsia"/>
          <w:szCs w:val="32"/>
          <w:lang/>
        </w:rPr>
        <w:t>个</w:t>
      </w:r>
      <w:r>
        <w:rPr>
          <w:rFonts w:ascii="仿宋_GB2312" w:eastAsia="仿宋_GB2312" w:hAnsi="仿宋_GB2312" w:cs="仿宋_GB2312" w:hint="eastAsia"/>
          <w:szCs w:val="32"/>
        </w:rPr>
        <w:t>支出领域的</w:t>
      </w:r>
      <w:r>
        <w:rPr>
          <w:rFonts w:ascii="仿宋_GB2312" w:eastAsia="仿宋_GB2312" w:hAnsi="仿宋_GB2312" w:cs="仿宋_GB2312" w:hint="eastAsia"/>
          <w:szCs w:val="32"/>
          <w:lang/>
        </w:rPr>
        <w:t>共</w:t>
      </w:r>
      <w:r>
        <w:rPr>
          <w:rFonts w:ascii="仿宋_GB2312" w:eastAsia="仿宋_GB2312" w:hAnsi="仿宋_GB2312" w:cs="仿宋_GB2312" w:hint="eastAsia"/>
          <w:szCs w:val="32"/>
        </w:rPr>
        <w:t>计</w:t>
      </w:r>
      <w:r>
        <w:rPr>
          <w:rFonts w:ascii="仿宋_GB2312" w:eastAsia="仿宋_GB2312" w:hAnsi="仿宋_GB2312" w:cs="仿宋_GB2312" w:hint="eastAsia"/>
          <w:szCs w:val="32"/>
          <w:lang/>
        </w:rPr>
        <w:t>23个</w:t>
      </w:r>
      <w:r>
        <w:rPr>
          <w:rFonts w:ascii="仿宋_GB2312" w:eastAsia="仿宋_GB2312" w:hAnsi="仿宋_GB2312" w:cs="仿宋_GB2312" w:hint="eastAsia"/>
          <w:szCs w:val="32"/>
        </w:rPr>
        <w:t>子</w:t>
      </w:r>
      <w:r>
        <w:rPr>
          <w:rFonts w:ascii="仿宋_GB2312" w:eastAsia="仿宋_GB2312" w:hAnsi="仿宋_GB2312" w:cs="仿宋_GB2312" w:hint="eastAsia"/>
          <w:szCs w:val="32"/>
          <w:lang/>
        </w:rPr>
        <w:t>项目。</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其中，“共性应用软件升级维护资金”包含20个子项目，主要为通过购买软件升级运维服务，实现青岛市金宏电</w:t>
      </w:r>
      <w:r>
        <w:rPr>
          <w:rFonts w:ascii="仿宋_GB2312" w:eastAsia="仿宋_GB2312" w:hAnsi="仿宋_GB2312" w:cs="仿宋_GB2312" w:hint="eastAsia"/>
          <w:szCs w:val="32"/>
        </w:rPr>
        <w:lastRenderedPageBreak/>
        <w:t>子政务平台、市视频会议系统、公共信用信息平台、政府网站等软件</w:t>
      </w:r>
      <w:r>
        <w:rPr>
          <w:rFonts w:ascii="仿宋_GB2312" w:eastAsia="仿宋_GB2312" w:hAnsi="仿宋_GB2312" w:cs="仿宋_GB2312" w:hint="eastAsia"/>
          <w:szCs w:val="32"/>
          <w:lang/>
        </w:rPr>
        <w:t>、网站</w:t>
      </w:r>
      <w:r>
        <w:rPr>
          <w:rFonts w:ascii="仿宋_GB2312" w:eastAsia="仿宋_GB2312" w:hAnsi="仿宋_GB2312" w:cs="仿宋_GB2312" w:hint="eastAsia"/>
          <w:szCs w:val="32"/>
        </w:rPr>
        <w:t>的持续稳定运行，保障青岛政务网站群系统内的网站数据安全；“政务大数据和云计算专项资金”包含3个子项目，主要为按照服务目录的形式购买政务云及相关考核评估等服务，为青岛市市直部门的业务系统提供云服务。</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截至2020年12月31日，23个子项目中，19个子项目已全部完成并验收合格，4个子项目（青岛市电子印章平台、青岛市公共信用信息平台运维、地理信息汇集项目运维、政务云综合管理服务系统运维）未开展。4个子项目未开展的主要原因</w:t>
      </w:r>
      <w:r>
        <w:rPr>
          <w:rFonts w:ascii="仿宋_GB2312" w:eastAsia="仿宋_GB2312" w:hAnsi="仿宋_GB2312" w:cs="仿宋_GB2312" w:hint="eastAsia"/>
          <w:szCs w:val="32"/>
          <w:lang/>
        </w:rPr>
        <w:t>见</w:t>
      </w:r>
      <w:r>
        <w:rPr>
          <w:rFonts w:ascii="仿宋_GB2312" w:eastAsia="仿宋_GB2312" w:hAnsi="仿宋_GB2312" w:cs="仿宋_GB2312" w:hint="eastAsia"/>
          <w:szCs w:val="32"/>
        </w:rPr>
        <w:t>《青岛市大数据发展管理局2020年度专项资金部分项目预算执行的说明》（附件3</w:t>
      </w:r>
      <w:r>
        <w:rPr>
          <w:rFonts w:ascii="仿宋_GB2312" w:eastAsia="仿宋_GB2312" w:hAnsi="仿宋_GB2312" w:cs="仿宋_GB2312" w:hint="eastAsia"/>
          <w:szCs w:val="32"/>
          <w:lang/>
        </w:rPr>
        <w:t>）。</w:t>
      </w:r>
      <w:r>
        <w:rPr>
          <w:rFonts w:ascii="仿宋_GB2312" w:eastAsia="仿宋_GB2312" w:hAnsi="仿宋_GB2312" w:cs="仿宋_GB2312" w:hint="eastAsia"/>
          <w:szCs w:val="32"/>
        </w:rPr>
        <w:t>具体</w:t>
      </w:r>
      <w:r>
        <w:rPr>
          <w:rFonts w:ascii="仿宋_GB2312" w:eastAsia="仿宋_GB2312" w:hAnsi="仿宋_GB2312" w:cs="仿宋_GB2312" w:hint="eastAsia"/>
          <w:szCs w:val="32"/>
          <w:lang/>
        </w:rPr>
        <w:t>各</w:t>
      </w:r>
      <w:r>
        <w:rPr>
          <w:rFonts w:ascii="仿宋_GB2312" w:eastAsia="仿宋_GB2312" w:hAnsi="仿宋_GB2312" w:cs="仿宋_GB2312" w:hint="eastAsia"/>
          <w:szCs w:val="32"/>
        </w:rPr>
        <w:t>子</w:t>
      </w:r>
      <w:r>
        <w:rPr>
          <w:rFonts w:ascii="仿宋_GB2312" w:eastAsia="仿宋_GB2312" w:hAnsi="仿宋_GB2312" w:cs="仿宋_GB2312" w:hint="eastAsia"/>
          <w:szCs w:val="32"/>
          <w:lang/>
        </w:rPr>
        <w:t>项目</w:t>
      </w:r>
      <w:r>
        <w:rPr>
          <w:rFonts w:ascii="仿宋_GB2312" w:eastAsia="仿宋_GB2312" w:hAnsi="仿宋_GB2312" w:cs="仿宋_GB2312" w:hint="eastAsia"/>
          <w:szCs w:val="32"/>
        </w:rPr>
        <w:t>主要内容及</w:t>
      </w:r>
      <w:r>
        <w:rPr>
          <w:rFonts w:ascii="仿宋_GB2312" w:eastAsia="仿宋_GB2312" w:hAnsi="仿宋_GB2312" w:cs="仿宋_GB2312" w:hint="eastAsia"/>
          <w:szCs w:val="32"/>
          <w:lang/>
        </w:rPr>
        <w:t>实施情况</w:t>
      </w:r>
      <w:r>
        <w:rPr>
          <w:rFonts w:ascii="仿宋_GB2312" w:eastAsia="仿宋_GB2312" w:hAnsi="仿宋_GB2312" w:cs="仿宋_GB2312" w:hint="eastAsia"/>
          <w:szCs w:val="32"/>
        </w:rPr>
        <w:t>见</w:t>
      </w:r>
      <w:r>
        <w:rPr>
          <w:rFonts w:ascii="仿宋_GB2312" w:eastAsia="仿宋_GB2312" w:hAnsi="仿宋_GB2312" w:cs="仿宋_GB2312" w:hint="eastAsia"/>
          <w:szCs w:val="32"/>
          <w:lang/>
        </w:rPr>
        <w:t>表</w:t>
      </w:r>
      <w:r>
        <w:rPr>
          <w:rFonts w:ascii="仿宋_GB2312" w:eastAsia="仿宋_GB2312" w:hAnsi="仿宋_GB2312" w:cs="仿宋_GB2312" w:hint="eastAsia"/>
          <w:szCs w:val="32"/>
        </w:rPr>
        <w:t>1-1。</w:t>
      </w:r>
    </w:p>
    <w:p w:rsidR="006D18F2" w:rsidRDefault="00155297">
      <w:pPr>
        <w:widowControl/>
        <w:spacing w:line="560" w:lineRule="exact"/>
        <w:ind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表1-1 项目工作任务和完成情况表</w:t>
      </w:r>
    </w:p>
    <w:tbl>
      <w:tblPr>
        <w:tblW w:w="49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07"/>
        <w:gridCol w:w="1696"/>
        <w:gridCol w:w="705"/>
        <w:gridCol w:w="2674"/>
        <w:gridCol w:w="2135"/>
      </w:tblGrid>
      <w:tr w:rsidR="006D18F2">
        <w:trPr>
          <w:trHeight w:val="600"/>
          <w:tblHeader/>
          <w:jc w:val="center"/>
        </w:trPr>
        <w:tc>
          <w:tcPr>
            <w:tcW w:w="254" w:type="pct"/>
            <w:tcBorders>
              <w:bottom w:val="single" w:sz="4" w:space="0" w:color="auto"/>
            </w:tcBorders>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79" w:type="pct"/>
            <w:tcBorders>
              <w:bottom w:val="single" w:sz="4" w:space="0" w:color="auto"/>
            </w:tcBorders>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支出领域</w:t>
            </w:r>
          </w:p>
        </w:tc>
        <w:tc>
          <w:tcPr>
            <w:tcW w:w="1004" w:type="pct"/>
            <w:tcBorders>
              <w:bottom w:val="single" w:sz="4" w:space="0" w:color="auto"/>
            </w:tcBorders>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子项目名称</w:t>
            </w:r>
          </w:p>
        </w:tc>
        <w:tc>
          <w:tcPr>
            <w:tcW w:w="419" w:type="pct"/>
            <w:tcBorders>
              <w:bottom w:val="single" w:sz="4" w:space="0" w:color="auto"/>
            </w:tcBorders>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业务处室</w:t>
            </w:r>
          </w:p>
        </w:tc>
        <w:tc>
          <w:tcPr>
            <w:tcW w:w="1581" w:type="pct"/>
            <w:tcBorders>
              <w:bottom w:val="single" w:sz="4" w:space="0" w:color="auto"/>
            </w:tcBorders>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主要工作内容</w:t>
            </w:r>
          </w:p>
        </w:tc>
        <w:tc>
          <w:tcPr>
            <w:tcW w:w="1263" w:type="pct"/>
            <w:tcBorders>
              <w:bottom w:val="single" w:sz="4" w:space="0" w:color="auto"/>
            </w:tcBorders>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完成情况</w:t>
            </w:r>
          </w:p>
        </w:tc>
      </w:tr>
      <w:tr w:rsidR="006D18F2">
        <w:trPr>
          <w:trHeight w:val="1740"/>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79" w:type="pct"/>
            <w:vMerge w:val="restar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共性应用软件升级维护资金</w:t>
            </w: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网站管理运维服务</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对青岛政务网、政府门户网站群平台内部门户网站进行运维</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共维护系统模块20个，服务期限内各系统未发生故障，验收合格</w:t>
            </w:r>
          </w:p>
        </w:tc>
      </w:tr>
      <w:tr w:rsidR="006D18F2">
        <w:trPr>
          <w:trHeight w:val="1524"/>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网站无障碍和简繁体服务</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对青岛政务网开展无障碍和简繁体服务</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支持55个网站群的网页无障碍辅助浏览服务，</w:t>
            </w:r>
            <w:r>
              <w:rPr>
                <w:rFonts w:ascii="仿宋_GB2312" w:eastAsia="仿宋_GB2312" w:hAnsi="仿宋_GB2312" w:cs="仿宋_GB2312" w:hint="eastAsia"/>
                <w:sz w:val="24"/>
              </w:rPr>
              <w:lastRenderedPageBreak/>
              <w:t>进行巡检4次，验收合格</w:t>
            </w:r>
          </w:p>
        </w:tc>
      </w:tr>
      <w:tr w:rsidR="006D18F2">
        <w:trPr>
          <w:trHeight w:val="1586"/>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网上办事服务平台（一期工程）运维服务</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对青岛市网上办事服务平台开展运维</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开展4次系统巡检，未发生故障，验收合格</w:t>
            </w:r>
          </w:p>
        </w:tc>
      </w:tr>
      <w:tr w:rsidR="006D18F2">
        <w:trPr>
          <w:trHeight w:val="600"/>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政务网网上政务信息资源整合共享服务梳理和规划设计咨询服务</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购买服务，包括设计青岛政务网网上政务信息资源库、网上政务公开目录和重点领域专题；设计网上便民利企服务专题；设计网上服务功能页面展示；编制网上政务信息资源整合共享的管理规范</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完成12个便民利企服务专题和8个政务公开重点领域专题的规划设计，验收合格</w:t>
            </w:r>
          </w:p>
        </w:tc>
      </w:tr>
      <w:tr w:rsidR="006D18F2">
        <w:trPr>
          <w:trHeight w:val="800"/>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金宏电子政务平台运维</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对金宏电子政务平台进行运维</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全年巡检12次，未发生故障，部门满意度90%，验收合格</w:t>
            </w:r>
          </w:p>
        </w:tc>
      </w:tr>
      <w:tr w:rsidR="006D18F2">
        <w:trPr>
          <w:trHeight w:val="600"/>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视频会议系统运维费</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w:t>
            </w:r>
            <w:r>
              <w:rPr>
                <w:rFonts w:ascii="仿宋_GB2312" w:eastAsia="仿宋_GB2312" w:hAnsi="仿宋_GB2312" w:cs="仿宋_GB2312" w:hint="eastAsia"/>
                <w:sz w:val="24"/>
              </w:rPr>
              <w:lastRenderedPageBreak/>
              <w:t>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对金宏视频会议系统进行运维</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共维护服务器12个，全年巡</w:t>
            </w:r>
            <w:r>
              <w:rPr>
                <w:rFonts w:ascii="仿宋_GB2312" w:eastAsia="仿宋_GB2312" w:hAnsi="仿宋_GB2312" w:cs="仿宋_GB2312" w:hint="eastAsia"/>
                <w:sz w:val="24"/>
              </w:rPr>
              <w:lastRenderedPageBreak/>
              <w:t>检4次，未发生故障，验收合格</w:t>
            </w:r>
          </w:p>
        </w:tc>
      </w:tr>
      <w:tr w:rsidR="006D18F2">
        <w:trPr>
          <w:trHeight w:val="600"/>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网站外文翻译</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购买外文翻译服务</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每日完成翻译1000字，翻译正确率99%，全年无投诉，验收合格</w:t>
            </w:r>
          </w:p>
        </w:tc>
      </w:tr>
      <w:tr w:rsidR="006D18F2">
        <w:trPr>
          <w:trHeight w:val="1748"/>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政民沟通平台运维服务</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对政民沟通平台内网络问政系统、政府信箱系统、征集调查系统、书记信箱系统、政民互动数据分析系统五个系统进行运维</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全年系统巡检12次，系统无故障，验收合格</w:t>
            </w:r>
          </w:p>
        </w:tc>
      </w:tr>
      <w:tr w:rsidR="006D18F2">
        <w:trPr>
          <w:trHeight w:val="892"/>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青岛市电子印章平台</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建设全市统一的电子印章平台</w:t>
            </w:r>
          </w:p>
        </w:tc>
        <w:tc>
          <w:tcPr>
            <w:tcW w:w="1263"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政务网站群监测服务</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购买服务，包括全国政府网站大数据监管平台账号；季度抽查政务网站群，并出具抽查意见和报告</w:t>
            </w:r>
          </w:p>
        </w:tc>
        <w:tc>
          <w:tcPr>
            <w:tcW w:w="1263"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维护20个系统模块，无故障情况，验收合格</w:t>
            </w:r>
          </w:p>
        </w:tc>
      </w:tr>
      <w:tr w:rsidR="006D18F2">
        <w:trPr>
          <w:trHeight w:val="1810"/>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11</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青岛市互联网+移动办事平台服务项目</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购买青岛市互联网+移动办事平台基础服务和增值服务。基础服务为建设互联网+移动办事平台；增值服务为新增需求的实现。</w:t>
            </w:r>
          </w:p>
        </w:tc>
        <w:tc>
          <w:tcPr>
            <w:tcW w:w="1263"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共整合7000项事项，系统巡检12次，无故障情况，验收合格</w:t>
            </w:r>
          </w:p>
        </w:tc>
      </w:tr>
      <w:tr w:rsidR="006D18F2">
        <w:trPr>
          <w:trHeight w:val="2389"/>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青岛市政务移动协同平台（青岛通）</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581"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服务：主合同+监管合同+等保测评合同+软件评测合同。购买青岛通基础服务、增值服务以及相关的监管、等保测评、软件测评服务。基础服务为建设政务移动协同平台；增值服务为新增需求的实现。</w:t>
            </w:r>
          </w:p>
        </w:tc>
        <w:tc>
          <w:tcPr>
            <w:tcW w:w="1263"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组织系统巡检4次，升级10次，系统开发JSSDK接口200个，系统开发服务端接口50个，无故障情况，验收合格</w:t>
            </w:r>
          </w:p>
        </w:tc>
      </w:tr>
      <w:tr w:rsidR="006D18F2">
        <w:trPr>
          <w:trHeight w:val="846"/>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青岛市公共信用信息平台运维</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581"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对青岛市公共信用信息平台开展运维</w:t>
            </w:r>
          </w:p>
        </w:tc>
        <w:tc>
          <w:tcPr>
            <w:tcW w:w="1263"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“信用青岛”网站及微信公众号内容</w:t>
            </w:r>
            <w:r>
              <w:rPr>
                <w:rFonts w:ascii="仿宋_GB2312" w:eastAsia="仿宋_GB2312" w:hAnsi="仿宋_GB2312" w:cs="仿宋_GB2312" w:hint="eastAsia"/>
                <w:sz w:val="24"/>
              </w:rPr>
              <w:lastRenderedPageBreak/>
              <w:t>日常管理项目</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信用建设处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购买服务，在网站和公众号进行相关信息的编辑和发布</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发布2000条稿件，媒体宣传25次，浏览量8万余</w:t>
            </w:r>
            <w:r>
              <w:rPr>
                <w:rFonts w:ascii="仿宋_GB2312" w:eastAsia="仿宋_GB2312" w:hAnsi="仿宋_GB2312" w:cs="仿宋_GB2312" w:hint="eastAsia"/>
                <w:sz w:val="24"/>
              </w:rPr>
              <w:lastRenderedPageBreak/>
              <w:t>人次，验收合格</w:t>
            </w:r>
          </w:p>
        </w:tc>
      </w:tr>
      <w:tr w:rsidR="006D18F2">
        <w:trPr>
          <w:trHeight w:val="1392"/>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15</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基础库及政务信息资源交换共享管理系统运维服务</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数据应用管理处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对数据中心人口和法人基础数据库、政务信息资源交换共享管理系统进行运维</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支持对社会服务的业务系统20个，数据交换量20亿次，总数据量6.7亿条，系统无故障，验收合格</w:t>
            </w:r>
          </w:p>
        </w:tc>
      </w:tr>
      <w:tr w:rsidR="006D18F2">
        <w:trPr>
          <w:trHeight w:val="716"/>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地理信息汇集项目运维</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对地理信息汇集项目进行运维</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1549"/>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电子政务网络防病毒安全管理服务费</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购买青岛市电子政务外网的2000个主机端和28000个电脑终端的防病毒安全管理、升级服务、系统安全加固服务</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开展病毒库升级50次，操作培训3次，部署20000个终端，无故障情况，验收合格</w:t>
            </w:r>
          </w:p>
        </w:tc>
      </w:tr>
      <w:tr w:rsidR="006D18F2">
        <w:trPr>
          <w:trHeight w:val="1259"/>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防病毒SDK接口服务项目</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采购360网神私有云查杀管理系统</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服务8500台终端，文件查杀65万次，服务更新56次，无故障情况，验收合格</w:t>
            </w:r>
            <w:r>
              <w:rPr>
                <w:rFonts w:ascii="仿宋_GB2312" w:eastAsia="仿宋_GB2312" w:hAnsi="仿宋_GB2312" w:cs="仿宋_GB2312" w:hint="eastAsia"/>
                <w:sz w:val="24"/>
              </w:rPr>
              <w:br w:type="page"/>
            </w:r>
          </w:p>
        </w:tc>
      </w:tr>
      <w:tr w:rsidR="006D18F2">
        <w:trPr>
          <w:trHeight w:val="1050"/>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19</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青岛市电子政务安全管理平台</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采购泰合信息安全运营中心系统</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保障文件存储时间6个月，全年无故障，验收合格</w:t>
            </w:r>
          </w:p>
        </w:tc>
      </w:tr>
      <w:tr w:rsidR="006D18F2">
        <w:trPr>
          <w:trHeight w:val="1346"/>
          <w:jc w:val="center"/>
        </w:trPr>
        <w:tc>
          <w:tcPr>
            <w:tcW w:w="25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tcBorders>
              <w:top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政务信息资源交换共享管理系统二期</w:t>
            </w:r>
          </w:p>
        </w:tc>
        <w:tc>
          <w:tcPr>
            <w:tcW w:w="419" w:type="pct"/>
            <w:tcBorders>
              <w:top w:val="single" w:sz="4" w:space="0" w:color="auto"/>
            </w:tcBorders>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数据应用管理处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建设升级政务信息资源交换共享管理系统</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服务672个部门，有1200条共享交换申请，系统无故障情况，验收合格</w:t>
            </w:r>
          </w:p>
        </w:tc>
      </w:tr>
      <w:tr w:rsidR="006D18F2">
        <w:trPr>
          <w:trHeight w:val="727"/>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479" w:type="pct"/>
            <w:vMerge w:val="restar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政务大数据和云计算专项资金</w:t>
            </w: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政务云综合管理服务系统运维</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581"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对政务云综合管理服务系统进行运维</w:t>
            </w:r>
          </w:p>
        </w:tc>
        <w:tc>
          <w:tcPr>
            <w:tcW w:w="1263"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政务云运维质量考核评估服务</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购买政务云运维质量考核评估服务</w:t>
            </w:r>
          </w:p>
        </w:tc>
        <w:tc>
          <w:tcPr>
            <w:tcW w:w="1263" w:type="pct"/>
            <w:tcBorders>
              <w:top w:val="single" w:sz="4" w:space="0" w:color="auto"/>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组织5次云中心巡检，提出300条建议，验收合格</w:t>
            </w:r>
          </w:p>
        </w:tc>
      </w:tr>
      <w:tr w:rsidR="006D18F2">
        <w:trPr>
          <w:trHeight w:val="600"/>
          <w:jc w:val="center"/>
        </w:trPr>
        <w:tc>
          <w:tcPr>
            <w:tcW w:w="25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479" w:type="pct"/>
            <w:vMerge/>
            <w:shd w:val="clear" w:color="auto" w:fill="auto"/>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00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政务大数据和云计算中心平台服务费</w:t>
            </w:r>
          </w:p>
        </w:tc>
        <w:tc>
          <w:tcPr>
            <w:tcW w:w="419" w:type="pc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581"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建设和完善青岛市政务云平台</w:t>
            </w:r>
          </w:p>
        </w:tc>
        <w:tc>
          <w:tcPr>
            <w:tcW w:w="1263" w:type="pct"/>
            <w:tcBorders>
              <w:top w:val="nil"/>
              <w:left w:val="single" w:sz="4" w:space="0" w:color="auto"/>
              <w:bottom w:val="single" w:sz="4" w:space="0" w:color="auto"/>
              <w:right w:val="single" w:sz="4" w:space="0" w:color="auto"/>
            </w:tcBorders>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采购云终端2651台，采购云存储1550TB，无故障情况，验收合格</w:t>
            </w:r>
          </w:p>
        </w:tc>
      </w:tr>
    </w:tbl>
    <w:p w:rsidR="006D18F2" w:rsidRDefault="00155297">
      <w:pPr>
        <w:spacing w:line="560" w:lineRule="exact"/>
        <w:ind w:firstLine="640"/>
        <w:rPr>
          <w:rFonts w:ascii="仿宋_GB2312" w:eastAsia="仿宋_GB2312" w:hAnsi="仿宋_GB2312" w:cs="仿宋_GB2312"/>
          <w:szCs w:val="32"/>
        </w:rPr>
      </w:pPr>
      <w:bookmarkStart w:id="12" w:name="_Toc52381744"/>
      <w:bookmarkStart w:id="13" w:name="_Toc77895213"/>
      <w:r>
        <w:rPr>
          <w:rFonts w:ascii="仿宋_GB2312" w:eastAsia="仿宋_GB2312" w:hAnsi="仿宋_GB2312" w:cs="仿宋_GB2312" w:hint="eastAsia"/>
          <w:szCs w:val="32"/>
        </w:rPr>
        <w:t>3.资金投入和使用情况</w:t>
      </w:r>
      <w:bookmarkEnd w:id="12"/>
      <w:bookmarkEnd w:id="13"/>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2020年度，该项目共批复预算4600.00万元，均为财政拨款；其中“共性应用软件升级维护资金”预算安排1191.00万元，“政务大数据和云计算专项资金”预算安排3409.00万元。</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截至2020年12月31日，两个支出领域分别支出1087.80万元和3407.30万元，项目总支出4495.10万元。具体各子项目资金投入和使用情况见表1-2。</w:t>
      </w:r>
    </w:p>
    <w:p w:rsidR="006D18F2" w:rsidRDefault="00155297">
      <w:pPr>
        <w:widowControl/>
        <w:spacing w:line="560" w:lineRule="exact"/>
        <w:ind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表1-2 项目资金投入和使用情况表</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404"/>
        <w:gridCol w:w="2822"/>
        <w:gridCol w:w="1176"/>
        <w:gridCol w:w="1176"/>
        <w:gridCol w:w="1493"/>
      </w:tblGrid>
      <w:tr w:rsidR="006D18F2">
        <w:trPr>
          <w:trHeight w:val="497"/>
          <w:tblHeader/>
          <w:jc w:val="center"/>
        </w:trPr>
        <w:tc>
          <w:tcPr>
            <w:tcW w:w="387" w:type="pct"/>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812" w:type="pct"/>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业务处室</w:t>
            </w:r>
          </w:p>
        </w:tc>
        <w:tc>
          <w:tcPr>
            <w:tcW w:w="1624" w:type="pct"/>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子项目名称</w:t>
            </w:r>
          </w:p>
        </w:tc>
        <w:tc>
          <w:tcPr>
            <w:tcW w:w="649" w:type="pct"/>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预算</w:t>
            </w:r>
          </w:p>
        </w:tc>
        <w:tc>
          <w:tcPr>
            <w:tcW w:w="665" w:type="pct"/>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支出</w:t>
            </w:r>
          </w:p>
        </w:tc>
        <w:tc>
          <w:tcPr>
            <w:tcW w:w="864" w:type="pct"/>
            <w:shd w:val="clear" w:color="000000"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6D18F2">
        <w:trPr>
          <w:trHeight w:val="448"/>
          <w:jc w:val="center"/>
        </w:trPr>
        <w:tc>
          <w:tcPr>
            <w:tcW w:w="2823" w:type="pct"/>
            <w:gridSpan w:val="3"/>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合  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4,600.00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4,495.10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400"/>
          <w:jc w:val="center"/>
        </w:trPr>
        <w:tc>
          <w:tcPr>
            <w:tcW w:w="2823" w:type="pct"/>
            <w:gridSpan w:val="3"/>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（一）共性应用软件升级维护资金</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1,191.00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1,087.80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587"/>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网站管理运维服务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11.00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11.00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网站无障碍和简繁体服务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4.85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73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网上办事服务平台（一期工程）运维服务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50.00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50.00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政务网网上政务信息资源整合共享服务梳理和规划设计咨询服务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14.64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14.64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55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w:t>
            </w:r>
            <w:r>
              <w:rPr>
                <w:rFonts w:ascii="仿宋_GB2312" w:eastAsia="仿宋_GB2312" w:hAnsi="仿宋_GB2312" w:cs="仿宋_GB2312" w:hint="eastAsia"/>
                <w:sz w:val="24"/>
              </w:rPr>
              <w:lastRenderedPageBreak/>
              <w:t>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金宏电子政务平台</w:t>
            </w:r>
            <w:r>
              <w:rPr>
                <w:rFonts w:ascii="仿宋_GB2312" w:eastAsia="仿宋_GB2312" w:hAnsi="仿宋_GB2312" w:cs="仿宋_GB2312" w:hint="eastAsia"/>
                <w:sz w:val="24"/>
              </w:rPr>
              <w:lastRenderedPageBreak/>
              <w:t>运维</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60.0</w:t>
            </w:r>
            <w:r>
              <w:rPr>
                <w:rFonts w:ascii="仿宋_GB2312" w:eastAsia="仿宋_GB2312" w:hAnsi="仿宋_GB2312" w:cs="仿宋_GB2312" w:hint="eastAsia"/>
                <w:sz w:val="24"/>
              </w:rPr>
              <w:lastRenderedPageBreak/>
              <w:t xml:space="preserve">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58.6</w:t>
            </w:r>
            <w:r>
              <w:rPr>
                <w:rFonts w:ascii="仿宋_GB2312" w:eastAsia="仿宋_GB2312" w:hAnsi="仿宋_GB2312" w:cs="仿宋_GB2312" w:hint="eastAsia"/>
                <w:sz w:val="24"/>
              </w:rPr>
              <w:lastRenderedPageBreak/>
              <w:t xml:space="preserve">3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视频会议系统运维费</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26.00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25.99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网站外文翻译</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11.25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11.25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政民沟通平台运维服务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9.40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9.40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青岛市电子印章平台</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20.00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0.00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政务网站群监测服务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29.58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8.87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因业务调整，20.71万元划拨给市政府办公厅进行支出</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青岛市互联网+移动办事平台服务项目</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631.23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629.83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青岛市政务移动协同平台（青岛通）</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155.20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132.27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青岛市公共信用信息平台运维</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16.00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0.00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信用建设处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“信用青岛”网站及微信公众号内容日常管</w:t>
            </w:r>
            <w:r>
              <w:rPr>
                <w:rFonts w:ascii="仿宋_GB2312" w:eastAsia="仿宋_GB2312" w:hAnsi="仿宋_GB2312" w:cs="仿宋_GB2312" w:hint="eastAsia"/>
                <w:sz w:val="24"/>
              </w:rPr>
              <w:lastRenderedPageBreak/>
              <w:t>理项目</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17.00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5.10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15</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数据应用管理处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基础库及政务信息资源交换共享管理系统运维服务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29.60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29.60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地理信息汇集项目运维</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5.50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0.00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电子政务网络防病毒安全管理服务费</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28.00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27.98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79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防病毒SDK接口服务项目</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12.00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12.00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88"/>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青岛市电子政务安全管理平台</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9.60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9.60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数据应用管理处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政务信息资源交换共享管理系统二期</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50.00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46.80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400"/>
          <w:jc w:val="center"/>
        </w:trPr>
        <w:tc>
          <w:tcPr>
            <w:tcW w:w="2823" w:type="pct"/>
            <w:gridSpan w:val="3"/>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（二）政务大数据和云计算专项资金</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3,409.00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3,407.30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21</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政务云综合管理服务系统运维</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1.70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0.00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未开展</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平台和安全处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政务云运维质量考核评估服务</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27.00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27.00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w:t>
            </w:r>
          </w:p>
        </w:tc>
      </w:tr>
      <w:tr w:rsidR="006D18F2">
        <w:trPr>
          <w:trHeight w:val="600"/>
          <w:jc w:val="center"/>
        </w:trPr>
        <w:tc>
          <w:tcPr>
            <w:tcW w:w="387"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lastRenderedPageBreak/>
              <w:t>3</w:t>
            </w:r>
          </w:p>
        </w:tc>
        <w:tc>
          <w:tcPr>
            <w:tcW w:w="812"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平台</w:t>
            </w:r>
            <w:r>
              <w:rPr>
                <w:rFonts w:ascii="仿宋_GB2312" w:eastAsia="仿宋_GB2312" w:hAnsi="仿宋_GB2312" w:cs="仿宋_GB2312" w:hint="eastAsia"/>
                <w:sz w:val="24"/>
              </w:rPr>
              <w:lastRenderedPageBreak/>
              <w:t>和安全处</w:t>
            </w:r>
          </w:p>
        </w:tc>
        <w:tc>
          <w:tcPr>
            <w:tcW w:w="162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政务大数据和云计</w:t>
            </w:r>
            <w:r>
              <w:rPr>
                <w:rFonts w:ascii="仿宋_GB2312" w:eastAsia="仿宋_GB2312" w:hAnsi="仿宋_GB2312" w:cs="仿宋_GB2312" w:hint="eastAsia"/>
                <w:sz w:val="24"/>
              </w:rPr>
              <w:lastRenderedPageBreak/>
              <w:t>算中心平台服务费</w:t>
            </w:r>
          </w:p>
        </w:tc>
        <w:tc>
          <w:tcPr>
            <w:tcW w:w="649"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3,38</w:t>
            </w:r>
            <w:r>
              <w:rPr>
                <w:rFonts w:ascii="仿宋_GB2312" w:eastAsia="仿宋_GB2312" w:hAnsi="仿宋_GB2312" w:cs="仿宋_GB2312" w:hint="eastAsia"/>
                <w:sz w:val="24"/>
              </w:rPr>
              <w:lastRenderedPageBreak/>
              <w:t xml:space="preserve">0.30 </w:t>
            </w:r>
          </w:p>
        </w:tc>
        <w:tc>
          <w:tcPr>
            <w:tcW w:w="665"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3,38</w:t>
            </w:r>
            <w:r>
              <w:rPr>
                <w:rFonts w:ascii="仿宋_GB2312" w:eastAsia="仿宋_GB2312" w:hAnsi="仿宋_GB2312" w:cs="仿宋_GB2312" w:hint="eastAsia"/>
                <w:sz w:val="24"/>
              </w:rPr>
              <w:lastRenderedPageBreak/>
              <w:t xml:space="preserve">0.30 </w:t>
            </w:r>
          </w:p>
        </w:tc>
        <w:tc>
          <w:tcPr>
            <w:tcW w:w="864" w:type="pct"/>
            <w:shd w:val="clear" w:color="auto" w:fill="auto"/>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lastRenderedPageBreak/>
              <w:t>-</w:t>
            </w:r>
          </w:p>
        </w:tc>
      </w:tr>
    </w:tbl>
    <w:p w:rsidR="006D18F2" w:rsidRDefault="00155297">
      <w:pPr>
        <w:spacing w:line="600" w:lineRule="exact"/>
        <w:ind w:firstLine="640"/>
        <w:outlineLvl w:val="1"/>
        <w:rPr>
          <w:rFonts w:ascii="楷体_GB2312" w:eastAsia="楷体_GB2312"/>
          <w:szCs w:val="32"/>
        </w:rPr>
      </w:pPr>
      <w:bookmarkStart w:id="14" w:name="_Toc22265"/>
      <w:bookmarkStart w:id="15" w:name="_Toc77895214"/>
      <w:bookmarkStart w:id="16" w:name="_Toc10747"/>
      <w:bookmarkStart w:id="17" w:name="_Toc2059159785"/>
      <w:r>
        <w:rPr>
          <w:rFonts w:ascii="楷体_GB2312" w:eastAsia="楷体_GB2312" w:hint="eastAsia"/>
          <w:szCs w:val="32"/>
        </w:rPr>
        <w:lastRenderedPageBreak/>
        <w:t>（二）项目绩效目标</w:t>
      </w:r>
      <w:bookmarkStart w:id="18" w:name="_Toc1599535090"/>
      <w:bookmarkStart w:id="19" w:name="_Toc77895215"/>
      <w:bookmarkEnd w:id="14"/>
      <w:bookmarkEnd w:id="15"/>
      <w:bookmarkEnd w:id="16"/>
      <w:bookmarkEnd w:id="17"/>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1. 总体目标</w:t>
      </w:r>
      <w:bookmarkEnd w:id="18"/>
      <w:bookmarkEnd w:id="19"/>
    </w:p>
    <w:p w:rsidR="006D18F2" w:rsidRDefault="00155297">
      <w:pPr>
        <w:spacing w:line="560" w:lineRule="exact"/>
        <w:ind w:firstLine="640"/>
        <w:rPr>
          <w:rFonts w:ascii="仿宋_GB2312" w:eastAsia="仿宋_GB2312" w:hAnsi="仿宋_GB2312" w:cs="仿宋_GB2312"/>
          <w:szCs w:val="32"/>
          <w:lang/>
        </w:rPr>
      </w:pPr>
      <w:r>
        <w:rPr>
          <w:rFonts w:ascii="仿宋_GB2312" w:eastAsia="仿宋_GB2312" w:hAnsi="仿宋_GB2312" w:cs="仿宋_GB2312" w:hint="eastAsia"/>
          <w:szCs w:val="32"/>
          <w:lang/>
        </w:rPr>
        <w:t>该项目总体绩效目标为</w:t>
      </w:r>
      <w:r>
        <w:rPr>
          <w:rFonts w:ascii="仿宋_GB2312" w:eastAsia="仿宋_GB2312" w:hAnsi="仿宋_GB2312" w:cs="仿宋_GB2312" w:hint="eastAsia"/>
          <w:szCs w:val="32"/>
        </w:rPr>
        <w:t>：通过购买软件升级运维和政务云服务，实现</w:t>
      </w:r>
      <w:r>
        <w:rPr>
          <w:rFonts w:ascii="仿宋_GB2312" w:eastAsia="仿宋_GB2312" w:hAnsi="仿宋_GB2312" w:cs="仿宋_GB2312" w:hint="eastAsia"/>
          <w:szCs w:val="32"/>
          <w:lang/>
        </w:rPr>
        <w:t>青岛</w:t>
      </w:r>
      <w:r>
        <w:rPr>
          <w:rFonts w:ascii="仿宋_GB2312" w:eastAsia="仿宋_GB2312" w:hAnsi="仿宋_GB2312" w:cs="仿宋_GB2312" w:hint="eastAsia"/>
          <w:szCs w:val="32"/>
        </w:rPr>
        <w:t>市金宏电子政务平台、视频会议系统、公共信用信息平台、政府网站等软件的持续稳定运行，保障青岛政务网站群系统内的网站稳定运行及数据安全。</w:t>
      </w:r>
    </w:p>
    <w:p w:rsidR="006D18F2" w:rsidRDefault="00155297">
      <w:pPr>
        <w:spacing w:line="560" w:lineRule="exact"/>
        <w:ind w:firstLine="640"/>
        <w:rPr>
          <w:rFonts w:ascii="仿宋_GB2312" w:eastAsia="仿宋_GB2312" w:hAnsi="仿宋_GB2312" w:cs="仿宋_GB2312"/>
          <w:szCs w:val="32"/>
        </w:rPr>
      </w:pPr>
      <w:bookmarkStart w:id="20" w:name="_Toc1185964484"/>
      <w:bookmarkStart w:id="21" w:name="_Toc77895216"/>
      <w:r>
        <w:rPr>
          <w:rFonts w:ascii="仿宋_GB2312" w:eastAsia="仿宋_GB2312" w:hAnsi="仿宋_GB2312" w:cs="仿宋_GB2312" w:hint="eastAsia"/>
          <w:szCs w:val="32"/>
        </w:rPr>
        <w:t>2. 阶段性目标</w:t>
      </w:r>
      <w:bookmarkEnd w:id="20"/>
      <w:bookmarkEnd w:id="21"/>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根据项目的总体绩效目标，</w:t>
      </w:r>
      <w:r>
        <w:rPr>
          <w:rFonts w:ascii="仿宋_GB2312" w:eastAsia="仿宋_GB2312" w:hAnsi="仿宋_GB2312" w:cs="仿宋_GB2312" w:hint="eastAsia"/>
          <w:szCs w:val="32"/>
          <w:lang/>
        </w:rPr>
        <w:t>市大数据局</w:t>
      </w:r>
      <w:r>
        <w:rPr>
          <w:rFonts w:ascii="仿宋_GB2312" w:eastAsia="仿宋_GB2312" w:hAnsi="仿宋_GB2312" w:cs="仿宋_GB2312" w:hint="eastAsia"/>
          <w:szCs w:val="32"/>
        </w:rPr>
        <w:t>细化分解了绩效指标，绩效指标设置情况见表1-3。</w:t>
      </w:r>
    </w:p>
    <w:p w:rsidR="006D18F2" w:rsidRDefault="00155297">
      <w:pPr>
        <w:widowControl/>
        <w:spacing w:line="560" w:lineRule="exact"/>
        <w:ind w:firstLine="560"/>
        <w:textAlignment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表1-3 2020年度项目绩效指标表</w:t>
      </w: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0"/>
        <w:gridCol w:w="1418"/>
        <w:gridCol w:w="2977"/>
        <w:gridCol w:w="2313"/>
      </w:tblGrid>
      <w:tr w:rsidR="006D18F2">
        <w:trPr>
          <w:trHeight w:val="488"/>
          <w:tblHeader/>
          <w:jc w:val="center"/>
        </w:trPr>
        <w:tc>
          <w:tcPr>
            <w:tcW w:w="1280" w:type="dxa"/>
            <w:shd w:val="clear" w:color="auto"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一级指标</w:t>
            </w:r>
          </w:p>
        </w:tc>
        <w:tc>
          <w:tcPr>
            <w:tcW w:w="1418" w:type="dxa"/>
            <w:shd w:val="clear" w:color="auto"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二级指标</w:t>
            </w:r>
          </w:p>
        </w:tc>
        <w:tc>
          <w:tcPr>
            <w:tcW w:w="2977" w:type="dxa"/>
            <w:shd w:val="clear" w:color="auto"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三级指标</w:t>
            </w:r>
          </w:p>
        </w:tc>
        <w:tc>
          <w:tcPr>
            <w:tcW w:w="2313" w:type="dxa"/>
            <w:shd w:val="clear" w:color="auto" w:fill="D0CECE" w:themeFill="background2" w:themeFillShade="E6"/>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指标值</w:t>
            </w:r>
          </w:p>
        </w:tc>
      </w:tr>
      <w:tr w:rsidR="006D18F2">
        <w:trPr>
          <w:trHeight w:val="20"/>
          <w:jc w:val="center"/>
        </w:trPr>
        <w:tc>
          <w:tcPr>
            <w:tcW w:w="1280" w:type="dxa"/>
            <w:vMerge w:val="restar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产出指标</w:t>
            </w:r>
          </w:p>
        </w:tc>
        <w:tc>
          <w:tcPr>
            <w:tcW w:w="1418" w:type="dxa"/>
            <w:vMerge w:val="restar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数量指标</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系统升级维护项目数量</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≥18项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云虚拟机采购数</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≥1200台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云存储采购数</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≥600T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应用、数据安全服务采购数</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≥1200台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restar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质量指标</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系统验收合格率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服务采购达标率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云计算中心巡检次数</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≥5次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云资源有效使用率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≥80%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云资源可用率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≥99.9%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云平台巡检频率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≥2次/天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restar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时效指标</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系统验收及时性</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资金支付时间</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2020年11月底</w:t>
            </w:r>
          </w:p>
        </w:tc>
      </w:tr>
      <w:tr w:rsidR="006D18F2">
        <w:trPr>
          <w:trHeight w:val="376"/>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成本指标</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lang/>
              </w:rPr>
            </w:pPr>
            <w:r>
              <w:rPr>
                <w:rFonts w:ascii="仿宋_GB2312" w:eastAsia="仿宋_GB2312" w:hAnsi="仿宋_GB2312" w:cs="仿宋_GB2312" w:hint="eastAsia"/>
                <w:sz w:val="24"/>
                <w:lang/>
              </w:rPr>
              <w:t>——</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lang/>
              </w:rPr>
            </w:pPr>
            <w:r>
              <w:rPr>
                <w:rFonts w:ascii="仿宋_GB2312" w:eastAsia="仿宋_GB2312" w:hAnsi="仿宋_GB2312" w:cs="仿宋_GB2312" w:hint="eastAsia"/>
                <w:sz w:val="24"/>
                <w:lang/>
              </w:rPr>
              <w:t>——</w:t>
            </w:r>
          </w:p>
        </w:tc>
      </w:tr>
      <w:tr w:rsidR="006D18F2">
        <w:trPr>
          <w:trHeight w:val="20"/>
          <w:jc w:val="center"/>
        </w:trPr>
        <w:tc>
          <w:tcPr>
            <w:tcW w:w="1280" w:type="dxa"/>
            <w:vMerge w:val="restar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效益指标</w:t>
            </w:r>
          </w:p>
        </w:tc>
        <w:tc>
          <w:tcPr>
            <w:tcW w:w="1418" w:type="dxa"/>
            <w:vMerge w:val="restart"/>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社会效益</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系统使用率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100%</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政府部门上云覆盖率</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≥90% </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政府网站排名</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全国前五名</w:t>
            </w:r>
          </w:p>
        </w:tc>
      </w:tr>
      <w:tr w:rsidR="006D18F2">
        <w:trPr>
          <w:trHeight w:val="20"/>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故障响应时间</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 xml:space="preserve"> ≤2小时 </w:t>
            </w:r>
          </w:p>
        </w:tc>
      </w:tr>
      <w:tr w:rsidR="006D18F2">
        <w:trPr>
          <w:trHeight w:val="465"/>
          <w:jc w:val="center"/>
        </w:trPr>
        <w:tc>
          <w:tcPr>
            <w:tcW w:w="1280" w:type="dxa"/>
            <w:vMerge/>
            <w:vAlign w:val="center"/>
          </w:tcPr>
          <w:p w:rsidR="006D18F2" w:rsidRDefault="006D18F2">
            <w:pPr>
              <w:widowControl/>
              <w:spacing w:line="560" w:lineRule="exact"/>
              <w:ind w:firstLine="480"/>
              <w:textAlignment w:val="center"/>
              <w:rPr>
                <w:rFonts w:ascii="仿宋_GB2312" w:eastAsia="仿宋_GB2312" w:hAnsi="仿宋_GB2312" w:cs="仿宋_GB2312"/>
                <w:sz w:val="24"/>
              </w:rPr>
            </w:pPr>
          </w:p>
        </w:tc>
        <w:tc>
          <w:tcPr>
            <w:tcW w:w="1418"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可持续效益</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lang/>
              </w:rPr>
            </w:pPr>
            <w:r>
              <w:rPr>
                <w:rFonts w:ascii="仿宋_GB2312" w:eastAsia="仿宋_GB2312" w:hAnsi="仿宋_GB2312" w:cs="仿宋_GB2312" w:hint="eastAsia"/>
                <w:sz w:val="24"/>
                <w:lang/>
              </w:rPr>
              <w:t>——</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lang/>
              </w:rPr>
            </w:pPr>
            <w:r>
              <w:rPr>
                <w:rFonts w:ascii="仿宋_GB2312" w:eastAsia="仿宋_GB2312" w:hAnsi="仿宋_GB2312" w:cs="仿宋_GB2312" w:hint="eastAsia"/>
                <w:sz w:val="24"/>
                <w:lang/>
              </w:rPr>
              <w:t>——</w:t>
            </w:r>
          </w:p>
        </w:tc>
      </w:tr>
      <w:tr w:rsidR="006D18F2">
        <w:trPr>
          <w:trHeight w:val="20"/>
          <w:jc w:val="center"/>
        </w:trPr>
        <w:tc>
          <w:tcPr>
            <w:tcW w:w="1280"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满意度指标</w:t>
            </w:r>
          </w:p>
        </w:tc>
        <w:tc>
          <w:tcPr>
            <w:tcW w:w="1418"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服务对象满意度</w:t>
            </w:r>
          </w:p>
        </w:tc>
        <w:tc>
          <w:tcPr>
            <w:tcW w:w="2977"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服务对象满意度</w:t>
            </w:r>
          </w:p>
        </w:tc>
        <w:tc>
          <w:tcPr>
            <w:tcW w:w="2313" w:type="dxa"/>
            <w:vAlign w:val="center"/>
          </w:tcPr>
          <w:p w:rsidR="006D18F2" w:rsidRDefault="00155297">
            <w:pPr>
              <w:widowControl/>
              <w:spacing w:line="560" w:lineRule="exact"/>
              <w:ind w:firstLine="480"/>
              <w:textAlignment w:val="center"/>
              <w:rPr>
                <w:rFonts w:ascii="仿宋_GB2312" w:eastAsia="仿宋_GB2312" w:hAnsi="仿宋_GB2312" w:cs="仿宋_GB2312"/>
                <w:sz w:val="24"/>
              </w:rPr>
            </w:pPr>
            <w:r>
              <w:rPr>
                <w:rFonts w:ascii="仿宋_GB2312" w:eastAsia="仿宋_GB2312" w:hAnsi="仿宋_GB2312" w:cs="仿宋_GB2312" w:hint="eastAsia"/>
                <w:sz w:val="24"/>
              </w:rPr>
              <w:t>≥85%</w:t>
            </w:r>
          </w:p>
        </w:tc>
      </w:tr>
    </w:tbl>
    <w:p w:rsidR="006D18F2" w:rsidRDefault="00155297">
      <w:pPr>
        <w:spacing w:line="600" w:lineRule="exact"/>
        <w:ind w:firstLine="640"/>
        <w:outlineLvl w:val="0"/>
        <w:rPr>
          <w:rFonts w:ascii="黑体" w:eastAsia="黑体" w:hAnsi="黑体"/>
          <w:szCs w:val="32"/>
        </w:rPr>
      </w:pPr>
      <w:bookmarkStart w:id="22" w:name="_Toc77895237"/>
      <w:bookmarkStart w:id="23" w:name="_Toc3112"/>
      <w:bookmarkStart w:id="24" w:name="_Toc590751566"/>
      <w:bookmarkStart w:id="25" w:name="_Toc2782"/>
      <w:r>
        <w:rPr>
          <w:rFonts w:ascii="黑体" w:eastAsia="黑体" w:hAnsi="黑体" w:hint="eastAsia"/>
          <w:szCs w:val="32"/>
        </w:rPr>
        <w:t>二、工作成效</w:t>
      </w:r>
      <w:bookmarkEnd w:id="22"/>
      <w:bookmarkEnd w:id="23"/>
      <w:bookmarkEnd w:id="24"/>
      <w:bookmarkEnd w:id="25"/>
    </w:p>
    <w:p w:rsidR="006D18F2" w:rsidRDefault="00155297">
      <w:pPr>
        <w:spacing w:line="600" w:lineRule="exact"/>
        <w:ind w:firstLine="640"/>
        <w:outlineLvl w:val="1"/>
        <w:rPr>
          <w:rFonts w:ascii="楷体_GB2312" w:eastAsia="楷体_GB2312"/>
          <w:szCs w:val="32"/>
        </w:rPr>
      </w:pPr>
      <w:r>
        <w:rPr>
          <w:rFonts w:ascii="楷体_GB2312" w:eastAsia="楷体_GB2312" w:hint="eastAsia"/>
          <w:szCs w:val="32"/>
        </w:rPr>
        <w:t>（一）推进政务服务数字化业务顺利开展。</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专项实施加快</w:t>
      </w:r>
      <w:r>
        <w:rPr>
          <w:rFonts w:ascii="仿宋_GB2312" w:eastAsia="仿宋_GB2312" w:hAnsi="仿宋_GB2312" w:cs="仿宋_GB2312" w:hint="eastAsia"/>
          <w:szCs w:val="32"/>
          <w:lang/>
        </w:rPr>
        <w:t>了</w:t>
      </w:r>
      <w:r>
        <w:rPr>
          <w:rFonts w:ascii="仿宋_GB2312" w:eastAsia="仿宋_GB2312" w:hAnsi="仿宋_GB2312" w:cs="仿宋_GB2312" w:hint="eastAsia"/>
          <w:szCs w:val="32"/>
        </w:rPr>
        <w:t>政务信息交换和公共信息资源开放，整合汇聚</w:t>
      </w:r>
      <w:r>
        <w:rPr>
          <w:rFonts w:ascii="仿宋_GB2312" w:eastAsia="仿宋_GB2312" w:hAnsi="仿宋_GB2312" w:cs="仿宋_GB2312" w:hint="eastAsia"/>
          <w:szCs w:val="32"/>
          <w:lang/>
        </w:rPr>
        <w:t>了</w:t>
      </w:r>
      <w:r>
        <w:rPr>
          <w:rFonts w:ascii="仿宋_GB2312" w:eastAsia="仿宋_GB2312" w:hAnsi="仿宋_GB2312" w:cs="仿宋_GB2312" w:hint="eastAsia"/>
          <w:szCs w:val="32"/>
        </w:rPr>
        <w:t>各类政务数据资源和社会数据资源，推动“互联网+政务服务”以及移动端政务平台服务的发展。金宏政务服务相关平台和系统的运维</w:t>
      </w:r>
      <w:r>
        <w:rPr>
          <w:rFonts w:ascii="仿宋_GB2312" w:eastAsia="仿宋_GB2312" w:hAnsi="仿宋_GB2312" w:cs="仿宋_GB2312" w:hint="eastAsia"/>
          <w:szCs w:val="32"/>
          <w:lang/>
        </w:rPr>
        <w:t>工作</w:t>
      </w:r>
      <w:r>
        <w:rPr>
          <w:rFonts w:ascii="仿宋_GB2312" w:eastAsia="仿宋_GB2312" w:hAnsi="仿宋_GB2312" w:cs="仿宋_GB2312" w:hint="eastAsia"/>
          <w:szCs w:val="32"/>
        </w:rPr>
        <w:t>全面保障了政务办公数字化和政府协同办公的设备设施条件，</w:t>
      </w:r>
      <w:r>
        <w:rPr>
          <w:rFonts w:ascii="仿宋_GB2312" w:eastAsia="仿宋_GB2312" w:hAnsi="仿宋_GB2312" w:cs="仿宋_GB2312" w:hint="eastAsia"/>
          <w:szCs w:val="32"/>
          <w:lang/>
        </w:rPr>
        <w:t>为“数字青岛”营造了良</w:t>
      </w:r>
      <w:r>
        <w:rPr>
          <w:rFonts w:ascii="仿宋_GB2312" w:eastAsia="仿宋_GB2312" w:hAnsi="仿宋_GB2312" w:cs="仿宋_GB2312" w:hint="eastAsia"/>
          <w:szCs w:val="32"/>
          <w:lang/>
        </w:rPr>
        <w:lastRenderedPageBreak/>
        <w:t>好的发展环境。</w:t>
      </w:r>
    </w:p>
    <w:p w:rsidR="006D18F2" w:rsidRDefault="00155297">
      <w:pPr>
        <w:spacing w:line="600" w:lineRule="exact"/>
        <w:ind w:firstLine="640"/>
        <w:outlineLvl w:val="1"/>
        <w:rPr>
          <w:rFonts w:ascii="楷体_GB2312" w:eastAsia="楷体_GB2312"/>
          <w:szCs w:val="32"/>
        </w:rPr>
      </w:pPr>
      <w:r>
        <w:rPr>
          <w:rFonts w:ascii="楷体_GB2312" w:eastAsia="楷体_GB2312" w:hint="eastAsia"/>
          <w:szCs w:val="32"/>
        </w:rPr>
        <w:t>（二）政务大数据和云计算中心支撑能力显著提升。</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专项实施保证了青岛市59家部门的312个系统顺利上云，全市90%政务服务事项和公共服务事项初步实现“一网通办”，建成统一的智能化政务服务体系。市、区（市）两级政务信息资源目录体系逐步完善，基本形成数据共享开放体系。</w:t>
      </w:r>
    </w:p>
    <w:p w:rsidR="006D18F2" w:rsidRDefault="00155297">
      <w:pPr>
        <w:spacing w:line="600" w:lineRule="exact"/>
        <w:ind w:firstLine="640"/>
        <w:outlineLvl w:val="0"/>
        <w:rPr>
          <w:rFonts w:ascii="黑体" w:eastAsia="黑体" w:hAnsi="黑体"/>
          <w:szCs w:val="32"/>
        </w:rPr>
      </w:pPr>
      <w:bookmarkStart w:id="26" w:name="_Toc77895238"/>
      <w:bookmarkStart w:id="27" w:name="_Toc2416"/>
      <w:bookmarkStart w:id="28" w:name="_Toc27256"/>
      <w:bookmarkStart w:id="29" w:name="_Toc944669681"/>
      <w:r>
        <w:rPr>
          <w:rFonts w:ascii="黑体" w:eastAsia="黑体" w:hAnsi="黑体" w:hint="eastAsia"/>
          <w:szCs w:val="32"/>
        </w:rPr>
        <w:t>三、主要问题</w:t>
      </w:r>
      <w:bookmarkEnd w:id="26"/>
      <w:bookmarkEnd w:id="27"/>
      <w:bookmarkEnd w:id="28"/>
      <w:bookmarkEnd w:id="29"/>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通过本次专项绩效评价的实施，结合</w:t>
      </w:r>
      <w:r>
        <w:rPr>
          <w:rFonts w:ascii="仿宋_GB2312" w:eastAsia="仿宋_GB2312" w:hAnsi="仿宋_GB2312" w:cs="仿宋_GB2312" w:hint="eastAsia"/>
          <w:szCs w:val="32"/>
          <w:lang/>
        </w:rPr>
        <w:t>对</w:t>
      </w:r>
      <w:r>
        <w:rPr>
          <w:rFonts w:ascii="仿宋_GB2312" w:eastAsia="仿宋_GB2312" w:hAnsi="仿宋_GB2312" w:cs="仿宋_GB2312" w:hint="eastAsia"/>
          <w:szCs w:val="32"/>
        </w:rPr>
        <w:t>收集的满意度问卷内容</w:t>
      </w:r>
      <w:r>
        <w:rPr>
          <w:rFonts w:ascii="仿宋_GB2312" w:eastAsia="仿宋_GB2312" w:hAnsi="仿宋_GB2312" w:cs="仿宋_GB2312" w:hint="eastAsia"/>
          <w:szCs w:val="32"/>
          <w:lang/>
        </w:rPr>
        <w:t>进行的</w:t>
      </w:r>
      <w:r>
        <w:rPr>
          <w:rFonts w:ascii="仿宋_GB2312" w:eastAsia="仿宋_GB2312" w:hAnsi="仿宋_GB2312" w:cs="仿宋_GB2312" w:hint="eastAsia"/>
          <w:szCs w:val="32"/>
        </w:rPr>
        <w:t>分析和梳理，该项目在实施过程中存在以下问题：</w:t>
      </w:r>
    </w:p>
    <w:p w:rsidR="006D18F2" w:rsidRDefault="00155297">
      <w:pPr>
        <w:spacing w:line="600" w:lineRule="exact"/>
        <w:ind w:firstLine="640"/>
        <w:outlineLvl w:val="1"/>
        <w:rPr>
          <w:rFonts w:ascii="楷体_GB2312" w:eastAsia="楷体_GB2312"/>
          <w:szCs w:val="32"/>
        </w:rPr>
      </w:pPr>
      <w:r>
        <w:rPr>
          <w:rFonts w:ascii="楷体_GB2312" w:eastAsia="楷体_GB2312" w:hint="eastAsia"/>
          <w:szCs w:val="32"/>
        </w:rPr>
        <w:t>（一）项目前期论证不足，绩效目标设置不够科学合理。</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1.项目立项类：评价过程中未见专项立项的前期论证、可行性研究、市场调研等过程材料，运维项目（尤其是运行多年的系统的运维工作）前期论证不够充分，未针对各子项目实施必要性、实际工作需求、资金需求、测算依据、目前市场行情等进行有针对性的前期调研。</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2.绩效目标类：专项设置的数量指标“云虚拟机采购数”指标值为“≥1200台”，实际采购数量为1640台；“云存储采购数”指标值“≥600T”，实际采购772T，实际产出与计划偏离较大。“共性应用软件升级维护资金”（二级）项目设置了两个考察内容相同的指标，且对运维工作设置指标较多，对建设采购类项目指标设置不足，指标设置未能全面反映当年重点工作内容。</w:t>
      </w:r>
    </w:p>
    <w:p w:rsidR="006D18F2" w:rsidRDefault="00155297">
      <w:pPr>
        <w:spacing w:line="600" w:lineRule="exact"/>
        <w:ind w:firstLine="640"/>
        <w:outlineLvl w:val="1"/>
        <w:rPr>
          <w:rFonts w:ascii="楷体_GB2312" w:eastAsia="楷体_GB2312"/>
          <w:szCs w:val="32"/>
        </w:rPr>
      </w:pPr>
      <w:r>
        <w:rPr>
          <w:rFonts w:ascii="楷体_GB2312" w:eastAsia="楷体_GB2312" w:hint="eastAsia"/>
          <w:szCs w:val="32"/>
        </w:rPr>
        <w:lastRenderedPageBreak/>
        <w:t>（二）管理制度不够健全，制度执行有效性有待增强。</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过程管理类：未针对该专项制定专项业务或财务管理制度；财务留存资料不够完整，记账凭证附件中业务审核等流程资料不齐全；部分政府采购验收单未填写验收日期，资料不规范；项目单位存在专项任务和预算调整，但未严格遵循调整审批流程。</w:t>
      </w:r>
    </w:p>
    <w:p w:rsidR="006D18F2" w:rsidRDefault="00155297">
      <w:pPr>
        <w:spacing w:line="600" w:lineRule="exact"/>
        <w:ind w:firstLine="640"/>
        <w:outlineLvl w:val="1"/>
        <w:rPr>
          <w:rFonts w:ascii="楷体_GB2312" w:eastAsia="楷体_GB2312"/>
          <w:szCs w:val="32"/>
        </w:rPr>
      </w:pPr>
      <w:r>
        <w:rPr>
          <w:rFonts w:ascii="楷体_GB2312" w:eastAsia="楷体_GB2312" w:hint="eastAsia"/>
          <w:szCs w:val="32"/>
        </w:rPr>
        <w:t>（三）未针对服务对象及时开展满意度调查。</w:t>
      </w:r>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满意度类：项目单位在专项实施过程中缺乏对使用人员开展的满意度调查，未能及时、全面的获取电子政务平台使用人员的真实需求以及对项目实施的真实反馈。通过评价机构的满意度调查发现，金宏电子政务平台存在部分软、硬件使用问题，操作人员对于各系统以及政务云容量均存在不同程度的优化需求。</w:t>
      </w:r>
    </w:p>
    <w:p w:rsidR="006D18F2" w:rsidRDefault="00155297">
      <w:pPr>
        <w:spacing w:line="600" w:lineRule="exact"/>
        <w:ind w:firstLine="640"/>
        <w:outlineLvl w:val="0"/>
        <w:rPr>
          <w:rFonts w:ascii="黑体" w:eastAsia="黑体" w:hAnsi="黑体"/>
          <w:szCs w:val="32"/>
        </w:rPr>
      </w:pPr>
      <w:bookmarkStart w:id="30" w:name="_Toc716726296"/>
      <w:bookmarkStart w:id="31" w:name="_Toc15996"/>
      <w:bookmarkStart w:id="32" w:name="_Toc13221"/>
      <w:bookmarkStart w:id="33" w:name="_Toc77895239"/>
      <w:r>
        <w:rPr>
          <w:rFonts w:ascii="黑体" w:eastAsia="黑体" w:hAnsi="黑体" w:hint="eastAsia"/>
          <w:szCs w:val="32"/>
        </w:rPr>
        <w:t>四.相关建议</w:t>
      </w:r>
      <w:bookmarkEnd w:id="30"/>
      <w:bookmarkEnd w:id="31"/>
      <w:bookmarkEnd w:id="32"/>
      <w:bookmarkEnd w:id="33"/>
    </w:p>
    <w:p w:rsidR="006D18F2" w:rsidRDefault="00155297">
      <w:pPr>
        <w:spacing w:line="600" w:lineRule="exact"/>
        <w:ind w:firstLine="640"/>
        <w:outlineLvl w:val="1"/>
        <w:rPr>
          <w:rFonts w:ascii="楷体_GB2312" w:eastAsia="楷体_GB2312"/>
          <w:szCs w:val="32"/>
        </w:rPr>
      </w:pPr>
      <w:bookmarkStart w:id="34" w:name="_Toc4036"/>
      <w:bookmarkStart w:id="35" w:name="_Toc21175"/>
      <w:r>
        <w:rPr>
          <w:rFonts w:ascii="楷体_GB2312" w:eastAsia="楷体_GB2312" w:hint="eastAsia"/>
          <w:szCs w:val="32"/>
        </w:rPr>
        <w:t>（一）加强项目前期论证环节，提高绩效目标编制质量。</w:t>
      </w:r>
      <w:bookmarkEnd w:id="34"/>
      <w:bookmarkEnd w:id="35"/>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建议项目单位进一步加强前期论证工作。对于运行多年系统的运维工作，按照相关要求可以续签合同，但仍需根据目前系统现状、实际工作需求、当下市场行情等对项目实施必要性、技术方案可行性、预算编制合理性等进行充分论证，确保项目实施以及项目资金支出的效益。此外，建议项目单位在分析往年数据的基础上，结合项目实际情况设立绩效目标和指标，并充分考虑数据获取的途径和机制，确保绩效目标设置的科学</w:t>
      </w:r>
      <w:r>
        <w:rPr>
          <w:rFonts w:ascii="仿宋_GB2312" w:eastAsia="仿宋_GB2312" w:hAnsi="仿宋_GB2312" w:cs="仿宋_GB2312" w:hint="eastAsia"/>
          <w:szCs w:val="32"/>
          <w:lang/>
        </w:rPr>
        <w:t>性</w:t>
      </w:r>
      <w:r>
        <w:rPr>
          <w:rFonts w:ascii="仿宋_GB2312" w:eastAsia="仿宋_GB2312" w:hAnsi="仿宋_GB2312" w:cs="仿宋_GB2312" w:hint="eastAsia"/>
          <w:szCs w:val="32"/>
        </w:rPr>
        <w:t>和合理性。</w:t>
      </w:r>
    </w:p>
    <w:p w:rsidR="006D18F2" w:rsidRDefault="00155297">
      <w:pPr>
        <w:spacing w:line="600" w:lineRule="exact"/>
        <w:ind w:firstLine="640"/>
        <w:outlineLvl w:val="1"/>
        <w:rPr>
          <w:rFonts w:ascii="楷体_GB2312" w:eastAsia="楷体_GB2312"/>
          <w:szCs w:val="32"/>
        </w:rPr>
      </w:pPr>
      <w:bookmarkStart w:id="36" w:name="_Toc660"/>
      <w:bookmarkStart w:id="37" w:name="_Toc20708"/>
      <w:r>
        <w:rPr>
          <w:rFonts w:ascii="楷体_GB2312" w:eastAsia="楷体_GB2312" w:hint="eastAsia"/>
          <w:szCs w:val="32"/>
        </w:rPr>
        <w:t>（二）完善项目中期过程管理，严格规范项目执行。</w:t>
      </w:r>
      <w:bookmarkEnd w:id="36"/>
      <w:bookmarkEnd w:id="37"/>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lastRenderedPageBreak/>
        <w:t>针对专项实施过程中调整手续不规范、过程材料不齐全、不规范的问题，建议进一步完善和细化专项管理办法中对相关环节的规定和要求。一方面，任务发生变动时，需严格履行调整报批程序，并及时调整项目绩效目标、工作进度以及预算实施计划等，保证项目实施效果。另一方面，加强项目过程资料的管理，财务凭证后需附完整的审批流程材料，材料填写需规范。</w:t>
      </w:r>
    </w:p>
    <w:p w:rsidR="006D18F2" w:rsidRDefault="00155297">
      <w:pPr>
        <w:spacing w:line="600" w:lineRule="exact"/>
        <w:ind w:firstLine="640"/>
        <w:outlineLvl w:val="1"/>
        <w:rPr>
          <w:rFonts w:ascii="楷体_GB2312" w:eastAsia="楷体_GB2312"/>
          <w:szCs w:val="32"/>
        </w:rPr>
      </w:pPr>
      <w:bookmarkStart w:id="38" w:name="_Toc3675"/>
      <w:bookmarkStart w:id="39" w:name="_Toc8862"/>
      <w:r>
        <w:rPr>
          <w:rFonts w:ascii="楷体_GB2312" w:eastAsia="楷体_GB2312" w:hint="eastAsia"/>
          <w:szCs w:val="32"/>
        </w:rPr>
        <w:t>（三）重视项目实施后续服务，定期开展服务对象满意度调查。</w:t>
      </w:r>
      <w:bookmarkEnd w:id="38"/>
      <w:bookmarkEnd w:id="39"/>
    </w:p>
    <w:p w:rsidR="006D18F2" w:rsidRDefault="00155297">
      <w:pPr>
        <w:spacing w:line="560" w:lineRule="exact"/>
        <w:ind w:firstLine="640"/>
        <w:rPr>
          <w:rFonts w:ascii="仿宋_GB2312" w:eastAsia="仿宋_GB2312" w:hAnsi="仿宋_GB2312" w:cs="仿宋_GB2312"/>
          <w:szCs w:val="32"/>
        </w:rPr>
      </w:pPr>
      <w:r>
        <w:rPr>
          <w:rFonts w:ascii="仿宋_GB2312" w:eastAsia="仿宋_GB2312" w:hAnsi="仿宋_GB2312" w:cs="仿宋_GB2312" w:hint="eastAsia"/>
          <w:szCs w:val="32"/>
        </w:rPr>
        <w:t>评价发现，项目单位的工作开展产出情况较好，但未对项目整体开展系统性地服务对象满意度调查，不能及时获取项目实施过程中各平台、系统使用人员的反馈，无统计数据支撑。此次评价机构通过发放满意度调查问卷获取了各级政府部门对该专项支持的平台、系统的使用满意度情况，并收集部分有建设性的意见。</w:t>
      </w:r>
      <w:r>
        <w:rPr>
          <w:rFonts w:ascii="仿宋_GB2312" w:eastAsia="仿宋_GB2312" w:hAnsi="仿宋_GB2312" w:cs="仿宋_GB2312" w:hint="eastAsia"/>
          <w:szCs w:val="32"/>
          <w:lang/>
        </w:rPr>
        <w:t>建议项目单位能够在以后年度加强绩效数据统计工作，合理确定项目服务对象范围，设计满意度调查方式及内容，及时完成调查工作，获取科学准确的满意度数据</w:t>
      </w:r>
      <w:r>
        <w:rPr>
          <w:rFonts w:ascii="仿宋_GB2312" w:eastAsia="仿宋_GB2312" w:hAnsi="仿宋_GB2312" w:cs="仿宋_GB2312" w:hint="eastAsia"/>
          <w:szCs w:val="32"/>
        </w:rPr>
        <w:t>，为项目后续开展提供助力</w:t>
      </w:r>
      <w:r>
        <w:rPr>
          <w:rFonts w:ascii="仿宋_GB2312" w:eastAsia="仿宋_GB2312" w:hAnsi="仿宋_GB2312" w:cs="仿宋_GB2312" w:hint="eastAsia"/>
          <w:szCs w:val="32"/>
          <w:lang/>
        </w:rPr>
        <w:t>。</w:t>
      </w:r>
    </w:p>
    <w:sectPr w:rsidR="006D18F2" w:rsidSect="00C5421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A2A" w:rsidRDefault="00F26A2A">
      <w:pPr>
        <w:spacing w:line="240" w:lineRule="auto"/>
        <w:ind w:firstLine="640"/>
      </w:pPr>
      <w:r>
        <w:separator/>
      </w:r>
    </w:p>
  </w:endnote>
  <w:endnote w:type="continuationSeparator" w:id="1">
    <w:p w:rsidR="00F26A2A" w:rsidRDefault="00F26A2A">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Kaiti SC">
    <w:altName w:val="微软雅黑"/>
    <w:charset w:val="86"/>
    <w:family w:val="auto"/>
    <w:pitch w:val="default"/>
    <w:sig w:usb0="80000287" w:usb1="280F3C52" w:usb2="00000016" w:usb3="00000000" w:csb0="0004001F" w:csb1="00000000"/>
  </w:font>
  <w:font w:name="DejaVu Sans">
    <w:altName w:val="Arial"/>
    <w:charset w:val="00"/>
    <w:family w:val="roman"/>
    <w:pitch w:val="default"/>
    <w:sig w:usb0="00000000" w:usb1="D200FDFF" w:usb2="0A246029" w:usb3="0400200C" w:csb0="600001FF" w:csb1="DFFF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文星简黑体">
    <w:altName w:val="黑体"/>
    <w:charset w:val="86"/>
    <w:family w:val="roma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altName w:val="Calibri"/>
    <w:charset w:val="00"/>
    <w:family w:val="auto"/>
    <w:pitch w:val="default"/>
    <w:sig w:usb0="00000000" w:usb1="00000000" w:usb2="00000000" w:usb3="00000000" w:csb0="2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8B" w:rsidRDefault="00CC128B" w:rsidP="00CC128B">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0239"/>
    </w:sdtPr>
    <w:sdtContent>
      <w:p w:rsidR="006D18F2" w:rsidRDefault="00C5421A">
        <w:pPr>
          <w:pStyle w:val="a6"/>
          <w:ind w:firstLine="360"/>
          <w:jc w:val="center"/>
        </w:pPr>
        <w:r>
          <w:fldChar w:fldCharType="begin"/>
        </w:r>
        <w:r w:rsidR="00155297">
          <w:instrText>PAGE   \* MERGEFORMAT</w:instrText>
        </w:r>
        <w:r>
          <w:fldChar w:fldCharType="separate"/>
        </w:r>
        <w:r w:rsidR="00CC128B" w:rsidRPr="00CC128B">
          <w:rPr>
            <w:noProof/>
            <w:lang w:val="zh-CN"/>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8B" w:rsidRDefault="00CC128B" w:rsidP="00CC128B">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A2A" w:rsidRDefault="00F26A2A">
      <w:pPr>
        <w:spacing w:line="240" w:lineRule="auto"/>
        <w:ind w:firstLine="640"/>
      </w:pPr>
      <w:r>
        <w:separator/>
      </w:r>
    </w:p>
  </w:footnote>
  <w:footnote w:type="continuationSeparator" w:id="1">
    <w:p w:rsidR="00F26A2A" w:rsidRDefault="00F26A2A">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8B" w:rsidRDefault="00CC128B" w:rsidP="00CC128B">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F2" w:rsidRDefault="006D18F2">
    <w:pPr>
      <w:pStyle w:val="a7"/>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28B" w:rsidRDefault="00CC128B" w:rsidP="00CC128B">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60"/>
  <w:drawingGridVerticalSpacing w:val="435"/>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BF26D3C"/>
    <w:rsid w:val="B5FE12F9"/>
    <w:rsid w:val="B67FD379"/>
    <w:rsid w:val="B6FFED23"/>
    <w:rsid w:val="BC5B2388"/>
    <w:rsid w:val="BF561783"/>
    <w:rsid w:val="D5F721B0"/>
    <w:rsid w:val="DFF1FB7D"/>
    <w:rsid w:val="F2DF9039"/>
    <w:rsid w:val="F3F74DDD"/>
    <w:rsid w:val="F5970B25"/>
    <w:rsid w:val="FBD7AB2C"/>
    <w:rsid w:val="FBF26D3C"/>
    <w:rsid w:val="FCFBA3B4"/>
    <w:rsid w:val="FDFD0272"/>
    <w:rsid w:val="FFEAD2C5"/>
    <w:rsid w:val="00004CB7"/>
    <w:rsid w:val="00016979"/>
    <w:rsid w:val="00026713"/>
    <w:rsid w:val="00033CB9"/>
    <w:rsid w:val="00033DAC"/>
    <w:rsid w:val="000532F9"/>
    <w:rsid w:val="00060D0B"/>
    <w:rsid w:val="00060EF4"/>
    <w:rsid w:val="00065F8E"/>
    <w:rsid w:val="00072730"/>
    <w:rsid w:val="0008556C"/>
    <w:rsid w:val="000A38C9"/>
    <w:rsid w:val="000A7872"/>
    <w:rsid w:val="000B3293"/>
    <w:rsid w:val="000B65C4"/>
    <w:rsid w:val="000D4AF7"/>
    <w:rsid w:val="000E34A1"/>
    <w:rsid w:val="000E5824"/>
    <w:rsid w:val="000E7D86"/>
    <w:rsid w:val="001014C0"/>
    <w:rsid w:val="00120641"/>
    <w:rsid w:val="00125E80"/>
    <w:rsid w:val="001301CD"/>
    <w:rsid w:val="00130B28"/>
    <w:rsid w:val="00155297"/>
    <w:rsid w:val="00156322"/>
    <w:rsid w:val="001566BA"/>
    <w:rsid w:val="001717EB"/>
    <w:rsid w:val="00173210"/>
    <w:rsid w:val="001740CC"/>
    <w:rsid w:val="00177947"/>
    <w:rsid w:val="00182296"/>
    <w:rsid w:val="00190D6E"/>
    <w:rsid w:val="00194A1E"/>
    <w:rsid w:val="001C114D"/>
    <w:rsid w:val="001C4D0C"/>
    <w:rsid w:val="001D41B7"/>
    <w:rsid w:val="001E58C6"/>
    <w:rsid w:val="001F70DE"/>
    <w:rsid w:val="001F7EF0"/>
    <w:rsid w:val="002003F7"/>
    <w:rsid w:val="00202E68"/>
    <w:rsid w:val="00213CC1"/>
    <w:rsid w:val="0022025A"/>
    <w:rsid w:val="00223C6F"/>
    <w:rsid w:val="00263D9D"/>
    <w:rsid w:val="002655FB"/>
    <w:rsid w:val="002670D9"/>
    <w:rsid w:val="00285579"/>
    <w:rsid w:val="00286FAC"/>
    <w:rsid w:val="002939E8"/>
    <w:rsid w:val="002A17C4"/>
    <w:rsid w:val="002C6D5F"/>
    <w:rsid w:val="002D18D1"/>
    <w:rsid w:val="002D3A30"/>
    <w:rsid w:val="003004E5"/>
    <w:rsid w:val="00315063"/>
    <w:rsid w:val="00315094"/>
    <w:rsid w:val="00315967"/>
    <w:rsid w:val="00316405"/>
    <w:rsid w:val="0033166D"/>
    <w:rsid w:val="00373618"/>
    <w:rsid w:val="003749F1"/>
    <w:rsid w:val="00392423"/>
    <w:rsid w:val="00396A07"/>
    <w:rsid w:val="003A07AE"/>
    <w:rsid w:val="003A1369"/>
    <w:rsid w:val="003A3019"/>
    <w:rsid w:val="003B0462"/>
    <w:rsid w:val="003D4370"/>
    <w:rsid w:val="003E1A5C"/>
    <w:rsid w:val="003F47F4"/>
    <w:rsid w:val="003F64D1"/>
    <w:rsid w:val="00422573"/>
    <w:rsid w:val="00461968"/>
    <w:rsid w:val="00463780"/>
    <w:rsid w:val="004711B8"/>
    <w:rsid w:val="00472E89"/>
    <w:rsid w:val="00477119"/>
    <w:rsid w:val="0048782D"/>
    <w:rsid w:val="004B686F"/>
    <w:rsid w:val="004C0F84"/>
    <w:rsid w:val="004C4A9A"/>
    <w:rsid w:val="004C70A7"/>
    <w:rsid w:val="0050508D"/>
    <w:rsid w:val="0050592E"/>
    <w:rsid w:val="00525E28"/>
    <w:rsid w:val="00556C17"/>
    <w:rsid w:val="005674D7"/>
    <w:rsid w:val="00575E4B"/>
    <w:rsid w:val="005834B0"/>
    <w:rsid w:val="005878B9"/>
    <w:rsid w:val="00590CBD"/>
    <w:rsid w:val="005A59D4"/>
    <w:rsid w:val="005B1C39"/>
    <w:rsid w:val="005B385C"/>
    <w:rsid w:val="005B6CE4"/>
    <w:rsid w:val="005C2393"/>
    <w:rsid w:val="005C53B4"/>
    <w:rsid w:val="005C7646"/>
    <w:rsid w:val="005E045F"/>
    <w:rsid w:val="005F29C5"/>
    <w:rsid w:val="00602997"/>
    <w:rsid w:val="006238C1"/>
    <w:rsid w:val="00630992"/>
    <w:rsid w:val="00633ACD"/>
    <w:rsid w:val="0066494C"/>
    <w:rsid w:val="006656A3"/>
    <w:rsid w:val="006745DD"/>
    <w:rsid w:val="00677C54"/>
    <w:rsid w:val="006878D7"/>
    <w:rsid w:val="006A3575"/>
    <w:rsid w:val="006A7757"/>
    <w:rsid w:val="006B33E4"/>
    <w:rsid w:val="006C138A"/>
    <w:rsid w:val="006C7D93"/>
    <w:rsid w:val="006D1885"/>
    <w:rsid w:val="006D18F2"/>
    <w:rsid w:val="006D2516"/>
    <w:rsid w:val="006D6921"/>
    <w:rsid w:val="006E04B0"/>
    <w:rsid w:val="006E7A07"/>
    <w:rsid w:val="006F5684"/>
    <w:rsid w:val="00716944"/>
    <w:rsid w:val="00730091"/>
    <w:rsid w:val="007310FD"/>
    <w:rsid w:val="007371F5"/>
    <w:rsid w:val="007518ED"/>
    <w:rsid w:val="00754CFA"/>
    <w:rsid w:val="007557A4"/>
    <w:rsid w:val="00767B01"/>
    <w:rsid w:val="00792085"/>
    <w:rsid w:val="00792375"/>
    <w:rsid w:val="007A5282"/>
    <w:rsid w:val="007B141C"/>
    <w:rsid w:val="007C485F"/>
    <w:rsid w:val="007D4956"/>
    <w:rsid w:val="007E2D2D"/>
    <w:rsid w:val="007E53C6"/>
    <w:rsid w:val="008042BC"/>
    <w:rsid w:val="00810506"/>
    <w:rsid w:val="0081061D"/>
    <w:rsid w:val="00810E4D"/>
    <w:rsid w:val="00816F27"/>
    <w:rsid w:val="00827954"/>
    <w:rsid w:val="008361E8"/>
    <w:rsid w:val="0085078B"/>
    <w:rsid w:val="00850A86"/>
    <w:rsid w:val="00863E3F"/>
    <w:rsid w:val="008723CC"/>
    <w:rsid w:val="00886796"/>
    <w:rsid w:val="008B6DC0"/>
    <w:rsid w:val="008C59C0"/>
    <w:rsid w:val="008D0493"/>
    <w:rsid w:val="008D0E29"/>
    <w:rsid w:val="008E6365"/>
    <w:rsid w:val="00907BFA"/>
    <w:rsid w:val="00915C62"/>
    <w:rsid w:val="00933480"/>
    <w:rsid w:val="009375D8"/>
    <w:rsid w:val="009422B7"/>
    <w:rsid w:val="00942872"/>
    <w:rsid w:val="00951A6D"/>
    <w:rsid w:val="0095324F"/>
    <w:rsid w:val="00960FA7"/>
    <w:rsid w:val="00976E7D"/>
    <w:rsid w:val="009852EC"/>
    <w:rsid w:val="00986BCC"/>
    <w:rsid w:val="009960F8"/>
    <w:rsid w:val="00997F0A"/>
    <w:rsid w:val="009A24B4"/>
    <w:rsid w:val="009A7F0E"/>
    <w:rsid w:val="009C05FD"/>
    <w:rsid w:val="009C6B75"/>
    <w:rsid w:val="009D2E7B"/>
    <w:rsid w:val="009E0B49"/>
    <w:rsid w:val="009F0870"/>
    <w:rsid w:val="009F5D5C"/>
    <w:rsid w:val="009F6708"/>
    <w:rsid w:val="00A02E38"/>
    <w:rsid w:val="00A0350B"/>
    <w:rsid w:val="00A157E8"/>
    <w:rsid w:val="00A1687A"/>
    <w:rsid w:val="00A16DF4"/>
    <w:rsid w:val="00A20755"/>
    <w:rsid w:val="00A43274"/>
    <w:rsid w:val="00A541F1"/>
    <w:rsid w:val="00A74420"/>
    <w:rsid w:val="00A765E5"/>
    <w:rsid w:val="00A8275D"/>
    <w:rsid w:val="00A835E3"/>
    <w:rsid w:val="00A93C1C"/>
    <w:rsid w:val="00AA0352"/>
    <w:rsid w:val="00AA5B9A"/>
    <w:rsid w:val="00AB26F4"/>
    <w:rsid w:val="00AB7AEB"/>
    <w:rsid w:val="00AC1AD6"/>
    <w:rsid w:val="00AC2BB5"/>
    <w:rsid w:val="00AC4B62"/>
    <w:rsid w:val="00AD12E4"/>
    <w:rsid w:val="00B317F0"/>
    <w:rsid w:val="00B4227A"/>
    <w:rsid w:val="00B7592D"/>
    <w:rsid w:val="00B77275"/>
    <w:rsid w:val="00B800C7"/>
    <w:rsid w:val="00B81EA8"/>
    <w:rsid w:val="00BA1821"/>
    <w:rsid w:val="00BA71F8"/>
    <w:rsid w:val="00BA752A"/>
    <w:rsid w:val="00BD6867"/>
    <w:rsid w:val="00BE3680"/>
    <w:rsid w:val="00C002AF"/>
    <w:rsid w:val="00C02838"/>
    <w:rsid w:val="00C07EFD"/>
    <w:rsid w:val="00C12790"/>
    <w:rsid w:val="00C13302"/>
    <w:rsid w:val="00C1430B"/>
    <w:rsid w:val="00C1446D"/>
    <w:rsid w:val="00C1461B"/>
    <w:rsid w:val="00C264E3"/>
    <w:rsid w:val="00C33046"/>
    <w:rsid w:val="00C35BDF"/>
    <w:rsid w:val="00C4590E"/>
    <w:rsid w:val="00C5421A"/>
    <w:rsid w:val="00C66148"/>
    <w:rsid w:val="00C7548F"/>
    <w:rsid w:val="00C91698"/>
    <w:rsid w:val="00C9771A"/>
    <w:rsid w:val="00CC128B"/>
    <w:rsid w:val="00CD7330"/>
    <w:rsid w:val="00CE2758"/>
    <w:rsid w:val="00CE2B32"/>
    <w:rsid w:val="00D12DDB"/>
    <w:rsid w:val="00D150E1"/>
    <w:rsid w:val="00D1785C"/>
    <w:rsid w:val="00D33A10"/>
    <w:rsid w:val="00D351B0"/>
    <w:rsid w:val="00D35355"/>
    <w:rsid w:val="00D35C64"/>
    <w:rsid w:val="00D401BA"/>
    <w:rsid w:val="00D9642D"/>
    <w:rsid w:val="00DA2A5A"/>
    <w:rsid w:val="00DB0883"/>
    <w:rsid w:val="00DB698E"/>
    <w:rsid w:val="00DB71D1"/>
    <w:rsid w:val="00DD538A"/>
    <w:rsid w:val="00DD62F0"/>
    <w:rsid w:val="00E03DBA"/>
    <w:rsid w:val="00E12627"/>
    <w:rsid w:val="00E169D2"/>
    <w:rsid w:val="00E402C3"/>
    <w:rsid w:val="00E50765"/>
    <w:rsid w:val="00E77A99"/>
    <w:rsid w:val="00E94A3E"/>
    <w:rsid w:val="00E9655D"/>
    <w:rsid w:val="00EA3C05"/>
    <w:rsid w:val="00EA58DD"/>
    <w:rsid w:val="00EA760E"/>
    <w:rsid w:val="00ED6356"/>
    <w:rsid w:val="00F03C89"/>
    <w:rsid w:val="00F26A2A"/>
    <w:rsid w:val="00F36F13"/>
    <w:rsid w:val="00F378B8"/>
    <w:rsid w:val="00F4102B"/>
    <w:rsid w:val="00F50E9F"/>
    <w:rsid w:val="00F52D7E"/>
    <w:rsid w:val="00F53623"/>
    <w:rsid w:val="00F55B68"/>
    <w:rsid w:val="00F67DAE"/>
    <w:rsid w:val="00F767AF"/>
    <w:rsid w:val="00F819BE"/>
    <w:rsid w:val="00F875AA"/>
    <w:rsid w:val="00F95B99"/>
    <w:rsid w:val="00FA5C22"/>
    <w:rsid w:val="00FD45EB"/>
    <w:rsid w:val="00FD7F36"/>
    <w:rsid w:val="00FF7045"/>
    <w:rsid w:val="00FF7EB0"/>
    <w:rsid w:val="025D5D8A"/>
    <w:rsid w:val="09925F4F"/>
    <w:rsid w:val="0FD04605"/>
    <w:rsid w:val="1BE96977"/>
    <w:rsid w:val="203D7552"/>
    <w:rsid w:val="27F966EC"/>
    <w:rsid w:val="35015DDB"/>
    <w:rsid w:val="36007423"/>
    <w:rsid w:val="375A2361"/>
    <w:rsid w:val="3BE908EA"/>
    <w:rsid w:val="40157B4D"/>
    <w:rsid w:val="43212337"/>
    <w:rsid w:val="43466C32"/>
    <w:rsid w:val="46AB7BC0"/>
    <w:rsid w:val="4B772281"/>
    <w:rsid w:val="5F6785F2"/>
    <w:rsid w:val="5FDF01D1"/>
    <w:rsid w:val="5FEE9F0E"/>
    <w:rsid w:val="65564248"/>
    <w:rsid w:val="65FFCA73"/>
    <w:rsid w:val="66F711B7"/>
    <w:rsid w:val="67D1140E"/>
    <w:rsid w:val="6C9B1DF1"/>
    <w:rsid w:val="6EB7CB71"/>
    <w:rsid w:val="6F7D1830"/>
    <w:rsid w:val="777B1C1F"/>
    <w:rsid w:val="7CAF9F8F"/>
    <w:rsid w:val="7CF601FC"/>
    <w:rsid w:val="7DA72FB5"/>
    <w:rsid w:val="7DCF8983"/>
    <w:rsid w:val="7DF9C7AD"/>
    <w:rsid w:val="7FDD22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C5421A"/>
    <w:pPr>
      <w:widowControl w:val="0"/>
      <w:spacing w:line="360" w:lineRule="auto"/>
      <w:ind w:firstLineChars="200" w:firstLine="881"/>
      <w:jc w:val="both"/>
    </w:pPr>
    <w:rPr>
      <w:rFonts w:eastAsia="仿宋"/>
      <w:kern w:val="2"/>
      <w:sz w:val="32"/>
      <w:szCs w:val="24"/>
    </w:rPr>
  </w:style>
  <w:style w:type="paragraph" w:styleId="1">
    <w:name w:val="heading 1"/>
    <w:basedOn w:val="a"/>
    <w:next w:val="a"/>
    <w:qFormat/>
    <w:rsid w:val="00C5421A"/>
    <w:pPr>
      <w:keepNext/>
      <w:keepLines/>
      <w:spacing w:beforeLines="50" w:afterLines="50"/>
      <w:outlineLvl w:val="0"/>
    </w:pPr>
    <w:rPr>
      <w:rFonts w:eastAsia="黑体"/>
      <w:bCs/>
      <w:kern w:val="44"/>
      <w:szCs w:val="44"/>
    </w:rPr>
  </w:style>
  <w:style w:type="paragraph" w:styleId="2">
    <w:name w:val="heading 2"/>
    <w:next w:val="a"/>
    <w:link w:val="2Char"/>
    <w:unhideWhenUsed/>
    <w:qFormat/>
    <w:rsid w:val="00C5421A"/>
    <w:pPr>
      <w:keepNext/>
      <w:keepLines/>
      <w:spacing w:line="360" w:lineRule="auto"/>
      <w:ind w:firstLineChars="200" w:firstLine="881"/>
      <w:outlineLvl w:val="1"/>
    </w:pPr>
    <w:rPr>
      <w:rFonts w:eastAsia="仿宋" w:cstheme="minorBidi"/>
      <w:b/>
      <w:sz w:val="32"/>
    </w:rPr>
  </w:style>
  <w:style w:type="paragraph" w:styleId="3">
    <w:name w:val="heading 3"/>
    <w:basedOn w:val="a"/>
    <w:next w:val="a"/>
    <w:unhideWhenUsed/>
    <w:qFormat/>
    <w:rsid w:val="00C5421A"/>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C5421A"/>
    <w:rPr>
      <w:rFonts w:ascii="宋体" w:eastAsia="仿宋_GB2312" w:hAnsi="宋体"/>
      <w:color w:val="000000"/>
      <w:sz w:val="24"/>
    </w:rPr>
  </w:style>
  <w:style w:type="paragraph" w:styleId="a4">
    <w:name w:val="annotation text"/>
    <w:basedOn w:val="a"/>
    <w:link w:val="Char"/>
    <w:qFormat/>
    <w:rsid w:val="00C5421A"/>
    <w:pPr>
      <w:jc w:val="left"/>
    </w:pPr>
    <w:rPr>
      <w:kern w:val="0"/>
      <w:sz w:val="20"/>
    </w:rPr>
  </w:style>
  <w:style w:type="paragraph" w:styleId="30">
    <w:name w:val="toc 3"/>
    <w:basedOn w:val="a"/>
    <w:next w:val="a"/>
    <w:uiPriority w:val="39"/>
    <w:qFormat/>
    <w:rsid w:val="00C5421A"/>
    <w:pPr>
      <w:ind w:firstLineChars="400" w:firstLine="840"/>
      <w:jc w:val="left"/>
    </w:pPr>
    <w:rPr>
      <w:rFonts w:ascii="等线" w:hAnsi="等线"/>
      <w:sz w:val="24"/>
      <w:szCs w:val="20"/>
    </w:rPr>
  </w:style>
  <w:style w:type="paragraph" w:styleId="a5">
    <w:name w:val="Balloon Text"/>
    <w:basedOn w:val="a"/>
    <w:link w:val="Char0"/>
    <w:qFormat/>
    <w:rsid w:val="00C5421A"/>
    <w:pPr>
      <w:spacing w:line="240" w:lineRule="auto"/>
    </w:pPr>
    <w:rPr>
      <w:sz w:val="18"/>
      <w:szCs w:val="18"/>
    </w:rPr>
  </w:style>
  <w:style w:type="paragraph" w:styleId="a6">
    <w:name w:val="footer"/>
    <w:basedOn w:val="a"/>
    <w:link w:val="Char1"/>
    <w:uiPriority w:val="99"/>
    <w:qFormat/>
    <w:rsid w:val="00C5421A"/>
    <w:pPr>
      <w:tabs>
        <w:tab w:val="center" w:pos="4153"/>
        <w:tab w:val="right" w:pos="8306"/>
      </w:tabs>
      <w:snapToGrid w:val="0"/>
      <w:spacing w:line="240" w:lineRule="auto"/>
      <w:jc w:val="left"/>
    </w:pPr>
    <w:rPr>
      <w:sz w:val="18"/>
      <w:szCs w:val="18"/>
    </w:rPr>
  </w:style>
  <w:style w:type="paragraph" w:styleId="a7">
    <w:name w:val="header"/>
    <w:basedOn w:val="a"/>
    <w:link w:val="Char2"/>
    <w:qFormat/>
    <w:rsid w:val="00C5421A"/>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rsid w:val="00C5421A"/>
    <w:pPr>
      <w:tabs>
        <w:tab w:val="right" w:leader="dot" w:pos="8302"/>
      </w:tabs>
      <w:jc w:val="left"/>
    </w:pPr>
    <w:rPr>
      <w:rFonts w:ascii="宋体" w:eastAsia="黑体" w:hAnsi="宋体" w:cs="宋体"/>
      <w:bCs/>
      <w:iCs/>
      <w:kern w:val="0"/>
      <w:sz w:val="24"/>
      <w:szCs w:val="28"/>
    </w:rPr>
  </w:style>
  <w:style w:type="paragraph" w:styleId="4">
    <w:name w:val="toc 4"/>
    <w:basedOn w:val="a"/>
    <w:next w:val="a"/>
    <w:qFormat/>
    <w:rsid w:val="00C5421A"/>
    <w:pPr>
      <w:spacing w:beforeLines="50" w:afterLines="50"/>
      <w:jc w:val="center"/>
    </w:pPr>
    <w:rPr>
      <w:rFonts w:ascii="等线" w:eastAsia="黑体" w:hAnsi="等线"/>
      <w:b/>
      <w:sz w:val="36"/>
      <w:szCs w:val="20"/>
    </w:rPr>
  </w:style>
  <w:style w:type="paragraph" w:styleId="20">
    <w:name w:val="toc 2"/>
    <w:basedOn w:val="a"/>
    <w:next w:val="a"/>
    <w:uiPriority w:val="39"/>
    <w:qFormat/>
    <w:rsid w:val="00C5421A"/>
    <w:pPr>
      <w:ind w:firstLine="420"/>
      <w:jc w:val="left"/>
    </w:pPr>
    <w:rPr>
      <w:rFonts w:ascii="等线" w:eastAsia="Kaiti SC" w:hAnsi="等线"/>
      <w:bCs/>
      <w:sz w:val="24"/>
      <w:szCs w:val="22"/>
    </w:rPr>
  </w:style>
  <w:style w:type="paragraph" w:styleId="a8">
    <w:name w:val="Title"/>
    <w:basedOn w:val="a"/>
    <w:qFormat/>
    <w:rsid w:val="00C5421A"/>
    <w:pPr>
      <w:spacing w:before="240" w:after="60"/>
      <w:jc w:val="center"/>
      <w:outlineLvl w:val="0"/>
    </w:pPr>
    <w:rPr>
      <w:rFonts w:ascii="DejaVu Sans" w:hAnsi="DejaVu Sans"/>
      <w:b/>
    </w:rPr>
  </w:style>
  <w:style w:type="paragraph" w:styleId="a9">
    <w:name w:val="annotation subject"/>
    <w:basedOn w:val="a4"/>
    <w:next w:val="a4"/>
    <w:link w:val="Char3"/>
    <w:qFormat/>
    <w:rsid w:val="00C5421A"/>
    <w:rPr>
      <w:b/>
      <w:bCs/>
      <w:kern w:val="2"/>
      <w:sz w:val="32"/>
    </w:rPr>
  </w:style>
  <w:style w:type="character" w:styleId="aa">
    <w:name w:val="Hyperlink"/>
    <w:basedOn w:val="a1"/>
    <w:uiPriority w:val="99"/>
    <w:unhideWhenUsed/>
    <w:qFormat/>
    <w:rsid w:val="00C5421A"/>
    <w:rPr>
      <w:color w:val="0563C1" w:themeColor="hyperlink"/>
      <w:u w:val="single"/>
    </w:rPr>
  </w:style>
  <w:style w:type="character" w:styleId="ab">
    <w:name w:val="annotation reference"/>
    <w:basedOn w:val="a1"/>
    <w:qFormat/>
    <w:rsid w:val="00C5421A"/>
    <w:rPr>
      <w:sz w:val="21"/>
      <w:szCs w:val="21"/>
    </w:rPr>
  </w:style>
  <w:style w:type="paragraph" w:customStyle="1" w:styleId="ac">
    <w:name w:val="表格文字"/>
    <w:basedOn w:val="a"/>
    <w:qFormat/>
    <w:rsid w:val="00C5421A"/>
    <w:pPr>
      <w:spacing w:line="240" w:lineRule="auto"/>
      <w:ind w:firstLineChars="0" w:firstLine="0"/>
    </w:pPr>
    <w:rPr>
      <w:b/>
      <w:sz w:val="21"/>
    </w:rPr>
  </w:style>
  <w:style w:type="character" w:customStyle="1" w:styleId="2Char">
    <w:name w:val="标题 2 Char"/>
    <w:link w:val="2"/>
    <w:qFormat/>
    <w:rsid w:val="00C5421A"/>
    <w:rPr>
      <w:rFonts w:ascii="Times New Roman" w:eastAsia="仿宋" w:hAnsi="Times New Roman"/>
      <w:b/>
      <w:sz w:val="32"/>
    </w:rPr>
  </w:style>
  <w:style w:type="character" w:customStyle="1" w:styleId="Char0">
    <w:name w:val="批注框文本 Char"/>
    <w:basedOn w:val="a1"/>
    <w:link w:val="a5"/>
    <w:qFormat/>
    <w:rsid w:val="00C5421A"/>
    <w:rPr>
      <w:rFonts w:eastAsia="仿宋"/>
      <w:kern w:val="2"/>
      <w:sz w:val="18"/>
      <w:szCs w:val="18"/>
    </w:rPr>
  </w:style>
  <w:style w:type="paragraph" w:customStyle="1" w:styleId="11">
    <w:name w:val="列表段落1"/>
    <w:basedOn w:val="a"/>
    <w:uiPriority w:val="99"/>
    <w:qFormat/>
    <w:rsid w:val="00C5421A"/>
    <w:pPr>
      <w:ind w:firstLine="420"/>
    </w:pPr>
  </w:style>
  <w:style w:type="character" w:customStyle="1" w:styleId="Char">
    <w:name w:val="批注文字 Char"/>
    <w:basedOn w:val="a1"/>
    <w:link w:val="a4"/>
    <w:qFormat/>
    <w:rsid w:val="00C5421A"/>
    <w:rPr>
      <w:rFonts w:eastAsia="仿宋"/>
      <w:szCs w:val="24"/>
    </w:rPr>
  </w:style>
  <w:style w:type="character" w:customStyle="1" w:styleId="Char3">
    <w:name w:val="批注主题 Char"/>
    <w:basedOn w:val="Char"/>
    <w:link w:val="a9"/>
    <w:qFormat/>
    <w:rsid w:val="00C5421A"/>
    <w:rPr>
      <w:rFonts w:eastAsia="仿宋"/>
      <w:b/>
      <w:bCs/>
      <w:kern w:val="2"/>
      <w:sz w:val="32"/>
      <w:szCs w:val="24"/>
    </w:rPr>
  </w:style>
  <w:style w:type="character" w:customStyle="1" w:styleId="Char2">
    <w:name w:val="页眉 Char"/>
    <w:basedOn w:val="a1"/>
    <w:link w:val="a7"/>
    <w:qFormat/>
    <w:rsid w:val="00C5421A"/>
    <w:rPr>
      <w:rFonts w:eastAsia="仿宋"/>
      <w:kern w:val="2"/>
      <w:sz w:val="18"/>
      <w:szCs w:val="18"/>
    </w:rPr>
  </w:style>
  <w:style w:type="character" w:customStyle="1" w:styleId="Char1">
    <w:name w:val="页脚 Char"/>
    <w:basedOn w:val="a1"/>
    <w:link w:val="a6"/>
    <w:uiPriority w:val="99"/>
    <w:qFormat/>
    <w:rsid w:val="00C5421A"/>
    <w:rPr>
      <w:rFonts w:eastAsia="仿宋"/>
      <w:kern w:val="2"/>
      <w:sz w:val="18"/>
      <w:szCs w:val="18"/>
    </w:rPr>
  </w:style>
  <w:style w:type="character" w:customStyle="1" w:styleId="12">
    <w:name w:val="正文1 字符"/>
    <w:link w:val="13"/>
    <w:uiPriority w:val="3"/>
    <w:qFormat/>
    <w:locked/>
    <w:rsid w:val="00C5421A"/>
    <w:rPr>
      <w:rFonts w:ascii="仿宋_GB2312" w:eastAsia="仿宋_GB2312"/>
      <w:sz w:val="32"/>
      <w:szCs w:val="28"/>
      <w:lang w:val="zh-CN"/>
    </w:rPr>
  </w:style>
  <w:style w:type="paragraph" w:customStyle="1" w:styleId="13">
    <w:name w:val="正文1"/>
    <w:basedOn w:val="a"/>
    <w:link w:val="12"/>
    <w:uiPriority w:val="3"/>
    <w:qFormat/>
    <w:rsid w:val="00C5421A"/>
    <w:pPr>
      <w:spacing w:line="580" w:lineRule="exact"/>
      <w:ind w:firstLine="640"/>
    </w:pPr>
    <w:rPr>
      <w:rFonts w:ascii="仿宋_GB2312" w:eastAsia="仿宋_GB2312"/>
      <w:kern w:val="0"/>
      <w:szCs w:val="28"/>
      <w:lang w:val="zh-CN"/>
    </w:rPr>
  </w:style>
  <w:style w:type="paragraph" w:customStyle="1" w:styleId="ad">
    <w:name w:val="封面完成时间"/>
    <w:basedOn w:val="ae"/>
    <w:qFormat/>
    <w:rsid w:val="00C5421A"/>
    <w:pPr>
      <w:ind w:leftChars="0" w:left="0"/>
      <w:jc w:val="center"/>
    </w:pPr>
    <w:rPr>
      <w:b/>
    </w:rPr>
  </w:style>
  <w:style w:type="paragraph" w:customStyle="1" w:styleId="ae">
    <w:name w:val="封面项目信息"/>
    <w:basedOn w:val="a"/>
    <w:next w:val="ad"/>
    <w:qFormat/>
    <w:rsid w:val="00C5421A"/>
    <w:pPr>
      <w:spacing w:before="120" w:line="240" w:lineRule="auto"/>
      <w:ind w:leftChars="800" w:left="800" w:firstLineChars="0" w:firstLine="0"/>
      <w:jc w:val="left"/>
    </w:pPr>
    <w:rPr>
      <w:rFonts w:eastAsia="黑体"/>
      <w:kern w:val="0"/>
      <w:sz w:val="28"/>
      <w:szCs w:val="28"/>
      <w:lang w:val="zh-CN"/>
    </w:rPr>
  </w:style>
  <w:style w:type="paragraph" w:customStyle="1" w:styleId="14">
    <w:name w:val="页码1"/>
    <w:uiPriority w:val="6"/>
    <w:qFormat/>
    <w:rsid w:val="00C5421A"/>
    <w:pPr>
      <w:jc w:val="center"/>
    </w:pPr>
    <w:rPr>
      <w:rFonts w:eastAsia="Times New Roman"/>
      <w:sz w:val="21"/>
      <w:szCs w:val="28"/>
    </w:rPr>
  </w:style>
  <w:style w:type="character" w:customStyle="1" w:styleId="af">
    <w:name w:val="表 字符"/>
    <w:link w:val="af0"/>
    <w:qFormat/>
    <w:rsid w:val="00C5421A"/>
    <w:rPr>
      <w:rFonts w:eastAsia="楷体"/>
      <w:b/>
      <w:sz w:val="24"/>
      <w:szCs w:val="28"/>
    </w:rPr>
  </w:style>
  <w:style w:type="paragraph" w:customStyle="1" w:styleId="af0">
    <w:name w:val="表"/>
    <w:basedOn w:val="a"/>
    <w:link w:val="af"/>
    <w:qFormat/>
    <w:rsid w:val="00C5421A"/>
    <w:pPr>
      <w:widowControl/>
      <w:spacing w:before="60" w:after="60" w:line="240" w:lineRule="auto"/>
      <w:ind w:firstLineChars="0" w:firstLine="0"/>
      <w:jc w:val="center"/>
    </w:pPr>
    <w:rPr>
      <w:rFonts w:eastAsia="楷体"/>
      <w:b/>
      <w:kern w:val="0"/>
      <w:sz w:val="24"/>
      <w:szCs w:val="28"/>
    </w:rPr>
  </w:style>
  <w:style w:type="paragraph" w:customStyle="1" w:styleId="af1">
    <w:name w:val="闻政页码"/>
    <w:uiPriority w:val="6"/>
    <w:qFormat/>
    <w:rsid w:val="00C5421A"/>
    <w:pPr>
      <w:jc w:val="center"/>
    </w:pPr>
    <w:rPr>
      <w:rFonts w:eastAsia="Times New Roman"/>
      <w:sz w:val="21"/>
      <w:szCs w:val="28"/>
    </w:rPr>
  </w:style>
  <w:style w:type="paragraph" w:customStyle="1" w:styleId="WPSOffice1">
    <w:name w:val="WPSOffice手动目录 1"/>
    <w:qFormat/>
    <w:rsid w:val="00C54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Body Text" w:uiPriority="99"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360" w:lineRule="auto"/>
      <w:ind w:firstLineChars="200" w:firstLine="881"/>
      <w:jc w:val="both"/>
    </w:pPr>
    <w:rPr>
      <w:rFonts w:eastAsia="仿宋"/>
      <w:kern w:val="2"/>
      <w:sz w:val="32"/>
      <w:szCs w:val="24"/>
    </w:rPr>
  </w:style>
  <w:style w:type="paragraph" w:styleId="1">
    <w:name w:val="heading 1"/>
    <w:basedOn w:val="a"/>
    <w:next w:val="a"/>
    <w:qFormat/>
    <w:pPr>
      <w:keepNext/>
      <w:keepLines/>
      <w:spacing w:beforeLines="50" w:before="50" w:afterLines="50" w:after="50"/>
      <w:outlineLvl w:val="0"/>
    </w:pPr>
    <w:rPr>
      <w:rFonts w:eastAsia="黑体"/>
      <w:bCs/>
      <w:kern w:val="44"/>
      <w:szCs w:val="44"/>
    </w:rPr>
  </w:style>
  <w:style w:type="paragraph" w:styleId="2">
    <w:name w:val="heading 2"/>
    <w:next w:val="a"/>
    <w:link w:val="2Char"/>
    <w:unhideWhenUsed/>
    <w:qFormat/>
    <w:pPr>
      <w:keepNext/>
      <w:keepLines/>
      <w:spacing w:line="360" w:lineRule="auto"/>
      <w:ind w:firstLineChars="200" w:firstLine="881"/>
      <w:outlineLvl w:val="1"/>
    </w:pPr>
    <w:rPr>
      <w:rFonts w:eastAsia="仿宋" w:cstheme="minorBidi"/>
      <w:b/>
      <w:sz w:val="32"/>
    </w:rPr>
  </w:style>
  <w:style w:type="paragraph" w:styleId="3">
    <w:name w:val="heading 3"/>
    <w:basedOn w:val="a"/>
    <w:next w:val="a"/>
    <w:unhideWhenUsed/>
    <w:qFormat/>
    <w:pPr>
      <w:keepNext/>
      <w:keepLines/>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Pr>
      <w:rFonts w:ascii="宋体" w:eastAsia="仿宋_GB2312" w:hAnsi="宋体"/>
      <w:color w:val="000000"/>
      <w:sz w:val="24"/>
    </w:rPr>
  </w:style>
  <w:style w:type="paragraph" w:styleId="a4">
    <w:name w:val="annotation text"/>
    <w:basedOn w:val="a"/>
    <w:link w:val="Char"/>
    <w:qFormat/>
    <w:pPr>
      <w:jc w:val="left"/>
    </w:pPr>
    <w:rPr>
      <w:kern w:val="0"/>
      <w:sz w:val="20"/>
    </w:rPr>
  </w:style>
  <w:style w:type="paragraph" w:styleId="30">
    <w:name w:val="toc 3"/>
    <w:basedOn w:val="a"/>
    <w:next w:val="a"/>
    <w:uiPriority w:val="39"/>
    <w:qFormat/>
    <w:pPr>
      <w:ind w:firstLineChars="400" w:firstLine="840"/>
      <w:jc w:val="left"/>
    </w:pPr>
    <w:rPr>
      <w:rFonts w:ascii="等线" w:hAnsi="等线"/>
      <w:sz w:val="24"/>
      <w:szCs w:val="20"/>
    </w:rPr>
  </w:style>
  <w:style w:type="paragraph" w:styleId="a5">
    <w:name w:val="Balloon Text"/>
    <w:basedOn w:val="a"/>
    <w:link w:val="Char0"/>
    <w:qFormat/>
    <w:pPr>
      <w:spacing w:line="240" w:lineRule="auto"/>
    </w:pPr>
    <w:rPr>
      <w:sz w:val="18"/>
      <w:szCs w:val="18"/>
    </w:rPr>
  </w:style>
  <w:style w:type="paragraph" w:styleId="a6">
    <w:name w:val="footer"/>
    <w:basedOn w:val="a"/>
    <w:link w:val="Char1"/>
    <w:uiPriority w:val="99"/>
    <w:qFormat/>
    <w:pPr>
      <w:tabs>
        <w:tab w:val="center" w:pos="4153"/>
        <w:tab w:val="right" w:pos="8306"/>
      </w:tabs>
      <w:snapToGrid w:val="0"/>
      <w:spacing w:line="240" w:lineRule="auto"/>
      <w:jc w:val="left"/>
    </w:pPr>
    <w:rPr>
      <w:sz w:val="18"/>
      <w:szCs w:val="18"/>
    </w:rPr>
  </w:style>
  <w:style w:type="paragraph" w:styleId="a7">
    <w:name w:val="header"/>
    <w:basedOn w:val="a"/>
    <w:link w:val="Char2"/>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qFormat/>
    <w:pPr>
      <w:tabs>
        <w:tab w:val="right" w:leader="dot" w:pos="8302"/>
      </w:tabs>
      <w:jc w:val="left"/>
    </w:pPr>
    <w:rPr>
      <w:rFonts w:ascii="宋体" w:eastAsia="黑体" w:hAnsi="宋体" w:cs="宋体"/>
      <w:bCs/>
      <w:iCs/>
      <w:kern w:val="0"/>
      <w:sz w:val="24"/>
      <w:szCs w:val="28"/>
    </w:rPr>
  </w:style>
  <w:style w:type="paragraph" w:styleId="4">
    <w:name w:val="toc 4"/>
    <w:basedOn w:val="a"/>
    <w:next w:val="a"/>
    <w:qFormat/>
    <w:pPr>
      <w:spacing w:beforeLines="50" w:before="50" w:afterLines="50" w:after="50"/>
      <w:jc w:val="center"/>
    </w:pPr>
    <w:rPr>
      <w:rFonts w:ascii="等线" w:eastAsia="黑体" w:hAnsi="等线"/>
      <w:b/>
      <w:sz w:val="36"/>
      <w:szCs w:val="20"/>
    </w:rPr>
  </w:style>
  <w:style w:type="paragraph" w:styleId="20">
    <w:name w:val="toc 2"/>
    <w:basedOn w:val="a"/>
    <w:next w:val="a"/>
    <w:uiPriority w:val="39"/>
    <w:qFormat/>
    <w:pPr>
      <w:ind w:firstLine="420"/>
      <w:jc w:val="left"/>
    </w:pPr>
    <w:rPr>
      <w:rFonts w:ascii="等线" w:eastAsia="Kaiti SC" w:hAnsi="等线"/>
      <w:bCs/>
      <w:sz w:val="24"/>
      <w:szCs w:val="22"/>
    </w:rPr>
  </w:style>
  <w:style w:type="paragraph" w:styleId="a8">
    <w:name w:val="Title"/>
    <w:basedOn w:val="a"/>
    <w:qFormat/>
    <w:pPr>
      <w:spacing w:before="240" w:after="60"/>
      <w:jc w:val="center"/>
      <w:outlineLvl w:val="0"/>
    </w:pPr>
    <w:rPr>
      <w:rFonts w:ascii="DejaVu Sans" w:hAnsi="DejaVu Sans"/>
      <w:b/>
    </w:rPr>
  </w:style>
  <w:style w:type="paragraph" w:styleId="a9">
    <w:name w:val="annotation subject"/>
    <w:basedOn w:val="a4"/>
    <w:next w:val="a4"/>
    <w:link w:val="Char3"/>
    <w:qFormat/>
    <w:rPr>
      <w:b/>
      <w:bCs/>
      <w:kern w:val="2"/>
      <w:sz w:val="32"/>
    </w:rPr>
  </w:style>
  <w:style w:type="character" w:styleId="aa">
    <w:name w:val="Hyperlink"/>
    <w:basedOn w:val="a1"/>
    <w:uiPriority w:val="99"/>
    <w:unhideWhenUsed/>
    <w:qFormat/>
    <w:rPr>
      <w:color w:val="0563C1" w:themeColor="hyperlink"/>
      <w:u w:val="single"/>
    </w:rPr>
  </w:style>
  <w:style w:type="character" w:styleId="ab">
    <w:name w:val="annotation reference"/>
    <w:basedOn w:val="a1"/>
    <w:qFormat/>
    <w:rPr>
      <w:sz w:val="21"/>
      <w:szCs w:val="21"/>
    </w:rPr>
  </w:style>
  <w:style w:type="paragraph" w:customStyle="1" w:styleId="ac">
    <w:name w:val="表格文字"/>
    <w:basedOn w:val="a"/>
    <w:qFormat/>
    <w:pPr>
      <w:spacing w:line="240" w:lineRule="auto"/>
      <w:ind w:firstLineChars="0" w:firstLine="0"/>
    </w:pPr>
    <w:rPr>
      <w:b/>
      <w:sz w:val="21"/>
    </w:rPr>
  </w:style>
  <w:style w:type="character" w:customStyle="1" w:styleId="2Char">
    <w:name w:val="标题 2 Char"/>
    <w:link w:val="2"/>
    <w:qFormat/>
    <w:rPr>
      <w:rFonts w:ascii="Times New Roman" w:eastAsia="仿宋" w:hAnsi="Times New Roman"/>
      <w:b/>
      <w:sz w:val="32"/>
    </w:rPr>
  </w:style>
  <w:style w:type="character" w:customStyle="1" w:styleId="Char0">
    <w:name w:val="批注框文本 Char"/>
    <w:basedOn w:val="a1"/>
    <w:link w:val="a5"/>
    <w:qFormat/>
    <w:rPr>
      <w:rFonts w:eastAsia="仿宋"/>
      <w:kern w:val="2"/>
      <w:sz w:val="18"/>
      <w:szCs w:val="18"/>
    </w:rPr>
  </w:style>
  <w:style w:type="paragraph" w:customStyle="1" w:styleId="11">
    <w:name w:val="列表段落1"/>
    <w:basedOn w:val="a"/>
    <w:uiPriority w:val="99"/>
    <w:qFormat/>
    <w:pPr>
      <w:ind w:firstLine="420"/>
    </w:pPr>
  </w:style>
  <w:style w:type="character" w:customStyle="1" w:styleId="Char">
    <w:name w:val="批注文字 Char"/>
    <w:basedOn w:val="a1"/>
    <w:link w:val="a4"/>
    <w:qFormat/>
    <w:rPr>
      <w:rFonts w:eastAsia="仿宋"/>
      <w:szCs w:val="24"/>
    </w:rPr>
  </w:style>
  <w:style w:type="character" w:customStyle="1" w:styleId="Char3">
    <w:name w:val="批注主题 Char"/>
    <w:basedOn w:val="Char"/>
    <w:link w:val="a9"/>
    <w:qFormat/>
    <w:rPr>
      <w:rFonts w:eastAsia="仿宋"/>
      <w:b/>
      <w:bCs/>
      <w:kern w:val="2"/>
      <w:sz w:val="32"/>
      <w:szCs w:val="24"/>
    </w:rPr>
  </w:style>
  <w:style w:type="character" w:customStyle="1" w:styleId="Char2">
    <w:name w:val="页眉 Char"/>
    <w:basedOn w:val="a1"/>
    <w:link w:val="a7"/>
    <w:qFormat/>
    <w:rPr>
      <w:rFonts w:eastAsia="仿宋"/>
      <w:kern w:val="2"/>
      <w:sz w:val="18"/>
      <w:szCs w:val="18"/>
    </w:rPr>
  </w:style>
  <w:style w:type="character" w:customStyle="1" w:styleId="Char1">
    <w:name w:val="页脚 Char"/>
    <w:basedOn w:val="a1"/>
    <w:link w:val="a6"/>
    <w:uiPriority w:val="99"/>
    <w:qFormat/>
    <w:rPr>
      <w:rFonts w:eastAsia="仿宋"/>
      <w:kern w:val="2"/>
      <w:sz w:val="18"/>
      <w:szCs w:val="18"/>
    </w:rPr>
  </w:style>
  <w:style w:type="character" w:customStyle="1" w:styleId="12">
    <w:name w:val="正文1 字符"/>
    <w:link w:val="13"/>
    <w:uiPriority w:val="3"/>
    <w:qFormat/>
    <w:locked/>
    <w:rPr>
      <w:rFonts w:ascii="仿宋_GB2312" w:eastAsia="仿宋_GB2312"/>
      <w:sz w:val="32"/>
      <w:szCs w:val="28"/>
      <w:lang w:val="zh-CN"/>
    </w:rPr>
  </w:style>
  <w:style w:type="paragraph" w:customStyle="1" w:styleId="13">
    <w:name w:val="正文1"/>
    <w:basedOn w:val="a"/>
    <w:link w:val="12"/>
    <w:uiPriority w:val="3"/>
    <w:qFormat/>
    <w:pPr>
      <w:spacing w:line="580" w:lineRule="exact"/>
      <w:ind w:firstLine="640"/>
    </w:pPr>
    <w:rPr>
      <w:rFonts w:ascii="仿宋_GB2312" w:eastAsia="仿宋_GB2312"/>
      <w:kern w:val="0"/>
      <w:szCs w:val="28"/>
      <w:lang w:val="zh-CN"/>
    </w:rPr>
  </w:style>
  <w:style w:type="paragraph" w:customStyle="1" w:styleId="ad">
    <w:name w:val="封面完成时间"/>
    <w:basedOn w:val="ae"/>
    <w:qFormat/>
    <w:pPr>
      <w:ind w:leftChars="0" w:left="0"/>
      <w:jc w:val="center"/>
    </w:pPr>
    <w:rPr>
      <w:b/>
    </w:rPr>
  </w:style>
  <w:style w:type="paragraph" w:customStyle="1" w:styleId="ae">
    <w:name w:val="封面项目信息"/>
    <w:basedOn w:val="a"/>
    <w:next w:val="ad"/>
    <w:qFormat/>
    <w:pPr>
      <w:spacing w:before="120" w:line="240" w:lineRule="auto"/>
      <w:ind w:leftChars="800" w:left="800" w:firstLineChars="0" w:firstLine="0"/>
      <w:jc w:val="left"/>
    </w:pPr>
    <w:rPr>
      <w:rFonts w:eastAsia="黑体"/>
      <w:kern w:val="0"/>
      <w:sz w:val="28"/>
      <w:szCs w:val="28"/>
      <w:lang w:val="zh-CN"/>
    </w:rPr>
  </w:style>
  <w:style w:type="paragraph" w:customStyle="1" w:styleId="14">
    <w:name w:val="页码1"/>
    <w:uiPriority w:val="6"/>
    <w:qFormat/>
    <w:pPr>
      <w:jc w:val="center"/>
    </w:pPr>
    <w:rPr>
      <w:rFonts w:eastAsia="Times New Roman"/>
      <w:sz w:val="21"/>
      <w:szCs w:val="28"/>
    </w:rPr>
  </w:style>
  <w:style w:type="character" w:customStyle="1" w:styleId="af">
    <w:name w:val="表 字符"/>
    <w:link w:val="af0"/>
    <w:qFormat/>
    <w:rPr>
      <w:rFonts w:eastAsia="楷体"/>
      <w:b/>
      <w:sz w:val="24"/>
      <w:szCs w:val="28"/>
    </w:rPr>
  </w:style>
  <w:style w:type="paragraph" w:customStyle="1" w:styleId="af0">
    <w:name w:val="表"/>
    <w:basedOn w:val="a"/>
    <w:link w:val="af"/>
    <w:qFormat/>
    <w:pPr>
      <w:widowControl/>
      <w:spacing w:before="60" w:after="60" w:line="240" w:lineRule="auto"/>
      <w:ind w:firstLineChars="0" w:firstLine="0"/>
      <w:jc w:val="center"/>
    </w:pPr>
    <w:rPr>
      <w:rFonts w:eastAsia="楷体"/>
      <w:b/>
      <w:kern w:val="0"/>
      <w:sz w:val="24"/>
      <w:szCs w:val="28"/>
    </w:rPr>
  </w:style>
  <w:style w:type="paragraph" w:customStyle="1" w:styleId="af1">
    <w:name w:val="闻政页码"/>
    <w:uiPriority w:val="6"/>
    <w:qFormat/>
    <w:pPr>
      <w:jc w:val="center"/>
    </w:pPr>
    <w:rPr>
      <w:rFonts w:eastAsia="Times New Roman"/>
      <w:sz w:val="21"/>
      <w:szCs w:val="28"/>
    </w:rPr>
  </w:style>
  <w:style w:type="paragraph" w:customStyle="1" w:styleId="WPSOffice1">
    <w:name w:val="WPSOffice手动目录 1"/>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945</Words>
  <Characters>5391</Characters>
  <Application>Microsoft Office Word</Application>
  <DocSecurity>0</DocSecurity>
  <Lines>44</Lines>
  <Paragraphs>12</Paragraphs>
  <ScaleCrop>false</ScaleCrop>
  <Company>HP</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shiwengong</dc:creator>
  <cp:lastModifiedBy>admin</cp:lastModifiedBy>
  <cp:revision>2</cp:revision>
  <cp:lastPrinted>2021-07-28T06:45:00Z</cp:lastPrinted>
  <dcterms:created xsi:type="dcterms:W3CDTF">2021-09-15T08:08:00Z</dcterms:created>
  <dcterms:modified xsi:type="dcterms:W3CDTF">2021-09-15T08:08:00Z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