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spacing w:line="560" w:lineRule="exact"/>
        <w:ind w:firstLineChars="0" w:firstLine="0"/>
        <w:jc w:val="center"/>
        <w:rPr>
          <w:rFonts w:ascii="方正小标宋_GBK" w:eastAsia="方正小标宋_GBK" w:cs="文星简黑体"/>
          <w:sz w:val="44"/>
          <w:szCs w:val="44"/>
        </w:rPr>
      </w:pPr>
    </w:p>
    <w:p w:rsidR="006D18F2" w:rsidRDefault="00155297">
      <w:pPr>
        <w:spacing w:line="560" w:lineRule="exact"/>
        <w:ind w:firstLineChars="0" w:firstLine="0"/>
        <w:jc w:val="center"/>
        <w:rPr>
          <w:rFonts w:ascii="方正小标宋_GBK" w:eastAsia="方正小标宋_GBK" w:cs="文星简黑体"/>
          <w:sz w:val="44"/>
          <w:szCs w:val="44"/>
        </w:rPr>
      </w:pPr>
      <w:r>
        <w:rPr>
          <w:rFonts w:ascii="方正小标宋_GBK" w:eastAsia="方正小标宋_GBK" w:cs="文星简黑体" w:hint="eastAsia"/>
          <w:sz w:val="44"/>
          <w:szCs w:val="44"/>
        </w:rPr>
        <w:t>2020年度电子政务平台运行资金</w:t>
      </w:r>
    </w:p>
    <w:p w:rsidR="006D18F2" w:rsidRDefault="00155297">
      <w:pPr>
        <w:spacing w:line="560" w:lineRule="exact"/>
        <w:ind w:firstLineChars="0" w:firstLine="0"/>
        <w:jc w:val="center"/>
        <w:rPr>
          <w:rFonts w:ascii="方正小标宋_GBK" w:eastAsia="方正小标宋_GBK" w:cs="文星简黑体"/>
          <w:sz w:val="44"/>
          <w:szCs w:val="44"/>
        </w:rPr>
      </w:pPr>
      <w:r>
        <w:rPr>
          <w:rFonts w:ascii="方正小标宋_GBK" w:eastAsia="方正小标宋_GBK" w:cs="文星简黑体" w:hint="eastAsia"/>
          <w:sz w:val="44"/>
          <w:szCs w:val="44"/>
        </w:rPr>
        <w:t>项目支出财政绩效评价报告</w:t>
      </w: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420"/>
        <w:jc w:val="both"/>
        <w:rPr>
          <w:rFonts w:ascii="宋体" w:eastAsia="宋体" w:hAnsi="宋体" w:cs="宋体"/>
        </w:rPr>
      </w:pPr>
    </w:p>
    <w:p w:rsidR="006D18F2" w:rsidRDefault="006D18F2">
      <w:pPr>
        <w:pStyle w:val="14"/>
        <w:spacing w:line="560" w:lineRule="exact"/>
        <w:ind w:firstLineChars="200" w:firstLine="640"/>
        <w:jc w:val="both"/>
        <w:rPr>
          <w:rFonts w:ascii="黑体" w:eastAsia="黑体" w:hAnsi="黑体" w:cs="宋体"/>
          <w:sz w:val="32"/>
          <w:szCs w:val="32"/>
        </w:rPr>
      </w:pPr>
    </w:p>
    <w:p w:rsidR="006D18F2" w:rsidRDefault="006D18F2">
      <w:pPr>
        <w:pStyle w:val="14"/>
        <w:spacing w:line="560" w:lineRule="exact"/>
        <w:ind w:firstLineChars="200" w:firstLine="640"/>
        <w:jc w:val="both"/>
        <w:rPr>
          <w:rFonts w:ascii="黑体" w:eastAsia="黑体" w:hAnsi="黑体" w:cs="宋体"/>
          <w:sz w:val="32"/>
          <w:szCs w:val="32"/>
        </w:rPr>
      </w:pPr>
    </w:p>
    <w:p w:rsidR="006D18F2" w:rsidRDefault="006D18F2">
      <w:pPr>
        <w:pStyle w:val="14"/>
        <w:spacing w:line="560" w:lineRule="exact"/>
        <w:ind w:firstLineChars="200" w:firstLine="640"/>
        <w:jc w:val="both"/>
        <w:rPr>
          <w:rFonts w:ascii="黑体" w:eastAsia="黑体" w:hAnsi="黑体" w:cs="宋体"/>
          <w:sz w:val="32"/>
          <w:szCs w:val="32"/>
        </w:rPr>
      </w:pPr>
    </w:p>
    <w:p w:rsidR="006D18F2" w:rsidRDefault="006D18F2">
      <w:pPr>
        <w:pStyle w:val="14"/>
        <w:spacing w:line="560" w:lineRule="exact"/>
        <w:ind w:firstLineChars="200" w:firstLine="640"/>
        <w:jc w:val="both"/>
        <w:rPr>
          <w:rFonts w:ascii="黑体" w:eastAsia="黑体" w:hAnsi="黑体" w:cs="宋体"/>
          <w:sz w:val="32"/>
          <w:szCs w:val="32"/>
        </w:rPr>
      </w:pPr>
    </w:p>
    <w:p w:rsidR="006D18F2" w:rsidRDefault="006D18F2">
      <w:pPr>
        <w:spacing w:before="120" w:after="120" w:line="560" w:lineRule="exact"/>
        <w:ind w:firstLine="640"/>
        <w:rPr>
          <w:rFonts w:ascii="黑体" w:eastAsia="黑体" w:hAnsi="黑体" w:cs="文星简黑体"/>
          <w:szCs w:val="32"/>
        </w:rPr>
      </w:pPr>
    </w:p>
    <w:p w:rsidR="006D18F2" w:rsidRDefault="00155297">
      <w:pPr>
        <w:spacing w:before="120" w:after="120" w:line="560" w:lineRule="exact"/>
        <w:ind w:firstLine="640"/>
        <w:jc w:val="center"/>
        <w:rPr>
          <w:rFonts w:ascii="黑体" w:eastAsia="黑体" w:hAnsi="黑体" w:cs="文星简黑体"/>
          <w:szCs w:val="32"/>
        </w:rPr>
      </w:pPr>
      <w:r>
        <w:rPr>
          <w:rFonts w:ascii="黑体" w:eastAsia="黑体" w:hAnsi="黑体" w:cs="文星简黑体" w:hint="eastAsia"/>
          <w:szCs w:val="32"/>
        </w:rPr>
        <w:t>2021年7月</w:t>
      </w:r>
    </w:p>
    <w:p w:rsidR="006D18F2" w:rsidRDefault="006D18F2">
      <w:pPr>
        <w:spacing w:line="560" w:lineRule="exact"/>
        <w:ind w:firstLine="640"/>
        <w:rPr>
          <w:rFonts w:ascii="黑体" w:hAnsi="黑体"/>
          <w:szCs w:val="32"/>
        </w:rPr>
      </w:pPr>
    </w:p>
    <w:p w:rsidR="006D18F2" w:rsidRDefault="006D18F2">
      <w:pPr>
        <w:spacing w:line="560" w:lineRule="exact"/>
        <w:ind w:firstLine="640"/>
        <w:rPr>
          <w:rFonts w:ascii="黑体" w:hAnsi="黑体"/>
          <w:szCs w:val="32"/>
        </w:rPr>
      </w:pPr>
    </w:p>
    <w:p w:rsidR="006D18F2" w:rsidRDefault="006D18F2">
      <w:pPr>
        <w:spacing w:line="560" w:lineRule="exact"/>
        <w:ind w:firstLine="640"/>
        <w:rPr>
          <w:rFonts w:ascii="黑体" w:hAnsi="黑体"/>
          <w:szCs w:val="32"/>
        </w:rPr>
      </w:pPr>
    </w:p>
    <w:p w:rsidR="006D18F2" w:rsidRDefault="006D18F2">
      <w:pPr>
        <w:spacing w:line="560" w:lineRule="exact"/>
        <w:ind w:firstLine="640"/>
        <w:rPr>
          <w:rFonts w:ascii="黑体" w:hAnsi="黑体"/>
          <w:szCs w:val="32"/>
        </w:rPr>
      </w:pPr>
    </w:p>
    <w:p w:rsidR="006D18F2" w:rsidRDefault="006D18F2">
      <w:pPr>
        <w:pStyle w:val="a0"/>
        <w:spacing w:line="560" w:lineRule="exact"/>
        <w:ind w:firstLine="480"/>
      </w:pPr>
    </w:p>
    <w:p w:rsidR="006D18F2" w:rsidRDefault="00155297">
      <w:pPr>
        <w:spacing w:line="560" w:lineRule="exact"/>
        <w:ind w:firstLine="880"/>
        <w:jc w:val="center"/>
        <w:rPr>
          <w:rFonts w:ascii="方正小标宋_GBK" w:eastAsia="方正小标宋_GBK" w:cs="文星简黑体"/>
          <w:sz w:val="44"/>
          <w:szCs w:val="44"/>
        </w:rPr>
      </w:pPr>
      <w:bookmarkStart w:id="0" w:name="_Toc31945"/>
      <w:bookmarkStart w:id="1" w:name="_Toc1714762943"/>
      <w:bookmarkStart w:id="2" w:name="_Toc77895209"/>
      <w:bookmarkStart w:id="3" w:name="_Toc18394"/>
      <w:r>
        <w:rPr>
          <w:rFonts w:ascii="方正小标宋_GBK" w:eastAsia="方正小标宋_GBK" w:cs="文星简黑体" w:hint="eastAsia"/>
          <w:sz w:val="44"/>
          <w:szCs w:val="44"/>
        </w:rPr>
        <w:lastRenderedPageBreak/>
        <w:t>2020年度电子政务平台运行资金</w:t>
      </w:r>
    </w:p>
    <w:p w:rsidR="006D18F2" w:rsidRDefault="00155297">
      <w:pPr>
        <w:spacing w:line="560" w:lineRule="exact"/>
        <w:ind w:firstLine="880"/>
        <w:jc w:val="center"/>
        <w:rPr>
          <w:rFonts w:ascii="方正小标宋_GBK" w:eastAsia="方正小标宋_GBK" w:cs="文星简黑体"/>
          <w:sz w:val="44"/>
          <w:szCs w:val="44"/>
        </w:rPr>
      </w:pPr>
      <w:r>
        <w:rPr>
          <w:rFonts w:ascii="方正小标宋_GBK" w:eastAsia="方正小标宋_GBK" w:cs="文星简黑体" w:hint="eastAsia"/>
          <w:sz w:val="44"/>
          <w:szCs w:val="44"/>
        </w:rPr>
        <w:t>项目支出财政绩效评价报告</w:t>
      </w:r>
    </w:p>
    <w:p w:rsidR="006D18F2" w:rsidRDefault="006D18F2">
      <w:pPr>
        <w:spacing w:line="560" w:lineRule="exact"/>
        <w:ind w:firstLine="640"/>
        <w:rPr>
          <w:rFonts w:ascii="黑体" w:eastAsia="黑体" w:hAnsi="黑体"/>
          <w:szCs w:val="32"/>
        </w:rPr>
      </w:pPr>
    </w:p>
    <w:p w:rsidR="006D18F2" w:rsidRDefault="00155297">
      <w:pPr>
        <w:spacing w:line="600" w:lineRule="exact"/>
        <w:ind w:firstLine="640"/>
        <w:outlineLvl w:val="0"/>
        <w:rPr>
          <w:rFonts w:ascii="黑体" w:eastAsia="黑体" w:hAnsi="黑体"/>
          <w:szCs w:val="32"/>
        </w:rPr>
      </w:pPr>
      <w:r>
        <w:rPr>
          <w:rFonts w:ascii="黑体" w:eastAsia="黑体" w:hAnsi="黑体" w:hint="eastAsia"/>
          <w:szCs w:val="32"/>
        </w:rPr>
        <w:t>一、项目基本情况</w:t>
      </w:r>
      <w:bookmarkEnd w:id="0"/>
      <w:bookmarkEnd w:id="1"/>
      <w:bookmarkEnd w:id="2"/>
      <w:bookmarkEnd w:id="3"/>
    </w:p>
    <w:p w:rsidR="006D18F2" w:rsidRDefault="00155297">
      <w:pPr>
        <w:spacing w:line="600" w:lineRule="exact"/>
        <w:ind w:firstLine="640"/>
        <w:outlineLvl w:val="1"/>
        <w:rPr>
          <w:rFonts w:ascii="楷体_GB2312" w:eastAsia="楷体_GB2312"/>
          <w:szCs w:val="32"/>
        </w:rPr>
      </w:pPr>
      <w:bookmarkStart w:id="4" w:name="_Toc13674"/>
      <w:bookmarkStart w:id="5" w:name="_Toc18333"/>
      <w:bookmarkStart w:id="6" w:name="_Toc790240261"/>
      <w:bookmarkStart w:id="7" w:name="_Toc77895210"/>
      <w:r>
        <w:rPr>
          <w:rFonts w:ascii="楷体_GB2312" w:eastAsia="楷体_GB2312" w:hint="eastAsia"/>
          <w:szCs w:val="32"/>
        </w:rPr>
        <w:t>（一）项目概况</w:t>
      </w:r>
      <w:bookmarkEnd w:id="4"/>
      <w:bookmarkEnd w:id="5"/>
      <w:bookmarkEnd w:id="6"/>
      <w:bookmarkEnd w:id="7"/>
    </w:p>
    <w:p w:rsidR="006D18F2" w:rsidRDefault="00155297">
      <w:pPr>
        <w:spacing w:line="560" w:lineRule="exact"/>
        <w:ind w:firstLine="640"/>
        <w:rPr>
          <w:rFonts w:ascii="仿宋_GB2312" w:eastAsia="仿宋_GB2312" w:hAnsi="仿宋_GB2312" w:cs="仿宋_GB2312"/>
          <w:szCs w:val="32"/>
        </w:rPr>
      </w:pPr>
      <w:bookmarkStart w:id="8" w:name="_Toc77895211"/>
      <w:bookmarkStart w:id="9" w:name="_Toc1529193579"/>
      <w:r>
        <w:rPr>
          <w:rFonts w:ascii="仿宋_GB2312" w:eastAsia="仿宋_GB2312" w:hAnsi="仿宋_GB2312" w:cs="仿宋_GB2312" w:hint="eastAsia"/>
          <w:szCs w:val="32"/>
        </w:rPr>
        <w:t>1.项目立项背景</w:t>
      </w:r>
      <w:bookmarkEnd w:id="8"/>
      <w:bookmarkEnd w:id="9"/>
    </w:p>
    <w:p w:rsidR="006D18F2" w:rsidRDefault="00155297">
      <w:pPr>
        <w:spacing w:line="560" w:lineRule="exact"/>
        <w:ind w:firstLine="640"/>
        <w:rPr>
          <w:rFonts w:ascii="仿宋_GB2312" w:eastAsia="仿宋_GB2312" w:hAnsi="仿宋_GB2312" w:cs="仿宋_GB2312"/>
          <w:szCs w:val="32"/>
          <w:lang/>
        </w:rPr>
      </w:pPr>
      <w:r>
        <w:rPr>
          <w:rFonts w:ascii="仿宋_GB2312" w:eastAsia="仿宋_GB2312" w:hAnsi="仿宋_GB2312" w:cs="仿宋_GB2312" w:hint="eastAsia"/>
          <w:szCs w:val="32"/>
          <w:lang/>
        </w:rPr>
        <w:t>为积极响应习近平总书记对国家信息化发展做出的战略部署</w:t>
      </w:r>
      <w:r>
        <w:rPr>
          <w:rFonts w:ascii="仿宋_GB2312" w:eastAsia="仿宋_GB2312" w:hAnsi="仿宋_GB2312" w:cs="仿宋_GB2312" w:hint="eastAsia"/>
          <w:szCs w:val="32"/>
        </w:rPr>
        <w:t>，贯彻落实</w:t>
      </w:r>
      <w:r>
        <w:rPr>
          <w:rFonts w:ascii="仿宋_GB2312" w:eastAsia="仿宋_GB2312" w:hAnsi="仿宋_GB2312" w:cs="仿宋_GB2312" w:hint="eastAsia"/>
          <w:szCs w:val="32"/>
          <w:lang/>
        </w:rPr>
        <w:t>推动“数字中国”建设</w:t>
      </w:r>
      <w:r>
        <w:rPr>
          <w:rFonts w:ascii="仿宋_GB2312" w:eastAsia="仿宋_GB2312" w:hAnsi="仿宋_GB2312" w:cs="仿宋_GB2312" w:hint="eastAsia"/>
          <w:szCs w:val="32"/>
        </w:rPr>
        <w:t>要求</w:t>
      </w:r>
      <w:r>
        <w:rPr>
          <w:rFonts w:ascii="仿宋_GB2312" w:eastAsia="仿宋_GB2312" w:hAnsi="仿宋_GB2312" w:cs="仿宋_GB2312" w:hint="eastAsia"/>
          <w:szCs w:val="32"/>
          <w:lang/>
        </w:rPr>
        <w:t>，强化青岛市电子政务统筹整合</w:t>
      </w:r>
      <w:r>
        <w:rPr>
          <w:rFonts w:ascii="仿宋_GB2312" w:eastAsia="仿宋_GB2312" w:hAnsi="仿宋_GB2312" w:cs="仿宋_GB2312" w:hint="eastAsia"/>
          <w:szCs w:val="32"/>
        </w:rPr>
        <w:t>效果</w:t>
      </w:r>
      <w:r>
        <w:rPr>
          <w:rFonts w:ascii="仿宋_GB2312" w:eastAsia="仿宋_GB2312" w:hAnsi="仿宋_GB2312" w:cs="仿宋_GB2312" w:hint="eastAsia"/>
          <w:szCs w:val="32"/>
          <w:lang/>
        </w:rPr>
        <w:t>，提高资源集中共享和业务协同水平，根据《数字山东发展规划（2018-2022年）》提出的“打造政府数字治理新模式，提升政府社会治理水平”</w:t>
      </w:r>
      <w:r>
        <w:rPr>
          <w:rFonts w:ascii="仿宋_GB2312" w:eastAsia="仿宋_GB2312" w:hAnsi="仿宋_GB2312" w:cs="仿宋_GB2312" w:hint="eastAsia"/>
          <w:szCs w:val="32"/>
        </w:rPr>
        <w:t>、</w:t>
      </w:r>
      <w:r>
        <w:rPr>
          <w:rFonts w:ascii="仿宋_GB2312" w:eastAsia="仿宋_GB2312" w:hAnsi="仿宋_GB2312" w:cs="仿宋_GB2312" w:hint="eastAsia"/>
          <w:szCs w:val="32"/>
          <w:lang/>
        </w:rPr>
        <w:t>青岛市人民政府办公厅《关于印发&lt;数字青岛2020年行动方案&gt;的通知》（青政办字</w:t>
      </w:r>
      <w:r>
        <w:rPr>
          <w:rFonts w:ascii="仿宋_GB2312" w:eastAsia="仿宋_GB2312" w:hAnsi="仿宋_GB2312" w:cs="仿宋_GB2312" w:hint="eastAsia"/>
          <w:szCs w:val="32"/>
        </w:rPr>
        <w:t>〔2020〕</w:t>
      </w:r>
      <w:r>
        <w:rPr>
          <w:rFonts w:ascii="仿宋_GB2312" w:eastAsia="仿宋_GB2312" w:hAnsi="仿宋_GB2312" w:cs="仿宋_GB2312" w:hint="eastAsia"/>
          <w:szCs w:val="32"/>
          <w:lang/>
        </w:rPr>
        <w:t>10号）提出的“加快发展新一代数字设施，加快数字化转型支撑保障”</w:t>
      </w:r>
      <w:r>
        <w:rPr>
          <w:rFonts w:ascii="仿宋_GB2312" w:eastAsia="仿宋_GB2312" w:hAnsi="仿宋_GB2312" w:cs="仿宋_GB2312" w:hint="eastAsia"/>
          <w:szCs w:val="32"/>
        </w:rPr>
        <w:t>等政策文件</w:t>
      </w:r>
      <w:r>
        <w:rPr>
          <w:rFonts w:ascii="仿宋_GB2312" w:eastAsia="仿宋_GB2312" w:hAnsi="仿宋_GB2312" w:cs="仿宋_GB2312" w:hint="eastAsia"/>
          <w:szCs w:val="32"/>
          <w:lang/>
        </w:rPr>
        <w:t>要求，青岛市大数据发展管理局（以下简称“市大数据局”）于2019年正式</w:t>
      </w:r>
      <w:r>
        <w:rPr>
          <w:rFonts w:ascii="仿宋_GB2312" w:eastAsia="仿宋_GB2312" w:hAnsi="仿宋_GB2312" w:cs="仿宋_GB2312" w:hint="eastAsia"/>
          <w:szCs w:val="32"/>
        </w:rPr>
        <w:t>申报</w:t>
      </w:r>
      <w:r>
        <w:rPr>
          <w:rFonts w:ascii="仿宋_GB2312" w:eastAsia="仿宋_GB2312" w:hAnsi="仿宋_GB2312" w:cs="仿宋_GB2312" w:hint="eastAsia"/>
          <w:szCs w:val="32"/>
          <w:lang/>
        </w:rPr>
        <w:t>开展</w:t>
      </w:r>
      <w:r>
        <w:rPr>
          <w:rFonts w:ascii="仿宋_GB2312" w:eastAsia="仿宋_GB2312" w:hAnsi="仿宋_GB2312" w:cs="仿宋_GB2312" w:hint="eastAsia"/>
          <w:szCs w:val="32"/>
        </w:rPr>
        <w:t>“</w:t>
      </w:r>
      <w:r>
        <w:rPr>
          <w:rFonts w:ascii="仿宋_GB2312" w:eastAsia="仿宋_GB2312" w:hAnsi="仿宋_GB2312" w:cs="仿宋_GB2312" w:hint="eastAsia"/>
          <w:szCs w:val="32"/>
          <w:lang/>
        </w:rPr>
        <w:t>电子政务平台运行资金</w:t>
      </w:r>
      <w:r>
        <w:rPr>
          <w:rFonts w:ascii="仿宋_GB2312" w:eastAsia="仿宋_GB2312" w:hAnsi="仿宋_GB2312" w:cs="仿宋_GB2312" w:hint="eastAsia"/>
          <w:szCs w:val="32"/>
        </w:rPr>
        <w:t>”</w:t>
      </w:r>
      <w:r>
        <w:rPr>
          <w:rFonts w:ascii="仿宋_GB2312" w:eastAsia="仿宋_GB2312" w:hAnsi="仿宋_GB2312" w:cs="仿宋_GB2312" w:hint="eastAsia"/>
          <w:szCs w:val="32"/>
          <w:lang/>
        </w:rPr>
        <w:t>项目，</w:t>
      </w:r>
      <w:r>
        <w:rPr>
          <w:rFonts w:ascii="仿宋_GB2312" w:eastAsia="仿宋_GB2312" w:hAnsi="仿宋_GB2312" w:cs="仿宋_GB2312" w:hint="eastAsia"/>
          <w:szCs w:val="32"/>
        </w:rPr>
        <w:t>2020年</w:t>
      </w:r>
      <w:r>
        <w:rPr>
          <w:rFonts w:ascii="仿宋_GB2312" w:eastAsia="仿宋_GB2312" w:hAnsi="仿宋_GB2312" w:cs="仿宋_GB2312" w:hint="eastAsia"/>
          <w:szCs w:val="32"/>
          <w:lang/>
        </w:rPr>
        <w:t>市大数据局继续申报运行此项目</w:t>
      </w:r>
      <w:r>
        <w:rPr>
          <w:rFonts w:ascii="仿宋_GB2312" w:eastAsia="仿宋_GB2312" w:hAnsi="仿宋_GB2312" w:cs="仿宋_GB2312" w:hint="eastAsia"/>
          <w:szCs w:val="32"/>
        </w:rPr>
        <w:t>，用于支撑服务青岛市电子政务平台各项工作顺利开展</w:t>
      </w:r>
      <w:r>
        <w:rPr>
          <w:rFonts w:ascii="仿宋_GB2312" w:eastAsia="仿宋_GB2312" w:hAnsi="仿宋_GB2312" w:cs="仿宋_GB2312" w:hint="eastAsia"/>
          <w:szCs w:val="32"/>
          <w:lang/>
        </w:rPr>
        <w:t>。</w:t>
      </w:r>
    </w:p>
    <w:p w:rsidR="006D18F2" w:rsidRDefault="00155297">
      <w:pPr>
        <w:spacing w:line="560" w:lineRule="exact"/>
        <w:ind w:firstLine="640"/>
        <w:rPr>
          <w:rFonts w:ascii="仿宋_GB2312" w:eastAsia="仿宋_GB2312" w:hAnsi="仿宋_GB2312" w:cs="仿宋_GB2312"/>
          <w:szCs w:val="32"/>
        </w:rPr>
      </w:pPr>
      <w:bookmarkStart w:id="10" w:name="_Toc72194957"/>
      <w:bookmarkStart w:id="11" w:name="_Toc77895212"/>
      <w:r>
        <w:rPr>
          <w:rFonts w:ascii="仿宋_GB2312" w:eastAsia="仿宋_GB2312" w:hAnsi="仿宋_GB2312" w:cs="仿宋_GB2312" w:hint="eastAsia"/>
          <w:szCs w:val="32"/>
        </w:rPr>
        <w:t>2.项目主要内容及实施情况</w:t>
      </w:r>
      <w:bookmarkEnd w:id="10"/>
      <w:bookmarkEnd w:id="11"/>
    </w:p>
    <w:p w:rsidR="006D18F2" w:rsidRDefault="00155297">
      <w:pPr>
        <w:spacing w:line="560" w:lineRule="exact"/>
        <w:ind w:firstLine="640"/>
        <w:rPr>
          <w:rFonts w:ascii="仿宋_GB2312" w:eastAsia="仿宋_GB2312" w:hAnsi="仿宋_GB2312" w:cs="仿宋_GB2312"/>
          <w:szCs w:val="32"/>
          <w:lang/>
        </w:rPr>
      </w:pPr>
      <w:r>
        <w:rPr>
          <w:rFonts w:ascii="仿宋_GB2312" w:eastAsia="仿宋_GB2312" w:hAnsi="仿宋_GB2312" w:cs="仿宋_GB2312" w:hint="eastAsia"/>
          <w:szCs w:val="32"/>
        </w:rPr>
        <w:t>电子政务平台运行资金</w:t>
      </w:r>
      <w:r>
        <w:rPr>
          <w:rFonts w:ascii="仿宋_GB2312" w:eastAsia="仿宋_GB2312" w:hAnsi="仿宋_GB2312" w:cs="仿宋_GB2312" w:hint="eastAsia"/>
          <w:szCs w:val="32"/>
          <w:lang/>
        </w:rPr>
        <w:t>项目</w:t>
      </w:r>
      <w:r>
        <w:rPr>
          <w:rFonts w:ascii="仿宋_GB2312" w:eastAsia="仿宋_GB2312" w:hAnsi="仿宋_GB2312" w:cs="仿宋_GB2312" w:hint="eastAsia"/>
          <w:szCs w:val="32"/>
        </w:rPr>
        <w:t>2020年工作内容包含“</w:t>
      </w:r>
      <w:r>
        <w:rPr>
          <w:rFonts w:ascii="仿宋_GB2312" w:eastAsia="仿宋_GB2312" w:hAnsi="仿宋_GB2312" w:cs="仿宋_GB2312" w:hint="eastAsia"/>
          <w:szCs w:val="32"/>
          <w:lang/>
        </w:rPr>
        <w:t>共性应用软件升级维护资金</w:t>
      </w:r>
      <w:r>
        <w:rPr>
          <w:rFonts w:ascii="仿宋_GB2312" w:eastAsia="仿宋_GB2312" w:hAnsi="仿宋_GB2312" w:cs="仿宋_GB2312" w:hint="eastAsia"/>
          <w:szCs w:val="32"/>
        </w:rPr>
        <w:t>”和“</w:t>
      </w:r>
      <w:r>
        <w:rPr>
          <w:rFonts w:ascii="仿宋_GB2312" w:eastAsia="仿宋_GB2312" w:hAnsi="仿宋_GB2312" w:cs="仿宋_GB2312" w:hint="eastAsia"/>
          <w:szCs w:val="32"/>
          <w:lang/>
        </w:rPr>
        <w:t>政务大数据和云计算专项资金</w:t>
      </w:r>
      <w:r>
        <w:rPr>
          <w:rFonts w:ascii="仿宋_GB2312" w:eastAsia="仿宋_GB2312" w:hAnsi="仿宋_GB2312" w:cs="仿宋_GB2312" w:hint="eastAsia"/>
          <w:szCs w:val="32"/>
        </w:rPr>
        <w:t>”2</w:t>
      </w:r>
      <w:r>
        <w:rPr>
          <w:rFonts w:ascii="仿宋_GB2312" w:eastAsia="仿宋_GB2312" w:hAnsi="仿宋_GB2312" w:cs="仿宋_GB2312" w:hint="eastAsia"/>
          <w:szCs w:val="32"/>
          <w:lang/>
        </w:rPr>
        <w:t>个</w:t>
      </w:r>
      <w:r>
        <w:rPr>
          <w:rFonts w:ascii="仿宋_GB2312" w:eastAsia="仿宋_GB2312" w:hAnsi="仿宋_GB2312" w:cs="仿宋_GB2312" w:hint="eastAsia"/>
          <w:szCs w:val="32"/>
        </w:rPr>
        <w:t>支出领域的</w:t>
      </w:r>
      <w:r>
        <w:rPr>
          <w:rFonts w:ascii="仿宋_GB2312" w:eastAsia="仿宋_GB2312" w:hAnsi="仿宋_GB2312" w:cs="仿宋_GB2312" w:hint="eastAsia"/>
          <w:szCs w:val="32"/>
          <w:lang/>
        </w:rPr>
        <w:t>共</w:t>
      </w:r>
      <w:r>
        <w:rPr>
          <w:rFonts w:ascii="仿宋_GB2312" w:eastAsia="仿宋_GB2312" w:hAnsi="仿宋_GB2312" w:cs="仿宋_GB2312" w:hint="eastAsia"/>
          <w:szCs w:val="32"/>
        </w:rPr>
        <w:t>计</w:t>
      </w:r>
      <w:r>
        <w:rPr>
          <w:rFonts w:ascii="仿宋_GB2312" w:eastAsia="仿宋_GB2312" w:hAnsi="仿宋_GB2312" w:cs="仿宋_GB2312" w:hint="eastAsia"/>
          <w:szCs w:val="32"/>
          <w:lang/>
        </w:rPr>
        <w:t>23个</w:t>
      </w:r>
      <w:r>
        <w:rPr>
          <w:rFonts w:ascii="仿宋_GB2312" w:eastAsia="仿宋_GB2312" w:hAnsi="仿宋_GB2312" w:cs="仿宋_GB2312" w:hint="eastAsia"/>
          <w:szCs w:val="32"/>
        </w:rPr>
        <w:t>子</w:t>
      </w:r>
      <w:r>
        <w:rPr>
          <w:rFonts w:ascii="仿宋_GB2312" w:eastAsia="仿宋_GB2312" w:hAnsi="仿宋_GB2312" w:cs="仿宋_GB2312" w:hint="eastAsia"/>
          <w:szCs w:val="32"/>
          <w:lang/>
        </w:rPr>
        <w:t>项目。</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其中，“共性应用软件升级维护资金”包含20个子项目，主要为通过购买软件升级运维服务，实现青岛市金宏电</w:t>
      </w:r>
      <w:r>
        <w:rPr>
          <w:rFonts w:ascii="仿宋_GB2312" w:eastAsia="仿宋_GB2312" w:hAnsi="仿宋_GB2312" w:cs="仿宋_GB2312" w:hint="eastAsia"/>
          <w:szCs w:val="32"/>
        </w:rPr>
        <w:lastRenderedPageBreak/>
        <w:t>子政务平台、市视频会议系统、公共信用信息平台、政府网站等软件</w:t>
      </w:r>
      <w:r>
        <w:rPr>
          <w:rFonts w:ascii="仿宋_GB2312" w:eastAsia="仿宋_GB2312" w:hAnsi="仿宋_GB2312" w:cs="仿宋_GB2312" w:hint="eastAsia"/>
          <w:szCs w:val="32"/>
          <w:lang/>
        </w:rPr>
        <w:t>、网站</w:t>
      </w:r>
      <w:r>
        <w:rPr>
          <w:rFonts w:ascii="仿宋_GB2312" w:eastAsia="仿宋_GB2312" w:hAnsi="仿宋_GB2312" w:cs="仿宋_GB2312" w:hint="eastAsia"/>
          <w:szCs w:val="32"/>
        </w:rPr>
        <w:t>的持续稳定运行，保障青岛政务网站群系统内的网站数据安全；“政务大数据和云计算专项资金”包含3个子项目，主要为按照服务目录的形式购买政务云及相关考核评估等服务，为青岛市市直部门的业务系统提供云服务。</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截至2020年12月31日，23个子项目中，19个子项目已全部完成并验收合格，4个子项目（青岛市电子印章平台、青岛市公共信用信息平台运维、地理信息汇集项目运维、政务云综合管理服务系统运维）未开展。4个子项目未开展的主要原因</w:t>
      </w:r>
      <w:r>
        <w:rPr>
          <w:rFonts w:ascii="仿宋_GB2312" w:eastAsia="仿宋_GB2312" w:hAnsi="仿宋_GB2312" w:cs="仿宋_GB2312" w:hint="eastAsia"/>
          <w:szCs w:val="32"/>
          <w:lang/>
        </w:rPr>
        <w:t>见</w:t>
      </w:r>
      <w:r>
        <w:rPr>
          <w:rFonts w:ascii="仿宋_GB2312" w:eastAsia="仿宋_GB2312" w:hAnsi="仿宋_GB2312" w:cs="仿宋_GB2312" w:hint="eastAsia"/>
          <w:szCs w:val="32"/>
        </w:rPr>
        <w:t>《青岛市大数据发展管理局2020年度专项资金部分项目预算执行的说明》（附件3</w:t>
      </w:r>
      <w:r>
        <w:rPr>
          <w:rFonts w:ascii="仿宋_GB2312" w:eastAsia="仿宋_GB2312" w:hAnsi="仿宋_GB2312" w:cs="仿宋_GB2312" w:hint="eastAsia"/>
          <w:szCs w:val="32"/>
          <w:lang/>
        </w:rPr>
        <w:t>）。</w:t>
      </w:r>
      <w:r>
        <w:rPr>
          <w:rFonts w:ascii="仿宋_GB2312" w:eastAsia="仿宋_GB2312" w:hAnsi="仿宋_GB2312" w:cs="仿宋_GB2312" w:hint="eastAsia"/>
          <w:szCs w:val="32"/>
        </w:rPr>
        <w:t>具体</w:t>
      </w:r>
      <w:r>
        <w:rPr>
          <w:rFonts w:ascii="仿宋_GB2312" w:eastAsia="仿宋_GB2312" w:hAnsi="仿宋_GB2312" w:cs="仿宋_GB2312" w:hint="eastAsia"/>
          <w:szCs w:val="32"/>
          <w:lang/>
        </w:rPr>
        <w:t>各</w:t>
      </w:r>
      <w:r>
        <w:rPr>
          <w:rFonts w:ascii="仿宋_GB2312" w:eastAsia="仿宋_GB2312" w:hAnsi="仿宋_GB2312" w:cs="仿宋_GB2312" w:hint="eastAsia"/>
          <w:szCs w:val="32"/>
        </w:rPr>
        <w:t>子</w:t>
      </w:r>
      <w:r>
        <w:rPr>
          <w:rFonts w:ascii="仿宋_GB2312" w:eastAsia="仿宋_GB2312" w:hAnsi="仿宋_GB2312" w:cs="仿宋_GB2312" w:hint="eastAsia"/>
          <w:szCs w:val="32"/>
          <w:lang/>
        </w:rPr>
        <w:t>项目</w:t>
      </w:r>
      <w:r>
        <w:rPr>
          <w:rFonts w:ascii="仿宋_GB2312" w:eastAsia="仿宋_GB2312" w:hAnsi="仿宋_GB2312" w:cs="仿宋_GB2312" w:hint="eastAsia"/>
          <w:szCs w:val="32"/>
        </w:rPr>
        <w:t>主要内容及</w:t>
      </w:r>
      <w:r>
        <w:rPr>
          <w:rFonts w:ascii="仿宋_GB2312" w:eastAsia="仿宋_GB2312" w:hAnsi="仿宋_GB2312" w:cs="仿宋_GB2312" w:hint="eastAsia"/>
          <w:szCs w:val="32"/>
          <w:lang/>
        </w:rPr>
        <w:t>实施情况</w:t>
      </w:r>
      <w:r>
        <w:rPr>
          <w:rFonts w:ascii="仿宋_GB2312" w:eastAsia="仿宋_GB2312" w:hAnsi="仿宋_GB2312" w:cs="仿宋_GB2312" w:hint="eastAsia"/>
          <w:szCs w:val="32"/>
        </w:rPr>
        <w:t>见</w:t>
      </w:r>
      <w:r>
        <w:rPr>
          <w:rFonts w:ascii="仿宋_GB2312" w:eastAsia="仿宋_GB2312" w:hAnsi="仿宋_GB2312" w:cs="仿宋_GB2312" w:hint="eastAsia"/>
          <w:szCs w:val="32"/>
          <w:lang/>
        </w:rPr>
        <w:t>表</w:t>
      </w:r>
      <w:r>
        <w:rPr>
          <w:rFonts w:ascii="仿宋_GB2312" w:eastAsia="仿宋_GB2312" w:hAnsi="仿宋_GB2312" w:cs="仿宋_GB2312" w:hint="eastAsia"/>
          <w:szCs w:val="32"/>
        </w:rPr>
        <w:t>1-1。</w:t>
      </w:r>
    </w:p>
    <w:p w:rsidR="006D18F2" w:rsidRDefault="00155297">
      <w:pPr>
        <w:widowControl/>
        <w:spacing w:line="560" w:lineRule="exact"/>
        <w:ind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表1-1 项目工作任务和完成情况表</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07"/>
        <w:gridCol w:w="1696"/>
        <w:gridCol w:w="705"/>
        <w:gridCol w:w="2674"/>
        <w:gridCol w:w="2135"/>
      </w:tblGrid>
      <w:tr w:rsidR="006D18F2">
        <w:trPr>
          <w:trHeight w:val="600"/>
          <w:tblHeader/>
          <w:jc w:val="center"/>
        </w:trPr>
        <w:tc>
          <w:tcPr>
            <w:tcW w:w="254"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479"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支出领域</w:t>
            </w:r>
          </w:p>
        </w:tc>
        <w:tc>
          <w:tcPr>
            <w:tcW w:w="1004"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子项目名称</w:t>
            </w:r>
          </w:p>
        </w:tc>
        <w:tc>
          <w:tcPr>
            <w:tcW w:w="419"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业务处室</w:t>
            </w:r>
          </w:p>
        </w:tc>
        <w:tc>
          <w:tcPr>
            <w:tcW w:w="1581"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主要工作内容</w:t>
            </w:r>
          </w:p>
        </w:tc>
        <w:tc>
          <w:tcPr>
            <w:tcW w:w="1263" w:type="pct"/>
            <w:tcBorders>
              <w:bottom w:val="single" w:sz="4" w:space="0" w:color="auto"/>
            </w:tcBorders>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r>
      <w:tr w:rsidR="006D18F2">
        <w:trPr>
          <w:trHeight w:val="174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79" w:type="pct"/>
            <w:vMerge w:val="restar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共性应用软件升级维护资金</w:t>
            </w: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网站管理运维服务</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对青岛政务网、政府门户网站群平台内部门户网站进行运维</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共维护系统模块20个，服务期限内各系统未发生故障，验收合格</w:t>
            </w:r>
          </w:p>
        </w:tc>
      </w:tr>
      <w:tr w:rsidR="006D18F2">
        <w:trPr>
          <w:trHeight w:val="1524"/>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网站无障碍和简繁体服务</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对青岛政务网开展无障碍和简繁体服务</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支持55个网站群的网页无障碍辅助浏览服务，</w:t>
            </w:r>
            <w:r>
              <w:rPr>
                <w:rFonts w:ascii="仿宋_GB2312" w:eastAsia="仿宋_GB2312" w:hAnsi="仿宋_GB2312" w:cs="仿宋_GB2312" w:hint="eastAsia"/>
                <w:sz w:val="24"/>
              </w:rPr>
              <w:lastRenderedPageBreak/>
              <w:t>进行巡检4次，验收合格</w:t>
            </w:r>
          </w:p>
        </w:tc>
      </w:tr>
      <w:tr w:rsidR="006D18F2">
        <w:trPr>
          <w:trHeight w:val="1586"/>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网上办事服务平台（一期工程）运维服务</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对青岛市网上办事服务平台开展运维</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开展4次系统巡检，未发生故障，验收合格</w:t>
            </w:r>
          </w:p>
        </w:tc>
      </w:tr>
      <w:tr w:rsidR="006D18F2">
        <w:trPr>
          <w:trHeight w:val="600"/>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政务网网上政务信息资源整合共享服务梳理和规划设计咨询服务</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购买服务，包括设计青岛政务网网上政务信息资源库、网上政务公开目录和重点领域专题；设计网上便民利企服务专题；设计网上服务功能页面展示；编制网上政务信息资源整合共享的管理规范</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完成12个便民利企服务专题和8个政务公开重点领域专题的规划设计，验收合格</w:t>
            </w:r>
          </w:p>
        </w:tc>
      </w:tr>
      <w:tr w:rsidR="006D18F2">
        <w:trPr>
          <w:trHeight w:val="800"/>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金宏电子政务平台运维</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对金宏电子政务平台进行运维</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全年巡检12次，未发生故障，部门满意度90%，验收合格</w:t>
            </w:r>
          </w:p>
        </w:tc>
      </w:tr>
      <w:tr w:rsidR="006D18F2">
        <w:trPr>
          <w:trHeight w:val="600"/>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视频会议系统运维费</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w:t>
            </w:r>
            <w:r>
              <w:rPr>
                <w:rFonts w:ascii="仿宋_GB2312" w:eastAsia="仿宋_GB2312" w:hAnsi="仿宋_GB2312" w:cs="仿宋_GB2312" w:hint="eastAsia"/>
                <w:sz w:val="24"/>
              </w:rPr>
              <w:lastRenderedPageBreak/>
              <w:t>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对金宏视频会议系统进行运维</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共维护服务器12个，全年巡</w:t>
            </w:r>
            <w:r>
              <w:rPr>
                <w:rFonts w:ascii="仿宋_GB2312" w:eastAsia="仿宋_GB2312" w:hAnsi="仿宋_GB2312" w:cs="仿宋_GB2312" w:hint="eastAsia"/>
                <w:sz w:val="24"/>
              </w:rPr>
              <w:lastRenderedPageBreak/>
              <w:t>检4次，未发生故障，验收合格</w:t>
            </w:r>
          </w:p>
        </w:tc>
      </w:tr>
      <w:tr w:rsidR="006D18F2">
        <w:trPr>
          <w:trHeight w:val="600"/>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网站外文翻译</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购买外文翻译服务</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每日完成翻译1000字，翻译正确率99%，全年无投诉，验收合格</w:t>
            </w:r>
          </w:p>
        </w:tc>
      </w:tr>
      <w:tr w:rsidR="006D18F2">
        <w:trPr>
          <w:trHeight w:val="1748"/>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政民沟通平台运维服务</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对政民沟通平台内网络问政系统、政府信箱系统、征集调查系统、书记信箱系统、政民互动数据分析系统五个系统进行运维</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全年系统巡检12次，系统无故障，验收合格</w:t>
            </w:r>
          </w:p>
        </w:tc>
      </w:tr>
      <w:tr w:rsidR="006D18F2">
        <w:trPr>
          <w:trHeight w:val="892"/>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青岛市电子印章平台</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建设全市统一的电子印章平台</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政务网站群监测服务</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购买服务，包括全国政府网站大数据监管平台账号；季度抽查政务网站群，并出具抽查意见和报告</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维护20个系统模块，无故障情况，验收合格</w:t>
            </w:r>
          </w:p>
        </w:tc>
      </w:tr>
      <w:tr w:rsidR="006D18F2">
        <w:trPr>
          <w:trHeight w:val="181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11</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青岛市互联网+移动办事平台服务项目</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购买青岛市互联网+移动办事平台基础服务和增值服务。基础服务为建设互联网+移动办事平台；增值服务为新增需求的实现。</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共整合7000项事项，系统巡检12次，无故障情况，验收合格</w:t>
            </w:r>
          </w:p>
        </w:tc>
      </w:tr>
      <w:tr w:rsidR="006D18F2">
        <w:trPr>
          <w:trHeight w:val="2389"/>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青岛市政务移动协同平台（青岛通）</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581"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服务：主合同+监管合同+等保测评合同+软件评测合同。购买青岛通基础服务、增值服务以及相关的监管、等保测评、软件测评服务。基础服务为建设政务移动协同平台；增值服务为新增需求的实现。</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组织系统巡检4次，升级10次，系统开发JSSDK接口200个，系统开发服务端接口50个，无故障情况，验收合格</w:t>
            </w:r>
          </w:p>
        </w:tc>
      </w:tr>
      <w:tr w:rsidR="006D18F2">
        <w:trPr>
          <w:trHeight w:val="846"/>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青岛市公共信用信息平台运维</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581"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对青岛市公共信用信息平台开展运维</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“信用青岛”网站及微信公众号内容</w:t>
            </w:r>
            <w:r>
              <w:rPr>
                <w:rFonts w:ascii="仿宋_GB2312" w:eastAsia="仿宋_GB2312" w:hAnsi="仿宋_GB2312" w:cs="仿宋_GB2312" w:hint="eastAsia"/>
                <w:sz w:val="24"/>
              </w:rPr>
              <w:lastRenderedPageBreak/>
              <w:t>日常管理项目</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信用建设处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购买服务，在网站和公众号进行相关信息的编辑和发布</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发布2000条稿件，媒体宣传25次，浏览量8万余</w:t>
            </w:r>
            <w:r>
              <w:rPr>
                <w:rFonts w:ascii="仿宋_GB2312" w:eastAsia="仿宋_GB2312" w:hAnsi="仿宋_GB2312" w:cs="仿宋_GB2312" w:hint="eastAsia"/>
                <w:sz w:val="24"/>
              </w:rPr>
              <w:lastRenderedPageBreak/>
              <w:t>人次，验收合格</w:t>
            </w:r>
          </w:p>
        </w:tc>
      </w:tr>
      <w:tr w:rsidR="006D18F2">
        <w:trPr>
          <w:trHeight w:val="1392"/>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15</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基础库及政务信息资源交换共享管理系统运维服务</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数据应用管理处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对数据中心人口和法人基础数据库、政务信息资源交换共享管理系统进行运维</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支持对社会服务的业务系统20个，数据交换量20亿次，总数据量6.7亿条，系统无故障，验收合格</w:t>
            </w:r>
          </w:p>
        </w:tc>
      </w:tr>
      <w:tr w:rsidR="006D18F2">
        <w:trPr>
          <w:trHeight w:val="716"/>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地理信息汇集项目运维</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对地理信息汇集项目进行运维</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1549"/>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电子政务网络防病毒安全管理服务费</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购买青岛市电子政务外网的2000个主机端和28000个电脑终端的防病毒安全管理、升级服务、系统安全加固服务</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开展病毒库升级50次，操作培训3次，部署20000个终端，无故障情况，验收合格</w:t>
            </w:r>
          </w:p>
        </w:tc>
      </w:tr>
      <w:tr w:rsidR="006D18F2">
        <w:trPr>
          <w:trHeight w:val="1259"/>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防病毒SDK接口服务项目</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采购360网神私有云查杀管理系统</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服务8500台终端，文件查杀65万次，服务更新56次，无故障情况，验收合格</w:t>
            </w:r>
            <w:r>
              <w:rPr>
                <w:rFonts w:ascii="仿宋_GB2312" w:eastAsia="仿宋_GB2312" w:hAnsi="仿宋_GB2312" w:cs="仿宋_GB2312" w:hint="eastAsia"/>
                <w:sz w:val="24"/>
              </w:rPr>
              <w:br w:type="page"/>
            </w:r>
          </w:p>
        </w:tc>
      </w:tr>
      <w:tr w:rsidR="006D18F2">
        <w:trPr>
          <w:trHeight w:val="1050"/>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19</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青岛市电子政务安全管理平台</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采购泰合信息安全运营中心系统</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保障文件存储时间6个月，全年无故障，验收合格</w:t>
            </w:r>
          </w:p>
        </w:tc>
      </w:tr>
      <w:tr w:rsidR="006D18F2">
        <w:trPr>
          <w:trHeight w:val="1346"/>
          <w:jc w:val="center"/>
        </w:trPr>
        <w:tc>
          <w:tcPr>
            <w:tcW w:w="25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tcBorders>
              <w:top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政务信息资源交换共享管理系统二期</w:t>
            </w:r>
          </w:p>
        </w:tc>
        <w:tc>
          <w:tcPr>
            <w:tcW w:w="419" w:type="pct"/>
            <w:tcBorders>
              <w:top w:val="single" w:sz="4" w:space="0" w:color="auto"/>
            </w:tcBorders>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数据应用管理处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建设升级政务信息资源交换共享管理系统</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服务672个部门，有1200条共享交换申请，系统无故障情况，验收合格</w:t>
            </w:r>
          </w:p>
        </w:tc>
      </w:tr>
      <w:tr w:rsidR="006D18F2">
        <w:trPr>
          <w:trHeight w:val="727"/>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479" w:type="pct"/>
            <w:vMerge w:val="restar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政务大数据和云计算专项资金</w:t>
            </w: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政务云综合管理服务系统运维</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581"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对政务云综合管理服务系统进行运维</w:t>
            </w:r>
          </w:p>
        </w:tc>
        <w:tc>
          <w:tcPr>
            <w:tcW w:w="1263"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政务云运维质量考核评估服务</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购买政务云运维质量考核评估服务</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组织5次云中心巡检，提出300条建议，验收合格</w:t>
            </w:r>
          </w:p>
        </w:tc>
      </w:tr>
      <w:tr w:rsidR="006D18F2">
        <w:trPr>
          <w:trHeight w:val="600"/>
          <w:jc w:val="center"/>
        </w:trPr>
        <w:tc>
          <w:tcPr>
            <w:tcW w:w="25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479" w:type="pct"/>
            <w:vMerge/>
            <w:shd w:val="clear" w:color="auto" w:fill="auto"/>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00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政务大数据和云计算中心平台服务费</w:t>
            </w:r>
          </w:p>
        </w:tc>
        <w:tc>
          <w:tcPr>
            <w:tcW w:w="419" w:type="pc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581"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建设和完善青岛市政务云平台</w:t>
            </w:r>
          </w:p>
        </w:tc>
        <w:tc>
          <w:tcPr>
            <w:tcW w:w="1263" w:type="pct"/>
            <w:tcBorders>
              <w:top w:val="nil"/>
              <w:left w:val="single" w:sz="4" w:space="0" w:color="auto"/>
              <w:bottom w:val="single" w:sz="4" w:space="0" w:color="auto"/>
              <w:right w:val="single" w:sz="4" w:space="0" w:color="auto"/>
            </w:tcBorders>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采购云终端2651台，采购云存储1550TB，无故障情况，验收合格</w:t>
            </w:r>
          </w:p>
        </w:tc>
      </w:tr>
    </w:tbl>
    <w:p w:rsidR="006D18F2" w:rsidRDefault="00155297">
      <w:pPr>
        <w:spacing w:line="560" w:lineRule="exact"/>
        <w:ind w:firstLine="640"/>
        <w:rPr>
          <w:rFonts w:ascii="仿宋_GB2312" w:eastAsia="仿宋_GB2312" w:hAnsi="仿宋_GB2312" w:cs="仿宋_GB2312"/>
          <w:szCs w:val="32"/>
        </w:rPr>
      </w:pPr>
      <w:bookmarkStart w:id="12" w:name="_Toc52381744"/>
      <w:bookmarkStart w:id="13" w:name="_Toc77895213"/>
      <w:r>
        <w:rPr>
          <w:rFonts w:ascii="仿宋_GB2312" w:eastAsia="仿宋_GB2312" w:hAnsi="仿宋_GB2312" w:cs="仿宋_GB2312" w:hint="eastAsia"/>
          <w:szCs w:val="32"/>
        </w:rPr>
        <w:t>3.资金投入和使用情况</w:t>
      </w:r>
      <w:bookmarkEnd w:id="12"/>
      <w:bookmarkEnd w:id="13"/>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2020年度，该项目共批复预算4600.00万元，均为财政拨款；其中“共性应用软件升级维护资金”预算安排1191.00万元，“政务大数据和云计算专项资金”预算安排3409.00万元。</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截至2020年12月31日，两个支出领域分别支出1087.80万元和3407.30万元，项目总支出4495.10万元。具体各子项目资金投入和使用情况见表1-2。</w:t>
      </w:r>
    </w:p>
    <w:p w:rsidR="006D18F2" w:rsidRDefault="00155297">
      <w:pPr>
        <w:widowControl/>
        <w:spacing w:line="560" w:lineRule="exact"/>
        <w:ind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表1-2 项目资金投入和使用情况表</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404"/>
        <w:gridCol w:w="2822"/>
        <w:gridCol w:w="1176"/>
        <w:gridCol w:w="1176"/>
        <w:gridCol w:w="1493"/>
      </w:tblGrid>
      <w:tr w:rsidR="006D18F2">
        <w:trPr>
          <w:trHeight w:val="497"/>
          <w:tblHeader/>
          <w:jc w:val="center"/>
        </w:trPr>
        <w:tc>
          <w:tcPr>
            <w:tcW w:w="387"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812"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业务处室</w:t>
            </w:r>
          </w:p>
        </w:tc>
        <w:tc>
          <w:tcPr>
            <w:tcW w:w="1624"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子项目名称</w:t>
            </w:r>
          </w:p>
        </w:tc>
        <w:tc>
          <w:tcPr>
            <w:tcW w:w="649"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预算</w:t>
            </w:r>
          </w:p>
        </w:tc>
        <w:tc>
          <w:tcPr>
            <w:tcW w:w="665"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支出</w:t>
            </w:r>
          </w:p>
        </w:tc>
        <w:tc>
          <w:tcPr>
            <w:tcW w:w="864" w:type="pct"/>
            <w:shd w:val="clear" w:color="000000"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6D18F2">
        <w:trPr>
          <w:trHeight w:val="448"/>
          <w:jc w:val="center"/>
        </w:trPr>
        <w:tc>
          <w:tcPr>
            <w:tcW w:w="2823" w:type="pct"/>
            <w:gridSpan w:val="3"/>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合  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4,600.00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4,495.10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400"/>
          <w:jc w:val="center"/>
        </w:trPr>
        <w:tc>
          <w:tcPr>
            <w:tcW w:w="2823" w:type="pct"/>
            <w:gridSpan w:val="3"/>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（一）共性应用软件升级维护资金</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1,191.00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1,087.80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587"/>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网站管理运维服务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11.00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11.00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网站无障碍和简繁体服务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4.85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73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网上办事服务平台（一期工程）运维服务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50.00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50.00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政务网网上政务信息资源整合共享服务梳理和规划设计咨询服务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14.64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14.64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55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w:t>
            </w:r>
            <w:r>
              <w:rPr>
                <w:rFonts w:ascii="仿宋_GB2312" w:eastAsia="仿宋_GB2312" w:hAnsi="仿宋_GB2312" w:cs="仿宋_GB2312" w:hint="eastAsia"/>
                <w:sz w:val="24"/>
              </w:rPr>
              <w:lastRenderedPageBreak/>
              <w:t>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金宏电子政务平台</w:t>
            </w:r>
            <w:r>
              <w:rPr>
                <w:rFonts w:ascii="仿宋_GB2312" w:eastAsia="仿宋_GB2312" w:hAnsi="仿宋_GB2312" w:cs="仿宋_GB2312" w:hint="eastAsia"/>
                <w:sz w:val="24"/>
              </w:rPr>
              <w:lastRenderedPageBreak/>
              <w:t>运维</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60.0</w:t>
            </w:r>
            <w:r>
              <w:rPr>
                <w:rFonts w:ascii="仿宋_GB2312" w:eastAsia="仿宋_GB2312" w:hAnsi="仿宋_GB2312" w:cs="仿宋_GB2312" w:hint="eastAsia"/>
                <w:sz w:val="24"/>
              </w:rPr>
              <w:lastRenderedPageBreak/>
              <w:t xml:space="preserve">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58.6</w:t>
            </w:r>
            <w:r>
              <w:rPr>
                <w:rFonts w:ascii="仿宋_GB2312" w:eastAsia="仿宋_GB2312" w:hAnsi="仿宋_GB2312" w:cs="仿宋_GB2312" w:hint="eastAsia"/>
                <w:sz w:val="24"/>
              </w:rPr>
              <w:lastRenderedPageBreak/>
              <w:t xml:space="preserve">3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视频会议系统运维费</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26.00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25.99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网站外文翻译</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11.25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11.25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政民沟通平台运维服务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9.40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9.40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青岛市电子印章平台</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20.00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0.00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政务网站群监测服务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29.58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8.87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因业务调整，20.71万元划拨给市政府办公厅进行支出</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青岛市互联网+移动办事平台服务项目</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631.23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629.83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青岛市政务移动协同平台（青岛通）</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155.20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132.27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青岛市公共信用信息平台运维</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16.00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0.00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信用建设处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“信用青岛”网站及微信公众号内容日常管</w:t>
            </w:r>
            <w:r>
              <w:rPr>
                <w:rFonts w:ascii="仿宋_GB2312" w:eastAsia="仿宋_GB2312" w:hAnsi="仿宋_GB2312" w:cs="仿宋_GB2312" w:hint="eastAsia"/>
                <w:sz w:val="24"/>
              </w:rPr>
              <w:lastRenderedPageBreak/>
              <w:t>理项目</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17.00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5.10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15</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数据应用管理处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基础库及政务信息资源交换共享管理系统运维服务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29.60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29.60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地理信息汇集项目运维</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5.50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0.00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电子政务网络防病毒安全管理服务费</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28.00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27.98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79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防病毒SDK接口服务项目</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12.00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12.00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88"/>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青岛市电子政务安全管理平台</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9.60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9.60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数据应用管理处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政务信息资源交换共享管理系统二期</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50.00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46.80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400"/>
          <w:jc w:val="center"/>
        </w:trPr>
        <w:tc>
          <w:tcPr>
            <w:tcW w:w="2823" w:type="pct"/>
            <w:gridSpan w:val="3"/>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（二）政务大数据和云计算专项资金</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3,409.00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3,407.30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政务云综合管理服务系统运维</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1.70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0.00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未开展</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平台和安全处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政务云运维质量考核评估服务</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27.00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27.00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6D18F2">
        <w:trPr>
          <w:trHeight w:val="600"/>
          <w:jc w:val="center"/>
        </w:trPr>
        <w:tc>
          <w:tcPr>
            <w:tcW w:w="387"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lastRenderedPageBreak/>
              <w:t>3</w:t>
            </w:r>
          </w:p>
        </w:tc>
        <w:tc>
          <w:tcPr>
            <w:tcW w:w="812"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平台</w:t>
            </w:r>
            <w:r>
              <w:rPr>
                <w:rFonts w:ascii="仿宋_GB2312" w:eastAsia="仿宋_GB2312" w:hAnsi="仿宋_GB2312" w:cs="仿宋_GB2312" w:hint="eastAsia"/>
                <w:sz w:val="24"/>
              </w:rPr>
              <w:lastRenderedPageBreak/>
              <w:t>和安全处</w:t>
            </w:r>
          </w:p>
        </w:tc>
        <w:tc>
          <w:tcPr>
            <w:tcW w:w="162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政务大数据和云计</w:t>
            </w:r>
            <w:r>
              <w:rPr>
                <w:rFonts w:ascii="仿宋_GB2312" w:eastAsia="仿宋_GB2312" w:hAnsi="仿宋_GB2312" w:cs="仿宋_GB2312" w:hint="eastAsia"/>
                <w:sz w:val="24"/>
              </w:rPr>
              <w:lastRenderedPageBreak/>
              <w:t>算中心平台服务费</w:t>
            </w:r>
          </w:p>
        </w:tc>
        <w:tc>
          <w:tcPr>
            <w:tcW w:w="649"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3,38</w:t>
            </w:r>
            <w:r>
              <w:rPr>
                <w:rFonts w:ascii="仿宋_GB2312" w:eastAsia="仿宋_GB2312" w:hAnsi="仿宋_GB2312" w:cs="仿宋_GB2312" w:hint="eastAsia"/>
                <w:sz w:val="24"/>
              </w:rPr>
              <w:lastRenderedPageBreak/>
              <w:t xml:space="preserve">0.30 </w:t>
            </w:r>
          </w:p>
        </w:tc>
        <w:tc>
          <w:tcPr>
            <w:tcW w:w="665"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3,38</w:t>
            </w:r>
            <w:r>
              <w:rPr>
                <w:rFonts w:ascii="仿宋_GB2312" w:eastAsia="仿宋_GB2312" w:hAnsi="仿宋_GB2312" w:cs="仿宋_GB2312" w:hint="eastAsia"/>
                <w:sz w:val="24"/>
              </w:rPr>
              <w:lastRenderedPageBreak/>
              <w:t xml:space="preserve">0.30 </w:t>
            </w:r>
          </w:p>
        </w:tc>
        <w:tc>
          <w:tcPr>
            <w:tcW w:w="864" w:type="pct"/>
            <w:shd w:val="clear" w:color="auto" w:fill="auto"/>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w:t>
            </w:r>
          </w:p>
        </w:tc>
      </w:tr>
    </w:tbl>
    <w:p w:rsidR="006D18F2" w:rsidRDefault="00155297">
      <w:pPr>
        <w:spacing w:line="600" w:lineRule="exact"/>
        <w:ind w:firstLine="640"/>
        <w:outlineLvl w:val="1"/>
        <w:rPr>
          <w:rFonts w:ascii="楷体_GB2312" w:eastAsia="楷体_GB2312"/>
          <w:szCs w:val="32"/>
        </w:rPr>
      </w:pPr>
      <w:bookmarkStart w:id="14" w:name="_Toc22265"/>
      <w:bookmarkStart w:id="15" w:name="_Toc77895214"/>
      <w:bookmarkStart w:id="16" w:name="_Toc10747"/>
      <w:bookmarkStart w:id="17" w:name="_Toc2059159785"/>
      <w:r>
        <w:rPr>
          <w:rFonts w:ascii="楷体_GB2312" w:eastAsia="楷体_GB2312" w:hint="eastAsia"/>
          <w:szCs w:val="32"/>
        </w:rPr>
        <w:lastRenderedPageBreak/>
        <w:t>（二）项目绩效目标</w:t>
      </w:r>
      <w:bookmarkStart w:id="18" w:name="_Toc1599535090"/>
      <w:bookmarkStart w:id="19" w:name="_Toc77895215"/>
      <w:bookmarkEnd w:id="14"/>
      <w:bookmarkEnd w:id="15"/>
      <w:bookmarkEnd w:id="16"/>
      <w:bookmarkEnd w:id="17"/>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1. 总体目标</w:t>
      </w:r>
      <w:bookmarkEnd w:id="18"/>
      <w:bookmarkEnd w:id="19"/>
    </w:p>
    <w:p w:rsidR="006D18F2" w:rsidRDefault="00155297">
      <w:pPr>
        <w:spacing w:line="560" w:lineRule="exact"/>
        <w:ind w:firstLine="640"/>
        <w:rPr>
          <w:rFonts w:ascii="仿宋_GB2312" w:eastAsia="仿宋_GB2312" w:hAnsi="仿宋_GB2312" w:cs="仿宋_GB2312"/>
          <w:szCs w:val="32"/>
          <w:lang/>
        </w:rPr>
      </w:pPr>
      <w:r>
        <w:rPr>
          <w:rFonts w:ascii="仿宋_GB2312" w:eastAsia="仿宋_GB2312" w:hAnsi="仿宋_GB2312" w:cs="仿宋_GB2312" w:hint="eastAsia"/>
          <w:szCs w:val="32"/>
          <w:lang/>
        </w:rPr>
        <w:t>该项目总体绩效目标为</w:t>
      </w:r>
      <w:r>
        <w:rPr>
          <w:rFonts w:ascii="仿宋_GB2312" w:eastAsia="仿宋_GB2312" w:hAnsi="仿宋_GB2312" w:cs="仿宋_GB2312" w:hint="eastAsia"/>
          <w:szCs w:val="32"/>
        </w:rPr>
        <w:t>：通过购买软件升级运维和政务云服务，实现</w:t>
      </w:r>
      <w:r>
        <w:rPr>
          <w:rFonts w:ascii="仿宋_GB2312" w:eastAsia="仿宋_GB2312" w:hAnsi="仿宋_GB2312" w:cs="仿宋_GB2312" w:hint="eastAsia"/>
          <w:szCs w:val="32"/>
          <w:lang/>
        </w:rPr>
        <w:t>青岛</w:t>
      </w:r>
      <w:r>
        <w:rPr>
          <w:rFonts w:ascii="仿宋_GB2312" w:eastAsia="仿宋_GB2312" w:hAnsi="仿宋_GB2312" w:cs="仿宋_GB2312" w:hint="eastAsia"/>
          <w:szCs w:val="32"/>
        </w:rPr>
        <w:t>市金宏电子政务平台、视频会议系统、公共信用信息平台、政府网站等软件的持续稳定运行，保障青岛政务网站群系统内的网站稳定运行及数据安全。</w:t>
      </w:r>
    </w:p>
    <w:p w:rsidR="006D18F2" w:rsidRDefault="00155297">
      <w:pPr>
        <w:spacing w:line="560" w:lineRule="exact"/>
        <w:ind w:firstLine="640"/>
        <w:rPr>
          <w:rFonts w:ascii="仿宋_GB2312" w:eastAsia="仿宋_GB2312" w:hAnsi="仿宋_GB2312" w:cs="仿宋_GB2312"/>
          <w:szCs w:val="32"/>
        </w:rPr>
      </w:pPr>
      <w:bookmarkStart w:id="20" w:name="_Toc1185964484"/>
      <w:bookmarkStart w:id="21" w:name="_Toc77895216"/>
      <w:r>
        <w:rPr>
          <w:rFonts w:ascii="仿宋_GB2312" w:eastAsia="仿宋_GB2312" w:hAnsi="仿宋_GB2312" w:cs="仿宋_GB2312" w:hint="eastAsia"/>
          <w:szCs w:val="32"/>
        </w:rPr>
        <w:t>2. 阶段性目标</w:t>
      </w:r>
      <w:bookmarkEnd w:id="20"/>
      <w:bookmarkEnd w:id="21"/>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根据项目的总体绩效目标，</w:t>
      </w:r>
      <w:r>
        <w:rPr>
          <w:rFonts w:ascii="仿宋_GB2312" w:eastAsia="仿宋_GB2312" w:hAnsi="仿宋_GB2312" w:cs="仿宋_GB2312" w:hint="eastAsia"/>
          <w:szCs w:val="32"/>
          <w:lang/>
        </w:rPr>
        <w:t>市大数据局</w:t>
      </w:r>
      <w:r>
        <w:rPr>
          <w:rFonts w:ascii="仿宋_GB2312" w:eastAsia="仿宋_GB2312" w:hAnsi="仿宋_GB2312" w:cs="仿宋_GB2312" w:hint="eastAsia"/>
          <w:szCs w:val="32"/>
        </w:rPr>
        <w:t>细化分解了绩效指标，绩效指标设置情况见表1-3。</w:t>
      </w:r>
    </w:p>
    <w:p w:rsidR="006D18F2" w:rsidRDefault="00155297">
      <w:pPr>
        <w:widowControl/>
        <w:spacing w:line="560" w:lineRule="exact"/>
        <w:ind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表1-3 2020年度项目绩效指标表</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418"/>
        <w:gridCol w:w="2977"/>
        <w:gridCol w:w="2313"/>
      </w:tblGrid>
      <w:tr w:rsidR="006D18F2">
        <w:trPr>
          <w:trHeight w:val="488"/>
          <w:tblHeader/>
          <w:jc w:val="center"/>
        </w:trPr>
        <w:tc>
          <w:tcPr>
            <w:tcW w:w="1280" w:type="dxa"/>
            <w:shd w:val="clear" w:color="auto"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一级指标</w:t>
            </w:r>
          </w:p>
        </w:tc>
        <w:tc>
          <w:tcPr>
            <w:tcW w:w="1418" w:type="dxa"/>
            <w:shd w:val="clear" w:color="auto"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二级指标</w:t>
            </w:r>
          </w:p>
        </w:tc>
        <w:tc>
          <w:tcPr>
            <w:tcW w:w="2977" w:type="dxa"/>
            <w:shd w:val="clear" w:color="auto"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三级指标</w:t>
            </w:r>
          </w:p>
        </w:tc>
        <w:tc>
          <w:tcPr>
            <w:tcW w:w="2313" w:type="dxa"/>
            <w:shd w:val="clear" w:color="auto" w:fill="D0CECE" w:themeFill="background2" w:themeFillShade="E6"/>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指标值</w:t>
            </w:r>
          </w:p>
        </w:tc>
      </w:tr>
      <w:tr w:rsidR="006D18F2">
        <w:trPr>
          <w:trHeight w:val="20"/>
          <w:jc w:val="center"/>
        </w:trPr>
        <w:tc>
          <w:tcPr>
            <w:tcW w:w="1280"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产出指标</w:t>
            </w:r>
          </w:p>
        </w:tc>
        <w:tc>
          <w:tcPr>
            <w:tcW w:w="1418"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系统升级维护项目数量</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≥18项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云虚拟机采购数</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≥1200台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云存储采购数</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≥600T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应用、数据安全服务采购数</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≥1200台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系统验收合格率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服务采购达标率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云计算中心巡检次数</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≥5次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云资源有效使用率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≥80%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云资源可用率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≥99.9%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云平台巡检频率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≥2次/天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时效指标</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系统验收及时性</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资金支付时间</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2020年11月底</w:t>
            </w:r>
          </w:p>
        </w:tc>
      </w:tr>
      <w:tr w:rsidR="006D18F2">
        <w:trPr>
          <w:trHeight w:val="376"/>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成本指标</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lang/>
              </w:rPr>
            </w:pPr>
            <w:r>
              <w:rPr>
                <w:rFonts w:ascii="仿宋_GB2312" w:eastAsia="仿宋_GB2312" w:hAnsi="仿宋_GB2312" w:cs="仿宋_GB2312" w:hint="eastAsia"/>
                <w:sz w:val="24"/>
                <w:lang/>
              </w:rPr>
              <w:t>——</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lang/>
              </w:rPr>
            </w:pPr>
            <w:r>
              <w:rPr>
                <w:rFonts w:ascii="仿宋_GB2312" w:eastAsia="仿宋_GB2312" w:hAnsi="仿宋_GB2312" w:cs="仿宋_GB2312" w:hint="eastAsia"/>
                <w:sz w:val="24"/>
                <w:lang/>
              </w:rPr>
              <w:t>——</w:t>
            </w:r>
          </w:p>
        </w:tc>
      </w:tr>
      <w:tr w:rsidR="006D18F2">
        <w:trPr>
          <w:trHeight w:val="20"/>
          <w:jc w:val="center"/>
        </w:trPr>
        <w:tc>
          <w:tcPr>
            <w:tcW w:w="1280"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效益指标</w:t>
            </w:r>
          </w:p>
        </w:tc>
        <w:tc>
          <w:tcPr>
            <w:tcW w:w="1418" w:type="dxa"/>
            <w:vMerge w:val="restart"/>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社会效益</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系统使用率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政府部门上云覆盖率</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≥90% </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政府网站排名</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全国前五名</w:t>
            </w:r>
          </w:p>
        </w:tc>
      </w:tr>
      <w:tr w:rsidR="006D18F2">
        <w:trPr>
          <w:trHeight w:val="20"/>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故障响应时间</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≤2小时 </w:t>
            </w:r>
          </w:p>
        </w:tc>
      </w:tr>
      <w:tr w:rsidR="006D18F2">
        <w:trPr>
          <w:trHeight w:val="465"/>
          <w:jc w:val="center"/>
        </w:trPr>
        <w:tc>
          <w:tcPr>
            <w:tcW w:w="1280" w:type="dxa"/>
            <w:vMerge/>
            <w:vAlign w:val="center"/>
          </w:tcPr>
          <w:p w:rsidR="006D18F2" w:rsidRDefault="006D18F2">
            <w:pPr>
              <w:widowControl/>
              <w:spacing w:line="560" w:lineRule="exact"/>
              <w:ind w:firstLine="480"/>
              <w:textAlignment w:val="center"/>
              <w:rPr>
                <w:rFonts w:ascii="仿宋_GB2312" w:eastAsia="仿宋_GB2312" w:hAnsi="仿宋_GB2312" w:cs="仿宋_GB2312"/>
                <w:sz w:val="24"/>
              </w:rPr>
            </w:pPr>
          </w:p>
        </w:tc>
        <w:tc>
          <w:tcPr>
            <w:tcW w:w="1418"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可持续效益</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lang/>
              </w:rPr>
            </w:pPr>
            <w:r>
              <w:rPr>
                <w:rFonts w:ascii="仿宋_GB2312" w:eastAsia="仿宋_GB2312" w:hAnsi="仿宋_GB2312" w:cs="仿宋_GB2312" w:hint="eastAsia"/>
                <w:sz w:val="24"/>
                <w:lang/>
              </w:rPr>
              <w:t>——</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lang/>
              </w:rPr>
            </w:pPr>
            <w:r>
              <w:rPr>
                <w:rFonts w:ascii="仿宋_GB2312" w:eastAsia="仿宋_GB2312" w:hAnsi="仿宋_GB2312" w:cs="仿宋_GB2312" w:hint="eastAsia"/>
                <w:sz w:val="24"/>
                <w:lang/>
              </w:rPr>
              <w:t>——</w:t>
            </w:r>
          </w:p>
        </w:tc>
      </w:tr>
      <w:tr w:rsidR="006D18F2">
        <w:trPr>
          <w:trHeight w:val="20"/>
          <w:jc w:val="center"/>
        </w:trPr>
        <w:tc>
          <w:tcPr>
            <w:tcW w:w="1280"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满意度指标</w:t>
            </w:r>
          </w:p>
        </w:tc>
        <w:tc>
          <w:tcPr>
            <w:tcW w:w="1418"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w:t>
            </w:r>
          </w:p>
        </w:tc>
        <w:tc>
          <w:tcPr>
            <w:tcW w:w="2977"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w:t>
            </w:r>
          </w:p>
        </w:tc>
        <w:tc>
          <w:tcPr>
            <w:tcW w:w="2313" w:type="dxa"/>
            <w:vAlign w:val="center"/>
          </w:tcPr>
          <w:p w:rsidR="006D18F2" w:rsidRDefault="00155297">
            <w:pPr>
              <w:widowControl/>
              <w:spacing w:line="560" w:lineRule="exact"/>
              <w:ind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r>
    </w:tbl>
    <w:p w:rsidR="006D18F2" w:rsidRDefault="00155297">
      <w:pPr>
        <w:spacing w:line="600" w:lineRule="exact"/>
        <w:ind w:firstLine="640"/>
        <w:outlineLvl w:val="0"/>
        <w:rPr>
          <w:rFonts w:ascii="黑体" w:eastAsia="黑体" w:hAnsi="黑体"/>
          <w:szCs w:val="32"/>
        </w:rPr>
      </w:pPr>
      <w:bookmarkStart w:id="22" w:name="_Toc77895237"/>
      <w:bookmarkStart w:id="23" w:name="_Toc3112"/>
      <w:bookmarkStart w:id="24" w:name="_Toc590751566"/>
      <w:bookmarkStart w:id="25" w:name="_Toc2782"/>
      <w:r>
        <w:rPr>
          <w:rFonts w:ascii="黑体" w:eastAsia="黑体" w:hAnsi="黑体" w:hint="eastAsia"/>
          <w:szCs w:val="32"/>
        </w:rPr>
        <w:t>二、工作成效</w:t>
      </w:r>
      <w:bookmarkEnd w:id="22"/>
      <w:bookmarkEnd w:id="23"/>
      <w:bookmarkEnd w:id="24"/>
      <w:bookmarkEnd w:id="25"/>
    </w:p>
    <w:p w:rsidR="006D18F2" w:rsidRDefault="00155297">
      <w:pPr>
        <w:spacing w:line="600" w:lineRule="exact"/>
        <w:ind w:firstLine="640"/>
        <w:outlineLvl w:val="1"/>
        <w:rPr>
          <w:rFonts w:ascii="楷体_GB2312" w:eastAsia="楷体_GB2312"/>
          <w:szCs w:val="32"/>
        </w:rPr>
      </w:pPr>
      <w:r>
        <w:rPr>
          <w:rFonts w:ascii="楷体_GB2312" w:eastAsia="楷体_GB2312" w:hint="eastAsia"/>
          <w:szCs w:val="32"/>
        </w:rPr>
        <w:t>（一）推进政务服务数字化业务顺利开展。</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专项实施加快</w:t>
      </w:r>
      <w:r>
        <w:rPr>
          <w:rFonts w:ascii="仿宋_GB2312" w:eastAsia="仿宋_GB2312" w:hAnsi="仿宋_GB2312" w:cs="仿宋_GB2312" w:hint="eastAsia"/>
          <w:szCs w:val="32"/>
          <w:lang/>
        </w:rPr>
        <w:t>了</w:t>
      </w:r>
      <w:r>
        <w:rPr>
          <w:rFonts w:ascii="仿宋_GB2312" w:eastAsia="仿宋_GB2312" w:hAnsi="仿宋_GB2312" w:cs="仿宋_GB2312" w:hint="eastAsia"/>
          <w:szCs w:val="32"/>
        </w:rPr>
        <w:t>政务信息交换和公共信息资源开放，整合汇聚</w:t>
      </w:r>
      <w:r>
        <w:rPr>
          <w:rFonts w:ascii="仿宋_GB2312" w:eastAsia="仿宋_GB2312" w:hAnsi="仿宋_GB2312" w:cs="仿宋_GB2312" w:hint="eastAsia"/>
          <w:szCs w:val="32"/>
          <w:lang/>
        </w:rPr>
        <w:t>了</w:t>
      </w:r>
      <w:r>
        <w:rPr>
          <w:rFonts w:ascii="仿宋_GB2312" w:eastAsia="仿宋_GB2312" w:hAnsi="仿宋_GB2312" w:cs="仿宋_GB2312" w:hint="eastAsia"/>
          <w:szCs w:val="32"/>
        </w:rPr>
        <w:t>各类政务数据资源和社会数据资源，推动“互联网+政务服务”以及移动端政务平台服务的发展。金宏政务服务相关平台和系统的运维</w:t>
      </w:r>
      <w:r>
        <w:rPr>
          <w:rFonts w:ascii="仿宋_GB2312" w:eastAsia="仿宋_GB2312" w:hAnsi="仿宋_GB2312" w:cs="仿宋_GB2312" w:hint="eastAsia"/>
          <w:szCs w:val="32"/>
          <w:lang/>
        </w:rPr>
        <w:t>工作</w:t>
      </w:r>
      <w:r>
        <w:rPr>
          <w:rFonts w:ascii="仿宋_GB2312" w:eastAsia="仿宋_GB2312" w:hAnsi="仿宋_GB2312" w:cs="仿宋_GB2312" w:hint="eastAsia"/>
          <w:szCs w:val="32"/>
        </w:rPr>
        <w:t>全面保障了政务办公数字化和政府协同办公的设备设施条件，</w:t>
      </w:r>
      <w:r>
        <w:rPr>
          <w:rFonts w:ascii="仿宋_GB2312" w:eastAsia="仿宋_GB2312" w:hAnsi="仿宋_GB2312" w:cs="仿宋_GB2312" w:hint="eastAsia"/>
          <w:szCs w:val="32"/>
          <w:lang/>
        </w:rPr>
        <w:t>为“数字青岛”营造了良</w:t>
      </w:r>
      <w:r>
        <w:rPr>
          <w:rFonts w:ascii="仿宋_GB2312" w:eastAsia="仿宋_GB2312" w:hAnsi="仿宋_GB2312" w:cs="仿宋_GB2312" w:hint="eastAsia"/>
          <w:szCs w:val="32"/>
          <w:lang/>
        </w:rPr>
        <w:lastRenderedPageBreak/>
        <w:t>好的发展环境。</w:t>
      </w:r>
    </w:p>
    <w:p w:rsidR="006D18F2" w:rsidRDefault="00155297">
      <w:pPr>
        <w:spacing w:line="600" w:lineRule="exact"/>
        <w:ind w:firstLine="640"/>
        <w:outlineLvl w:val="1"/>
        <w:rPr>
          <w:rFonts w:ascii="楷体_GB2312" w:eastAsia="楷体_GB2312"/>
          <w:szCs w:val="32"/>
        </w:rPr>
      </w:pPr>
      <w:r>
        <w:rPr>
          <w:rFonts w:ascii="楷体_GB2312" w:eastAsia="楷体_GB2312" w:hint="eastAsia"/>
          <w:szCs w:val="32"/>
        </w:rPr>
        <w:t>（二）政务大数据和云计算中心支撑能力显著提升。</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专项实施保证了青岛市59家部门的312个系统顺利上云，全市90%政务服务事项和公共服务事项初步实现“一网通办”，建成统一的智能化政务服务体系。市、区（市）两级政务信息资源目录体系逐步完善，基本形成数据共享开放体系。</w:t>
      </w:r>
    </w:p>
    <w:p w:rsidR="006D18F2" w:rsidRDefault="00155297">
      <w:pPr>
        <w:spacing w:line="600" w:lineRule="exact"/>
        <w:ind w:firstLine="640"/>
        <w:outlineLvl w:val="0"/>
        <w:rPr>
          <w:rFonts w:ascii="黑体" w:eastAsia="黑体" w:hAnsi="黑体"/>
          <w:szCs w:val="32"/>
        </w:rPr>
      </w:pPr>
      <w:bookmarkStart w:id="26" w:name="_Toc77895238"/>
      <w:bookmarkStart w:id="27" w:name="_Toc2416"/>
      <w:bookmarkStart w:id="28" w:name="_Toc27256"/>
      <w:bookmarkStart w:id="29" w:name="_Toc944669681"/>
      <w:r>
        <w:rPr>
          <w:rFonts w:ascii="黑体" w:eastAsia="黑体" w:hAnsi="黑体" w:hint="eastAsia"/>
          <w:szCs w:val="32"/>
        </w:rPr>
        <w:t>三、主要问题</w:t>
      </w:r>
      <w:bookmarkEnd w:id="26"/>
      <w:bookmarkEnd w:id="27"/>
      <w:bookmarkEnd w:id="28"/>
      <w:bookmarkEnd w:id="29"/>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通过本次专项绩效评价的实施，结合</w:t>
      </w:r>
      <w:r>
        <w:rPr>
          <w:rFonts w:ascii="仿宋_GB2312" w:eastAsia="仿宋_GB2312" w:hAnsi="仿宋_GB2312" w:cs="仿宋_GB2312" w:hint="eastAsia"/>
          <w:szCs w:val="32"/>
          <w:lang/>
        </w:rPr>
        <w:t>对</w:t>
      </w:r>
      <w:r>
        <w:rPr>
          <w:rFonts w:ascii="仿宋_GB2312" w:eastAsia="仿宋_GB2312" w:hAnsi="仿宋_GB2312" w:cs="仿宋_GB2312" w:hint="eastAsia"/>
          <w:szCs w:val="32"/>
        </w:rPr>
        <w:t>收集的满意度问卷内容</w:t>
      </w:r>
      <w:r>
        <w:rPr>
          <w:rFonts w:ascii="仿宋_GB2312" w:eastAsia="仿宋_GB2312" w:hAnsi="仿宋_GB2312" w:cs="仿宋_GB2312" w:hint="eastAsia"/>
          <w:szCs w:val="32"/>
          <w:lang/>
        </w:rPr>
        <w:t>进行的</w:t>
      </w:r>
      <w:r>
        <w:rPr>
          <w:rFonts w:ascii="仿宋_GB2312" w:eastAsia="仿宋_GB2312" w:hAnsi="仿宋_GB2312" w:cs="仿宋_GB2312" w:hint="eastAsia"/>
          <w:szCs w:val="32"/>
        </w:rPr>
        <w:t>分析和梳理，该项目在实施过程中存在以下问题：</w:t>
      </w:r>
    </w:p>
    <w:p w:rsidR="006D18F2" w:rsidRDefault="00155297">
      <w:pPr>
        <w:spacing w:line="600" w:lineRule="exact"/>
        <w:ind w:firstLine="640"/>
        <w:outlineLvl w:val="1"/>
        <w:rPr>
          <w:rFonts w:ascii="楷体_GB2312" w:eastAsia="楷体_GB2312"/>
          <w:szCs w:val="32"/>
        </w:rPr>
      </w:pPr>
      <w:r>
        <w:rPr>
          <w:rFonts w:ascii="楷体_GB2312" w:eastAsia="楷体_GB2312" w:hint="eastAsia"/>
          <w:szCs w:val="32"/>
        </w:rPr>
        <w:t>（一）项目前期论证不足，绩效目标设置不够科学合理。</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1.项目立项类：评价过程中未见专项立项的前期论证、可行性研究、市场调研等过程材料，运维项目（尤其是运行多年的系统的运维工作）前期论证不够充分，未针对各子项目实施必要性、实际工作需求、资金需求、测算依据、目前市场行情等进行有针对性的前期调研。</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2.绩效目标类：专项设置的数量指标“云虚拟机采购数”指标值为“≥1200台”，实际采购数量为1640台；“云存储采购数”指标值“≥600T”，实际采购772T，实际产出与计划偏离较大。“共性应用软件升级维护资金”（二级）项目设置了两个考察内容相同的指标，且对运维工作设置指标较多，对建设采购类项目指标设置不足，指标设置未能全面反映当年重点工作内容。</w:t>
      </w:r>
    </w:p>
    <w:p w:rsidR="006D18F2" w:rsidRDefault="00155297">
      <w:pPr>
        <w:spacing w:line="600" w:lineRule="exact"/>
        <w:ind w:firstLine="640"/>
        <w:outlineLvl w:val="1"/>
        <w:rPr>
          <w:rFonts w:ascii="楷体_GB2312" w:eastAsia="楷体_GB2312"/>
          <w:szCs w:val="32"/>
        </w:rPr>
      </w:pPr>
      <w:r>
        <w:rPr>
          <w:rFonts w:ascii="楷体_GB2312" w:eastAsia="楷体_GB2312" w:hint="eastAsia"/>
          <w:szCs w:val="32"/>
        </w:rPr>
        <w:lastRenderedPageBreak/>
        <w:t>（二）管理制度不够健全，制度执行有效性有待增强。</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过程管理类：未针对该专项制定专项业务或财务管理制度；财务留存资料不够完整，记账凭证附件中业务审核等流程资料不齐全；部分政府采购验收单未填写验收日期，资料不规范；项目单位存在专项任务和预算调整，但未严格遵循调整审批流程。</w:t>
      </w:r>
    </w:p>
    <w:p w:rsidR="006D18F2" w:rsidRDefault="00155297">
      <w:pPr>
        <w:spacing w:line="600" w:lineRule="exact"/>
        <w:ind w:firstLine="640"/>
        <w:outlineLvl w:val="1"/>
        <w:rPr>
          <w:rFonts w:ascii="楷体_GB2312" w:eastAsia="楷体_GB2312"/>
          <w:szCs w:val="32"/>
        </w:rPr>
      </w:pPr>
      <w:r>
        <w:rPr>
          <w:rFonts w:ascii="楷体_GB2312" w:eastAsia="楷体_GB2312" w:hint="eastAsia"/>
          <w:szCs w:val="32"/>
        </w:rPr>
        <w:t>（三）未针对服务对象及时开展满意度调查。</w:t>
      </w:r>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满意度类：项目单位在专项实施过程中缺乏对使用人员开展的满意度调查，未能及时、全面的获取电子政务平台使用人员的真实需求以及对项目实施的真实反馈。通过评价机构的满意度调查发现，金宏电子政务平台存在部分软、硬件使用问题，操作人员对于各系统以及政务云容量均存在不同程度的优化需求。</w:t>
      </w:r>
    </w:p>
    <w:p w:rsidR="006D18F2" w:rsidRDefault="00155297">
      <w:pPr>
        <w:spacing w:line="600" w:lineRule="exact"/>
        <w:ind w:firstLine="640"/>
        <w:outlineLvl w:val="0"/>
        <w:rPr>
          <w:rFonts w:ascii="黑体" w:eastAsia="黑体" w:hAnsi="黑体"/>
          <w:szCs w:val="32"/>
        </w:rPr>
      </w:pPr>
      <w:bookmarkStart w:id="30" w:name="_Toc716726296"/>
      <w:bookmarkStart w:id="31" w:name="_Toc15996"/>
      <w:bookmarkStart w:id="32" w:name="_Toc13221"/>
      <w:bookmarkStart w:id="33" w:name="_Toc77895239"/>
      <w:r>
        <w:rPr>
          <w:rFonts w:ascii="黑体" w:eastAsia="黑体" w:hAnsi="黑体" w:hint="eastAsia"/>
          <w:szCs w:val="32"/>
        </w:rPr>
        <w:t>四.相关建议</w:t>
      </w:r>
      <w:bookmarkEnd w:id="30"/>
      <w:bookmarkEnd w:id="31"/>
      <w:bookmarkEnd w:id="32"/>
      <w:bookmarkEnd w:id="33"/>
    </w:p>
    <w:p w:rsidR="006D18F2" w:rsidRDefault="00155297">
      <w:pPr>
        <w:spacing w:line="600" w:lineRule="exact"/>
        <w:ind w:firstLine="640"/>
        <w:outlineLvl w:val="1"/>
        <w:rPr>
          <w:rFonts w:ascii="楷体_GB2312" w:eastAsia="楷体_GB2312"/>
          <w:szCs w:val="32"/>
        </w:rPr>
      </w:pPr>
      <w:bookmarkStart w:id="34" w:name="_Toc4036"/>
      <w:bookmarkStart w:id="35" w:name="_Toc21175"/>
      <w:r>
        <w:rPr>
          <w:rFonts w:ascii="楷体_GB2312" w:eastAsia="楷体_GB2312" w:hint="eastAsia"/>
          <w:szCs w:val="32"/>
        </w:rPr>
        <w:t>（一）加强项目前期论证环节，提高绩效目标编制质量。</w:t>
      </w:r>
      <w:bookmarkEnd w:id="34"/>
      <w:bookmarkEnd w:id="35"/>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建议项目单位进一步加强前期论证工作。对于运行多年系统的运维工作，按照相关要求可以续签合同，但仍需根据目前系统现状、实际工作需求、当下市场行情等对项目实施必要性、技术方案可行性、预算编制合理性等进行充分论证，确保项目实施以及项目资金支出的效益。此外，建议项目单位在分析往年数据的基础上，结合项目实际情况设立绩效目标和指标，并充分考虑数据获取的途径和机制，确保绩效目标设置的科学</w:t>
      </w:r>
      <w:r>
        <w:rPr>
          <w:rFonts w:ascii="仿宋_GB2312" w:eastAsia="仿宋_GB2312" w:hAnsi="仿宋_GB2312" w:cs="仿宋_GB2312" w:hint="eastAsia"/>
          <w:szCs w:val="32"/>
          <w:lang/>
        </w:rPr>
        <w:t>性</w:t>
      </w:r>
      <w:r>
        <w:rPr>
          <w:rFonts w:ascii="仿宋_GB2312" w:eastAsia="仿宋_GB2312" w:hAnsi="仿宋_GB2312" w:cs="仿宋_GB2312" w:hint="eastAsia"/>
          <w:szCs w:val="32"/>
        </w:rPr>
        <w:t>和合理性。</w:t>
      </w:r>
    </w:p>
    <w:p w:rsidR="006D18F2" w:rsidRDefault="00155297">
      <w:pPr>
        <w:spacing w:line="600" w:lineRule="exact"/>
        <w:ind w:firstLine="640"/>
        <w:outlineLvl w:val="1"/>
        <w:rPr>
          <w:rFonts w:ascii="楷体_GB2312" w:eastAsia="楷体_GB2312"/>
          <w:szCs w:val="32"/>
        </w:rPr>
      </w:pPr>
      <w:bookmarkStart w:id="36" w:name="_Toc660"/>
      <w:bookmarkStart w:id="37" w:name="_Toc20708"/>
      <w:r>
        <w:rPr>
          <w:rFonts w:ascii="楷体_GB2312" w:eastAsia="楷体_GB2312" w:hint="eastAsia"/>
          <w:szCs w:val="32"/>
        </w:rPr>
        <w:t>（二）完善项目中期过程管理，严格规范项目执行。</w:t>
      </w:r>
      <w:bookmarkEnd w:id="36"/>
      <w:bookmarkEnd w:id="37"/>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针对专项实施过程中调整手续不规范、过程材料不齐全、不规范的问题，建议进一步完善和细化专项管理办法中对相关环节的规定和要求。一方面，任务发生变动时，需严格履行调整报批程序，并及时调整项目绩效目标、工作进度以及预算实施计划等，保证项目实施效果。另一方面，加强项目过程资料的管理，财务凭证后需附完整的审批流程材料，材料填写需规范。</w:t>
      </w:r>
    </w:p>
    <w:p w:rsidR="006D18F2" w:rsidRDefault="00155297">
      <w:pPr>
        <w:spacing w:line="600" w:lineRule="exact"/>
        <w:ind w:firstLine="640"/>
        <w:outlineLvl w:val="1"/>
        <w:rPr>
          <w:rFonts w:ascii="楷体_GB2312" w:eastAsia="楷体_GB2312"/>
          <w:szCs w:val="32"/>
        </w:rPr>
      </w:pPr>
      <w:bookmarkStart w:id="38" w:name="_Toc3675"/>
      <w:bookmarkStart w:id="39" w:name="_Toc8862"/>
      <w:r>
        <w:rPr>
          <w:rFonts w:ascii="楷体_GB2312" w:eastAsia="楷体_GB2312" w:hint="eastAsia"/>
          <w:szCs w:val="32"/>
        </w:rPr>
        <w:t>（三）重视项目实施后续服务，定期开展服务对象满意度调查。</w:t>
      </w:r>
      <w:bookmarkEnd w:id="38"/>
      <w:bookmarkEnd w:id="39"/>
    </w:p>
    <w:p w:rsidR="006D18F2" w:rsidRDefault="00155297">
      <w:pPr>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评价发现，项目单位的工作开展产出情况较好，但未对项目整体开展系统性地服务对象满意度调查，不能及时获取项目实施过程中各平台、系统使用人员的反馈，无统计数据支撑。此次评价机构通过发放满意度调查问卷获取了各级政府部门对该专项支持的平台、系统的使用满意度情况，并收集部分有建设性的意见。</w:t>
      </w:r>
      <w:r>
        <w:rPr>
          <w:rFonts w:ascii="仿宋_GB2312" w:eastAsia="仿宋_GB2312" w:hAnsi="仿宋_GB2312" w:cs="仿宋_GB2312" w:hint="eastAsia"/>
          <w:szCs w:val="32"/>
          <w:lang/>
        </w:rPr>
        <w:t>建议项目单位能够在以后年度加强绩效数据统计工作，合理确定项目服务对象范围，设计满意度调查方式及内容，及时完成调查工作，获取科学准确的满意度数据</w:t>
      </w:r>
      <w:r>
        <w:rPr>
          <w:rFonts w:ascii="仿宋_GB2312" w:eastAsia="仿宋_GB2312" w:hAnsi="仿宋_GB2312" w:cs="仿宋_GB2312" w:hint="eastAsia"/>
          <w:szCs w:val="32"/>
        </w:rPr>
        <w:t>，为项目后续开展提供助力</w:t>
      </w:r>
      <w:r>
        <w:rPr>
          <w:rFonts w:ascii="仿宋_GB2312" w:eastAsia="仿宋_GB2312" w:hAnsi="仿宋_GB2312" w:cs="仿宋_GB2312" w:hint="eastAsia"/>
          <w:szCs w:val="32"/>
          <w:lang/>
        </w:rPr>
        <w:t>。</w:t>
      </w:r>
    </w:p>
    <w:sectPr w:rsidR="006D18F2" w:rsidSect="00C542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2A" w:rsidRDefault="00F26A2A">
      <w:pPr>
        <w:spacing w:line="240" w:lineRule="auto"/>
        <w:ind w:firstLine="640"/>
      </w:pPr>
      <w:r>
        <w:separator/>
      </w:r>
    </w:p>
  </w:endnote>
  <w:endnote w:type="continuationSeparator" w:id="1">
    <w:p w:rsidR="00F26A2A" w:rsidRDefault="00F26A2A">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Kaiti SC">
    <w:altName w:val="微软雅黑"/>
    <w:charset w:val="86"/>
    <w:family w:val="auto"/>
    <w:pitch w:val="default"/>
    <w:sig w:usb0="80000287" w:usb1="280F3C52" w:usb2="00000016" w:usb3="00000000" w:csb0="0004001F" w:csb1="00000000"/>
  </w:font>
  <w:font w:name="DejaVu Sans">
    <w:altName w:val="Arial"/>
    <w:charset w:val="00"/>
    <w:family w:val="roman"/>
    <w:pitch w:val="default"/>
    <w:sig w:usb0="00000000" w:usb1="D200FDFF" w:usb2="0A246029" w:usb3="0400200C" w:csb0="600001FF" w:csb1="DFFF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auto"/>
    <w:pitch w:val="default"/>
    <w:sig w:usb0="00000000" w:usb1="00000000"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8B" w:rsidRDefault="00CC128B" w:rsidP="00CC128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120239"/>
    </w:sdtPr>
    <w:sdtContent>
      <w:p w:rsidR="006D18F2" w:rsidRDefault="00C5421A">
        <w:pPr>
          <w:pStyle w:val="a6"/>
          <w:ind w:firstLine="360"/>
          <w:jc w:val="center"/>
        </w:pPr>
        <w:r>
          <w:fldChar w:fldCharType="begin"/>
        </w:r>
        <w:r w:rsidR="00155297">
          <w:instrText>PAGE   \* MERGEFORMAT</w:instrText>
        </w:r>
        <w:r>
          <w:fldChar w:fldCharType="separate"/>
        </w:r>
        <w:r w:rsidR="00CC128B" w:rsidRPr="00CC128B">
          <w:rPr>
            <w:noProof/>
            <w:lang w:val="zh-CN"/>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8B" w:rsidRDefault="00CC128B" w:rsidP="00CC128B">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2A" w:rsidRDefault="00F26A2A">
      <w:pPr>
        <w:spacing w:line="240" w:lineRule="auto"/>
        <w:ind w:firstLine="640"/>
      </w:pPr>
      <w:r>
        <w:separator/>
      </w:r>
    </w:p>
  </w:footnote>
  <w:footnote w:type="continuationSeparator" w:id="1">
    <w:p w:rsidR="00F26A2A" w:rsidRDefault="00F26A2A">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8B" w:rsidRDefault="00CC128B" w:rsidP="00CC128B">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F2" w:rsidRDefault="006D18F2">
    <w:pPr>
      <w:pStyle w:val="a7"/>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8B" w:rsidRDefault="00CC128B" w:rsidP="00CC128B">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60"/>
  <w:drawingGridVerticalSpacing w:val="43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BF26D3C"/>
    <w:rsid w:val="B5FE12F9"/>
    <w:rsid w:val="B67FD379"/>
    <w:rsid w:val="B6FFED23"/>
    <w:rsid w:val="BC5B2388"/>
    <w:rsid w:val="BF561783"/>
    <w:rsid w:val="D5F721B0"/>
    <w:rsid w:val="DFF1FB7D"/>
    <w:rsid w:val="F2DF9039"/>
    <w:rsid w:val="F3F74DDD"/>
    <w:rsid w:val="F5970B25"/>
    <w:rsid w:val="FBD7AB2C"/>
    <w:rsid w:val="FBF26D3C"/>
    <w:rsid w:val="FCFBA3B4"/>
    <w:rsid w:val="FDFD0272"/>
    <w:rsid w:val="FFEAD2C5"/>
    <w:rsid w:val="00004CB7"/>
    <w:rsid w:val="00016979"/>
    <w:rsid w:val="00026713"/>
    <w:rsid w:val="00033CB9"/>
    <w:rsid w:val="00033DAC"/>
    <w:rsid w:val="000532F9"/>
    <w:rsid w:val="00060D0B"/>
    <w:rsid w:val="00060EF4"/>
    <w:rsid w:val="00065F8E"/>
    <w:rsid w:val="00072730"/>
    <w:rsid w:val="0008556C"/>
    <w:rsid w:val="000A38C9"/>
    <w:rsid w:val="000A7872"/>
    <w:rsid w:val="000B3293"/>
    <w:rsid w:val="000B65C4"/>
    <w:rsid w:val="000D4AF7"/>
    <w:rsid w:val="000E34A1"/>
    <w:rsid w:val="000E5824"/>
    <w:rsid w:val="000E7D86"/>
    <w:rsid w:val="001014C0"/>
    <w:rsid w:val="00120641"/>
    <w:rsid w:val="00125E80"/>
    <w:rsid w:val="001301CD"/>
    <w:rsid w:val="00130B28"/>
    <w:rsid w:val="00155297"/>
    <w:rsid w:val="00156322"/>
    <w:rsid w:val="001566BA"/>
    <w:rsid w:val="001717EB"/>
    <w:rsid w:val="00173210"/>
    <w:rsid w:val="001740CC"/>
    <w:rsid w:val="00177947"/>
    <w:rsid w:val="00182296"/>
    <w:rsid w:val="00190D6E"/>
    <w:rsid w:val="00194A1E"/>
    <w:rsid w:val="001C114D"/>
    <w:rsid w:val="001C4D0C"/>
    <w:rsid w:val="001D41B7"/>
    <w:rsid w:val="001E58C6"/>
    <w:rsid w:val="001F70DE"/>
    <w:rsid w:val="001F7EF0"/>
    <w:rsid w:val="002003F7"/>
    <w:rsid w:val="00202E68"/>
    <w:rsid w:val="00213CC1"/>
    <w:rsid w:val="0022025A"/>
    <w:rsid w:val="00223C6F"/>
    <w:rsid w:val="00263D9D"/>
    <w:rsid w:val="002655FB"/>
    <w:rsid w:val="002670D9"/>
    <w:rsid w:val="00285579"/>
    <w:rsid w:val="00286FAC"/>
    <w:rsid w:val="002939E8"/>
    <w:rsid w:val="002A17C4"/>
    <w:rsid w:val="002C6D5F"/>
    <w:rsid w:val="002D18D1"/>
    <w:rsid w:val="002D3A30"/>
    <w:rsid w:val="003004E5"/>
    <w:rsid w:val="00315063"/>
    <w:rsid w:val="00315094"/>
    <w:rsid w:val="00315967"/>
    <w:rsid w:val="00316405"/>
    <w:rsid w:val="0033166D"/>
    <w:rsid w:val="00373618"/>
    <w:rsid w:val="003749F1"/>
    <w:rsid w:val="00392423"/>
    <w:rsid w:val="00396A07"/>
    <w:rsid w:val="003A07AE"/>
    <w:rsid w:val="003A1369"/>
    <w:rsid w:val="003A3019"/>
    <w:rsid w:val="003B0462"/>
    <w:rsid w:val="003D4370"/>
    <w:rsid w:val="003E1A5C"/>
    <w:rsid w:val="003F47F4"/>
    <w:rsid w:val="003F64D1"/>
    <w:rsid w:val="00422573"/>
    <w:rsid w:val="00461968"/>
    <w:rsid w:val="00463780"/>
    <w:rsid w:val="004711B8"/>
    <w:rsid w:val="00472E89"/>
    <w:rsid w:val="00477119"/>
    <w:rsid w:val="0048782D"/>
    <w:rsid w:val="004B686F"/>
    <w:rsid w:val="004C0F84"/>
    <w:rsid w:val="004C4A9A"/>
    <w:rsid w:val="004C70A7"/>
    <w:rsid w:val="0050508D"/>
    <w:rsid w:val="0050592E"/>
    <w:rsid w:val="00525E28"/>
    <w:rsid w:val="00556C17"/>
    <w:rsid w:val="005674D7"/>
    <w:rsid w:val="00575E4B"/>
    <w:rsid w:val="005834B0"/>
    <w:rsid w:val="005878B9"/>
    <w:rsid w:val="00590CBD"/>
    <w:rsid w:val="005A59D4"/>
    <w:rsid w:val="005B1C39"/>
    <w:rsid w:val="005B385C"/>
    <w:rsid w:val="005B6CE4"/>
    <w:rsid w:val="005C2393"/>
    <w:rsid w:val="005C53B4"/>
    <w:rsid w:val="005C7646"/>
    <w:rsid w:val="005E045F"/>
    <w:rsid w:val="005F29C5"/>
    <w:rsid w:val="00602997"/>
    <w:rsid w:val="006238C1"/>
    <w:rsid w:val="00630992"/>
    <w:rsid w:val="00633ACD"/>
    <w:rsid w:val="0066494C"/>
    <w:rsid w:val="006656A3"/>
    <w:rsid w:val="006745DD"/>
    <w:rsid w:val="00677C54"/>
    <w:rsid w:val="006878D7"/>
    <w:rsid w:val="006A3575"/>
    <w:rsid w:val="006A7757"/>
    <w:rsid w:val="006B33E4"/>
    <w:rsid w:val="006C138A"/>
    <w:rsid w:val="006C7D93"/>
    <w:rsid w:val="006D1885"/>
    <w:rsid w:val="006D18F2"/>
    <w:rsid w:val="006D2516"/>
    <w:rsid w:val="006D6921"/>
    <w:rsid w:val="006E04B0"/>
    <w:rsid w:val="006E7A07"/>
    <w:rsid w:val="006F5684"/>
    <w:rsid w:val="00716944"/>
    <w:rsid w:val="00730091"/>
    <w:rsid w:val="007310FD"/>
    <w:rsid w:val="007371F5"/>
    <w:rsid w:val="007518ED"/>
    <w:rsid w:val="00754CFA"/>
    <w:rsid w:val="007557A4"/>
    <w:rsid w:val="00767B01"/>
    <w:rsid w:val="00792085"/>
    <w:rsid w:val="00792375"/>
    <w:rsid w:val="007A5282"/>
    <w:rsid w:val="007B141C"/>
    <w:rsid w:val="007C485F"/>
    <w:rsid w:val="007D4956"/>
    <w:rsid w:val="007E2D2D"/>
    <w:rsid w:val="007E53C6"/>
    <w:rsid w:val="008042BC"/>
    <w:rsid w:val="00810506"/>
    <w:rsid w:val="0081061D"/>
    <w:rsid w:val="00810E4D"/>
    <w:rsid w:val="00816F27"/>
    <w:rsid w:val="00827954"/>
    <w:rsid w:val="008361E8"/>
    <w:rsid w:val="0085078B"/>
    <w:rsid w:val="00850A86"/>
    <w:rsid w:val="00863E3F"/>
    <w:rsid w:val="008723CC"/>
    <w:rsid w:val="00886796"/>
    <w:rsid w:val="008B6DC0"/>
    <w:rsid w:val="008C59C0"/>
    <w:rsid w:val="008D0493"/>
    <w:rsid w:val="008D0E29"/>
    <w:rsid w:val="008E6365"/>
    <w:rsid w:val="00907BFA"/>
    <w:rsid w:val="00915C62"/>
    <w:rsid w:val="00933480"/>
    <w:rsid w:val="009375D8"/>
    <w:rsid w:val="009422B7"/>
    <w:rsid w:val="00942872"/>
    <w:rsid w:val="00951A6D"/>
    <w:rsid w:val="0095324F"/>
    <w:rsid w:val="00960FA7"/>
    <w:rsid w:val="00976E7D"/>
    <w:rsid w:val="009852EC"/>
    <w:rsid w:val="00986BCC"/>
    <w:rsid w:val="009960F8"/>
    <w:rsid w:val="00997F0A"/>
    <w:rsid w:val="009A24B4"/>
    <w:rsid w:val="009A7F0E"/>
    <w:rsid w:val="009C05FD"/>
    <w:rsid w:val="009C6B75"/>
    <w:rsid w:val="009D2E7B"/>
    <w:rsid w:val="009E0B49"/>
    <w:rsid w:val="009F0870"/>
    <w:rsid w:val="009F5D5C"/>
    <w:rsid w:val="009F6708"/>
    <w:rsid w:val="00A02E38"/>
    <w:rsid w:val="00A0350B"/>
    <w:rsid w:val="00A157E8"/>
    <w:rsid w:val="00A1687A"/>
    <w:rsid w:val="00A16DF4"/>
    <w:rsid w:val="00A20755"/>
    <w:rsid w:val="00A43274"/>
    <w:rsid w:val="00A541F1"/>
    <w:rsid w:val="00A74420"/>
    <w:rsid w:val="00A765E5"/>
    <w:rsid w:val="00A8275D"/>
    <w:rsid w:val="00A835E3"/>
    <w:rsid w:val="00A93C1C"/>
    <w:rsid w:val="00AA0352"/>
    <w:rsid w:val="00AA5B9A"/>
    <w:rsid w:val="00AB26F4"/>
    <w:rsid w:val="00AB7AEB"/>
    <w:rsid w:val="00AC1AD6"/>
    <w:rsid w:val="00AC2BB5"/>
    <w:rsid w:val="00AC4B62"/>
    <w:rsid w:val="00AD12E4"/>
    <w:rsid w:val="00B317F0"/>
    <w:rsid w:val="00B4227A"/>
    <w:rsid w:val="00B7592D"/>
    <w:rsid w:val="00B77275"/>
    <w:rsid w:val="00B800C7"/>
    <w:rsid w:val="00B81EA8"/>
    <w:rsid w:val="00BA1821"/>
    <w:rsid w:val="00BA71F8"/>
    <w:rsid w:val="00BA752A"/>
    <w:rsid w:val="00BD6867"/>
    <w:rsid w:val="00BE3680"/>
    <w:rsid w:val="00C002AF"/>
    <w:rsid w:val="00C02838"/>
    <w:rsid w:val="00C07EFD"/>
    <w:rsid w:val="00C12790"/>
    <w:rsid w:val="00C13302"/>
    <w:rsid w:val="00C1430B"/>
    <w:rsid w:val="00C1446D"/>
    <w:rsid w:val="00C1461B"/>
    <w:rsid w:val="00C264E3"/>
    <w:rsid w:val="00C33046"/>
    <w:rsid w:val="00C35BDF"/>
    <w:rsid w:val="00C4590E"/>
    <w:rsid w:val="00C5421A"/>
    <w:rsid w:val="00C66148"/>
    <w:rsid w:val="00C7548F"/>
    <w:rsid w:val="00C91698"/>
    <w:rsid w:val="00C9771A"/>
    <w:rsid w:val="00CC128B"/>
    <w:rsid w:val="00CD7330"/>
    <w:rsid w:val="00CE2758"/>
    <w:rsid w:val="00CE2B32"/>
    <w:rsid w:val="00D12DDB"/>
    <w:rsid w:val="00D150E1"/>
    <w:rsid w:val="00D1785C"/>
    <w:rsid w:val="00D33A10"/>
    <w:rsid w:val="00D351B0"/>
    <w:rsid w:val="00D35355"/>
    <w:rsid w:val="00D35C64"/>
    <w:rsid w:val="00D401BA"/>
    <w:rsid w:val="00D9642D"/>
    <w:rsid w:val="00DA2A5A"/>
    <w:rsid w:val="00DB0883"/>
    <w:rsid w:val="00DB698E"/>
    <w:rsid w:val="00DB71D1"/>
    <w:rsid w:val="00DD538A"/>
    <w:rsid w:val="00DD62F0"/>
    <w:rsid w:val="00E03DBA"/>
    <w:rsid w:val="00E12627"/>
    <w:rsid w:val="00E169D2"/>
    <w:rsid w:val="00E402C3"/>
    <w:rsid w:val="00E50765"/>
    <w:rsid w:val="00E77A99"/>
    <w:rsid w:val="00E94A3E"/>
    <w:rsid w:val="00E9655D"/>
    <w:rsid w:val="00EA3C05"/>
    <w:rsid w:val="00EA58DD"/>
    <w:rsid w:val="00EA760E"/>
    <w:rsid w:val="00ED6356"/>
    <w:rsid w:val="00F03C89"/>
    <w:rsid w:val="00F26A2A"/>
    <w:rsid w:val="00F36F13"/>
    <w:rsid w:val="00F378B8"/>
    <w:rsid w:val="00F4102B"/>
    <w:rsid w:val="00F50E9F"/>
    <w:rsid w:val="00F52D7E"/>
    <w:rsid w:val="00F53623"/>
    <w:rsid w:val="00F55B68"/>
    <w:rsid w:val="00F67DAE"/>
    <w:rsid w:val="00F767AF"/>
    <w:rsid w:val="00F819BE"/>
    <w:rsid w:val="00F875AA"/>
    <w:rsid w:val="00F95B99"/>
    <w:rsid w:val="00FA5C22"/>
    <w:rsid w:val="00FD45EB"/>
    <w:rsid w:val="00FD7F36"/>
    <w:rsid w:val="00FF7045"/>
    <w:rsid w:val="00FF7EB0"/>
    <w:rsid w:val="025D5D8A"/>
    <w:rsid w:val="09925F4F"/>
    <w:rsid w:val="0FD04605"/>
    <w:rsid w:val="1BE96977"/>
    <w:rsid w:val="203D7552"/>
    <w:rsid w:val="27F966EC"/>
    <w:rsid w:val="35015DDB"/>
    <w:rsid w:val="36007423"/>
    <w:rsid w:val="375A2361"/>
    <w:rsid w:val="3BE908EA"/>
    <w:rsid w:val="40157B4D"/>
    <w:rsid w:val="43212337"/>
    <w:rsid w:val="43466C32"/>
    <w:rsid w:val="46AB7BC0"/>
    <w:rsid w:val="4B772281"/>
    <w:rsid w:val="5F6785F2"/>
    <w:rsid w:val="5FDF01D1"/>
    <w:rsid w:val="5FEE9F0E"/>
    <w:rsid w:val="65564248"/>
    <w:rsid w:val="65FFCA73"/>
    <w:rsid w:val="66F711B7"/>
    <w:rsid w:val="67D1140E"/>
    <w:rsid w:val="6C9B1DF1"/>
    <w:rsid w:val="6EB7CB71"/>
    <w:rsid w:val="6F7D1830"/>
    <w:rsid w:val="777B1C1F"/>
    <w:rsid w:val="7CAF9F8F"/>
    <w:rsid w:val="7CF601FC"/>
    <w:rsid w:val="7DA72FB5"/>
    <w:rsid w:val="7DCF8983"/>
    <w:rsid w:val="7DF9C7AD"/>
    <w:rsid w:val="7FDD2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421A"/>
    <w:pPr>
      <w:widowControl w:val="0"/>
      <w:spacing w:line="360" w:lineRule="auto"/>
      <w:ind w:firstLineChars="200" w:firstLine="881"/>
      <w:jc w:val="both"/>
    </w:pPr>
    <w:rPr>
      <w:rFonts w:eastAsia="仿宋"/>
      <w:kern w:val="2"/>
      <w:sz w:val="32"/>
      <w:szCs w:val="24"/>
    </w:rPr>
  </w:style>
  <w:style w:type="paragraph" w:styleId="1">
    <w:name w:val="heading 1"/>
    <w:basedOn w:val="a"/>
    <w:next w:val="a"/>
    <w:qFormat/>
    <w:rsid w:val="00C5421A"/>
    <w:pPr>
      <w:keepNext/>
      <w:keepLines/>
      <w:spacing w:beforeLines="50" w:afterLines="50"/>
      <w:outlineLvl w:val="0"/>
    </w:pPr>
    <w:rPr>
      <w:rFonts w:eastAsia="黑体"/>
      <w:bCs/>
      <w:kern w:val="44"/>
      <w:szCs w:val="44"/>
    </w:rPr>
  </w:style>
  <w:style w:type="paragraph" w:styleId="2">
    <w:name w:val="heading 2"/>
    <w:next w:val="a"/>
    <w:link w:val="2Char"/>
    <w:unhideWhenUsed/>
    <w:qFormat/>
    <w:rsid w:val="00C5421A"/>
    <w:pPr>
      <w:keepNext/>
      <w:keepLines/>
      <w:spacing w:line="360" w:lineRule="auto"/>
      <w:ind w:firstLineChars="200" w:firstLine="881"/>
      <w:outlineLvl w:val="1"/>
    </w:pPr>
    <w:rPr>
      <w:rFonts w:eastAsia="仿宋" w:cstheme="minorBidi"/>
      <w:b/>
      <w:sz w:val="32"/>
    </w:rPr>
  </w:style>
  <w:style w:type="paragraph" w:styleId="3">
    <w:name w:val="heading 3"/>
    <w:basedOn w:val="a"/>
    <w:next w:val="a"/>
    <w:unhideWhenUsed/>
    <w:qFormat/>
    <w:rsid w:val="00C5421A"/>
    <w:pPr>
      <w:keepNext/>
      <w:keepLines/>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C5421A"/>
    <w:rPr>
      <w:rFonts w:ascii="宋体" w:eastAsia="仿宋_GB2312" w:hAnsi="宋体"/>
      <w:color w:val="000000"/>
      <w:sz w:val="24"/>
    </w:rPr>
  </w:style>
  <w:style w:type="paragraph" w:styleId="a4">
    <w:name w:val="annotation text"/>
    <w:basedOn w:val="a"/>
    <w:link w:val="Char"/>
    <w:qFormat/>
    <w:rsid w:val="00C5421A"/>
    <w:pPr>
      <w:jc w:val="left"/>
    </w:pPr>
    <w:rPr>
      <w:kern w:val="0"/>
      <w:sz w:val="20"/>
    </w:rPr>
  </w:style>
  <w:style w:type="paragraph" w:styleId="30">
    <w:name w:val="toc 3"/>
    <w:basedOn w:val="a"/>
    <w:next w:val="a"/>
    <w:uiPriority w:val="39"/>
    <w:qFormat/>
    <w:rsid w:val="00C5421A"/>
    <w:pPr>
      <w:ind w:firstLineChars="400" w:firstLine="840"/>
      <w:jc w:val="left"/>
    </w:pPr>
    <w:rPr>
      <w:rFonts w:ascii="等线" w:hAnsi="等线"/>
      <w:sz w:val="24"/>
      <w:szCs w:val="20"/>
    </w:rPr>
  </w:style>
  <w:style w:type="paragraph" w:styleId="a5">
    <w:name w:val="Balloon Text"/>
    <w:basedOn w:val="a"/>
    <w:link w:val="Char0"/>
    <w:qFormat/>
    <w:rsid w:val="00C5421A"/>
    <w:pPr>
      <w:spacing w:line="240" w:lineRule="auto"/>
    </w:pPr>
    <w:rPr>
      <w:sz w:val="18"/>
      <w:szCs w:val="18"/>
    </w:rPr>
  </w:style>
  <w:style w:type="paragraph" w:styleId="a6">
    <w:name w:val="footer"/>
    <w:basedOn w:val="a"/>
    <w:link w:val="Char1"/>
    <w:uiPriority w:val="99"/>
    <w:qFormat/>
    <w:rsid w:val="00C5421A"/>
    <w:pPr>
      <w:tabs>
        <w:tab w:val="center" w:pos="4153"/>
        <w:tab w:val="right" w:pos="8306"/>
      </w:tabs>
      <w:snapToGrid w:val="0"/>
      <w:spacing w:line="240" w:lineRule="auto"/>
      <w:jc w:val="left"/>
    </w:pPr>
    <w:rPr>
      <w:sz w:val="18"/>
      <w:szCs w:val="18"/>
    </w:rPr>
  </w:style>
  <w:style w:type="paragraph" w:styleId="a7">
    <w:name w:val="header"/>
    <w:basedOn w:val="a"/>
    <w:link w:val="Char2"/>
    <w:qFormat/>
    <w:rsid w:val="00C5421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C5421A"/>
    <w:pPr>
      <w:tabs>
        <w:tab w:val="right" w:leader="dot" w:pos="8302"/>
      </w:tabs>
      <w:jc w:val="left"/>
    </w:pPr>
    <w:rPr>
      <w:rFonts w:ascii="宋体" w:eastAsia="黑体" w:hAnsi="宋体" w:cs="宋体"/>
      <w:bCs/>
      <w:iCs/>
      <w:kern w:val="0"/>
      <w:sz w:val="24"/>
      <w:szCs w:val="28"/>
    </w:rPr>
  </w:style>
  <w:style w:type="paragraph" w:styleId="4">
    <w:name w:val="toc 4"/>
    <w:basedOn w:val="a"/>
    <w:next w:val="a"/>
    <w:qFormat/>
    <w:rsid w:val="00C5421A"/>
    <w:pPr>
      <w:spacing w:beforeLines="50" w:afterLines="50"/>
      <w:jc w:val="center"/>
    </w:pPr>
    <w:rPr>
      <w:rFonts w:ascii="等线" w:eastAsia="黑体" w:hAnsi="等线"/>
      <w:b/>
      <w:sz w:val="36"/>
      <w:szCs w:val="20"/>
    </w:rPr>
  </w:style>
  <w:style w:type="paragraph" w:styleId="20">
    <w:name w:val="toc 2"/>
    <w:basedOn w:val="a"/>
    <w:next w:val="a"/>
    <w:uiPriority w:val="39"/>
    <w:qFormat/>
    <w:rsid w:val="00C5421A"/>
    <w:pPr>
      <w:ind w:firstLine="420"/>
      <w:jc w:val="left"/>
    </w:pPr>
    <w:rPr>
      <w:rFonts w:ascii="等线" w:eastAsia="Kaiti SC" w:hAnsi="等线"/>
      <w:bCs/>
      <w:sz w:val="24"/>
      <w:szCs w:val="22"/>
    </w:rPr>
  </w:style>
  <w:style w:type="paragraph" w:styleId="a8">
    <w:name w:val="Title"/>
    <w:basedOn w:val="a"/>
    <w:qFormat/>
    <w:rsid w:val="00C5421A"/>
    <w:pPr>
      <w:spacing w:before="240" w:after="60"/>
      <w:jc w:val="center"/>
      <w:outlineLvl w:val="0"/>
    </w:pPr>
    <w:rPr>
      <w:rFonts w:ascii="DejaVu Sans" w:hAnsi="DejaVu Sans"/>
      <w:b/>
    </w:rPr>
  </w:style>
  <w:style w:type="paragraph" w:styleId="a9">
    <w:name w:val="annotation subject"/>
    <w:basedOn w:val="a4"/>
    <w:next w:val="a4"/>
    <w:link w:val="Char3"/>
    <w:qFormat/>
    <w:rsid w:val="00C5421A"/>
    <w:rPr>
      <w:b/>
      <w:bCs/>
      <w:kern w:val="2"/>
      <w:sz w:val="32"/>
    </w:rPr>
  </w:style>
  <w:style w:type="character" w:styleId="aa">
    <w:name w:val="Hyperlink"/>
    <w:basedOn w:val="a1"/>
    <w:uiPriority w:val="99"/>
    <w:unhideWhenUsed/>
    <w:qFormat/>
    <w:rsid w:val="00C5421A"/>
    <w:rPr>
      <w:color w:val="0563C1" w:themeColor="hyperlink"/>
      <w:u w:val="single"/>
    </w:rPr>
  </w:style>
  <w:style w:type="character" w:styleId="ab">
    <w:name w:val="annotation reference"/>
    <w:basedOn w:val="a1"/>
    <w:qFormat/>
    <w:rsid w:val="00C5421A"/>
    <w:rPr>
      <w:sz w:val="21"/>
      <w:szCs w:val="21"/>
    </w:rPr>
  </w:style>
  <w:style w:type="paragraph" w:customStyle="1" w:styleId="ac">
    <w:name w:val="表格文字"/>
    <w:basedOn w:val="a"/>
    <w:qFormat/>
    <w:rsid w:val="00C5421A"/>
    <w:pPr>
      <w:spacing w:line="240" w:lineRule="auto"/>
      <w:ind w:firstLineChars="0" w:firstLine="0"/>
    </w:pPr>
    <w:rPr>
      <w:b/>
      <w:sz w:val="21"/>
    </w:rPr>
  </w:style>
  <w:style w:type="character" w:customStyle="1" w:styleId="2Char">
    <w:name w:val="标题 2 Char"/>
    <w:link w:val="2"/>
    <w:qFormat/>
    <w:rsid w:val="00C5421A"/>
    <w:rPr>
      <w:rFonts w:ascii="Times New Roman" w:eastAsia="仿宋" w:hAnsi="Times New Roman"/>
      <w:b/>
      <w:sz w:val="32"/>
    </w:rPr>
  </w:style>
  <w:style w:type="character" w:customStyle="1" w:styleId="Char0">
    <w:name w:val="批注框文本 Char"/>
    <w:basedOn w:val="a1"/>
    <w:link w:val="a5"/>
    <w:qFormat/>
    <w:rsid w:val="00C5421A"/>
    <w:rPr>
      <w:rFonts w:eastAsia="仿宋"/>
      <w:kern w:val="2"/>
      <w:sz w:val="18"/>
      <w:szCs w:val="18"/>
    </w:rPr>
  </w:style>
  <w:style w:type="paragraph" w:customStyle="1" w:styleId="11">
    <w:name w:val="列表段落1"/>
    <w:basedOn w:val="a"/>
    <w:uiPriority w:val="99"/>
    <w:qFormat/>
    <w:rsid w:val="00C5421A"/>
    <w:pPr>
      <w:ind w:firstLine="420"/>
    </w:pPr>
  </w:style>
  <w:style w:type="character" w:customStyle="1" w:styleId="Char">
    <w:name w:val="批注文字 Char"/>
    <w:basedOn w:val="a1"/>
    <w:link w:val="a4"/>
    <w:qFormat/>
    <w:rsid w:val="00C5421A"/>
    <w:rPr>
      <w:rFonts w:eastAsia="仿宋"/>
      <w:szCs w:val="24"/>
    </w:rPr>
  </w:style>
  <w:style w:type="character" w:customStyle="1" w:styleId="Char3">
    <w:name w:val="批注主题 Char"/>
    <w:basedOn w:val="Char"/>
    <w:link w:val="a9"/>
    <w:qFormat/>
    <w:rsid w:val="00C5421A"/>
    <w:rPr>
      <w:rFonts w:eastAsia="仿宋"/>
      <w:b/>
      <w:bCs/>
      <w:kern w:val="2"/>
      <w:sz w:val="32"/>
      <w:szCs w:val="24"/>
    </w:rPr>
  </w:style>
  <w:style w:type="character" w:customStyle="1" w:styleId="Char2">
    <w:name w:val="页眉 Char"/>
    <w:basedOn w:val="a1"/>
    <w:link w:val="a7"/>
    <w:qFormat/>
    <w:rsid w:val="00C5421A"/>
    <w:rPr>
      <w:rFonts w:eastAsia="仿宋"/>
      <w:kern w:val="2"/>
      <w:sz w:val="18"/>
      <w:szCs w:val="18"/>
    </w:rPr>
  </w:style>
  <w:style w:type="character" w:customStyle="1" w:styleId="Char1">
    <w:name w:val="页脚 Char"/>
    <w:basedOn w:val="a1"/>
    <w:link w:val="a6"/>
    <w:uiPriority w:val="99"/>
    <w:qFormat/>
    <w:rsid w:val="00C5421A"/>
    <w:rPr>
      <w:rFonts w:eastAsia="仿宋"/>
      <w:kern w:val="2"/>
      <w:sz w:val="18"/>
      <w:szCs w:val="18"/>
    </w:rPr>
  </w:style>
  <w:style w:type="character" w:customStyle="1" w:styleId="12">
    <w:name w:val="正文1 字符"/>
    <w:link w:val="13"/>
    <w:uiPriority w:val="3"/>
    <w:qFormat/>
    <w:locked/>
    <w:rsid w:val="00C5421A"/>
    <w:rPr>
      <w:rFonts w:ascii="仿宋_GB2312" w:eastAsia="仿宋_GB2312"/>
      <w:sz w:val="32"/>
      <w:szCs w:val="28"/>
      <w:lang w:val="zh-CN"/>
    </w:rPr>
  </w:style>
  <w:style w:type="paragraph" w:customStyle="1" w:styleId="13">
    <w:name w:val="正文1"/>
    <w:basedOn w:val="a"/>
    <w:link w:val="12"/>
    <w:uiPriority w:val="3"/>
    <w:qFormat/>
    <w:rsid w:val="00C5421A"/>
    <w:pPr>
      <w:spacing w:line="580" w:lineRule="exact"/>
      <w:ind w:firstLine="640"/>
    </w:pPr>
    <w:rPr>
      <w:rFonts w:ascii="仿宋_GB2312" w:eastAsia="仿宋_GB2312"/>
      <w:kern w:val="0"/>
      <w:szCs w:val="28"/>
      <w:lang w:val="zh-CN"/>
    </w:rPr>
  </w:style>
  <w:style w:type="paragraph" w:customStyle="1" w:styleId="ad">
    <w:name w:val="封面完成时间"/>
    <w:basedOn w:val="ae"/>
    <w:qFormat/>
    <w:rsid w:val="00C5421A"/>
    <w:pPr>
      <w:ind w:leftChars="0" w:left="0"/>
      <w:jc w:val="center"/>
    </w:pPr>
    <w:rPr>
      <w:b/>
    </w:rPr>
  </w:style>
  <w:style w:type="paragraph" w:customStyle="1" w:styleId="ae">
    <w:name w:val="封面项目信息"/>
    <w:basedOn w:val="a"/>
    <w:next w:val="ad"/>
    <w:qFormat/>
    <w:rsid w:val="00C5421A"/>
    <w:pPr>
      <w:spacing w:before="120" w:line="240" w:lineRule="auto"/>
      <w:ind w:leftChars="800" w:left="800" w:firstLineChars="0" w:firstLine="0"/>
      <w:jc w:val="left"/>
    </w:pPr>
    <w:rPr>
      <w:rFonts w:eastAsia="黑体"/>
      <w:kern w:val="0"/>
      <w:sz w:val="28"/>
      <w:szCs w:val="28"/>
      <w:lang w:val="zh-CN"/>
    </w:rPr>
  </w:style>
  <w:style w:type="paragraph" w:customStyle="1" w:styleId="14">
    <w:name w:val="页码1"/>
    <w:uiPriority w:val="6"/>
    <w:qFormat/>
    <w:rsid w:val="00C5421A"/>
    <w:pPr>
      <w:jc w:val="center"/>
    </w:pPr>
    <w:rPr>
      <w:rFonts w:eastAsia="Times New Roman"/>
      <w:sz w:val="21"/>
      <w:szCs w:val="28"/>
    </w:rPr>
  </w:style>
  <w:style w:type="character" w:customStyle="1" w:styleId="af">
    <w:name w:val="表 字符"/>
    <w:link w:val="af0"/>
    <w:qFormat/>
    <w:rsid w:val="00C5421A"/>
    <w:rPr>
      <w:rFonts w:eastAsia="楷体"/>
      <w:b/>
      <w:sz w:val="24"/>
      <w:szCs w:val="28"/>
    </w:rPr>
  </w:style>
  <w:style w:type="paragraph" w:customStyle="1" w:styleId="af0">
    <w:name w:val="表"/>
    <w:basedOn w:val="a"/>
    <w:link w:val="af"/>
    <w:qFormat/>
    <w:rsid w:val="00C5421A"/>
    <w:pPr>
      <w:widowControl/>
      <w:spacing w:before="60" w:after="60" w:line="240" w:lineRule="auto"/>
      <w:ind w:firstLineChars="0" w:firstLine="0"/>
      <w:jc w:val="center"/>
    </w:pPr>
    <w:rPr>
      <w:rFonts w:eastAsia="楷体"/>
      <w:b/>
      <w:kern w:val="0"/>
      <w:sz w:val="24"/>
      <w:szCs w:val="28"/>
    </w:rPr>
  </w:style>
  <w:style w:type="paragraph" w:customStyle="1" w:styleId="af1">
    <w:name w:val="闻政页码"/>
    <w:uiPriority w:val="6"/>
    <w:qFormat/>
    <w:rsid w:val="00C5421A"/>
    <w:pPr>
      <w:jc w:val="center"/>
    </w:pPr>
    <w:rPr>
      <w:rFonts w:eastAsia="Times New Roman"/>
      <w:sz w:val="21"/>
      <w:szCs w:val="28"/>
    </w:rPr>
  </w:style>
  <w:style w:type="paragraph" w:customStyle="1" w:styleId="WPSOffice1">
    <w:name w:val="WPSOffice手动目录 1"/>
    <w:qFormat/>
    <w:rsid w:val="00C54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881"/>
      <w:jc w:val="both"/>
    </w:pPr>
    <w:rPr>
      <w:rFonts w:eastAsia="仿宋"/>
      <w:kern w:val="2"/>
      <w:sz w:val="32"/>
      <w:szCs w:val="24"/>
    </w:rPr>
  </w:style>
  <w:style w:type="paragraph" w:styleId="1">
    <w:name w:val="heading 1"/>
    <w:basedOn w:val="a"/>
    <w:next w:val="a"/>
    <w:qFormat/>
    <w:pPr>
      <w:keepNext/>
      <w:keepLines/>
      <w:spacing w:beforeLines="50" w:before="50" w:afterLines="50" w:after="50"/>
      <w:outlineLvl w:val="0"/>
    </w:pPr>
    <w:rPr>
      <w:rFonts w:eastAsia="黑体"/>
      <w:bCs/>
      <w:kern w:val="44"/>
      <w:szCs w:val="44"/>
    </w:rPr>
  </w:style>
  <w:style w:type="paragraph" w:styleId="2">
    <w:name w:val="heading 2"/>
    <w:next w:val="a"/>
    <w:link w:val="2Char"/>
    <w:unhideWhenUsed/>
    <w:qFormat/>
    <w:pPr>
      <w:keepNext/>
      <w:keepLines/>
      <w:spacing w:line="360" w:lineRule="auto"/>
      <w:ind w:firstLineChars="200" w:firstLine="881"/>
      <w:outlineLvl w:val="1"/>
    </w:pPr>
    <w:rPr>
      <w:rFonts w:eastAsia="仿宋" w:cstheme="minorBidi"/>
      <w:b/>
      <w:sz w:val="32"/>
    </w:rPr>
  </w:style>
  <w:style w:type="paragraph" w:styleId="3">
    <w:name w:val="heading 3"/>
    <w:basedOn w:val="a"/>
    <w:next w:val="a"/>
    <w:unhideWhenUsed/>
    <w:qFormat/>
    <w:pPr>
      <w:keepNext/>
      <w:keepLines/>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rFonts w:ascii="宋体" w:eastAsia="仿宋_GB2312" w:hAnsi="宋体"/>
      <w:color w:val="000000"/>
      <w:sz w:val="24"/>
    </w:rPr>
  </w:style>
  <w:style w:type="paragraph" w:styleId="a4">
    <w:name w:val="annotation text"/>
    <w:basedOn w:val="a"/>
    <w:link w:val="Char"/>
    <w:qFormat/>
    <w:pPr>
      <w:jc w:val="left"/>
    </w:pPr>
    <w:rPr>
      <w:kern w:val="0"/>
      <w:sz w:val="20"/>
    </w:rPr>
  </w:style>
  <w:style w:type="paragraph" w:styleId="30">
    <w:name w:val="toc 3"/>
    <w:basedOn w:val="a"/>
    <w:next w:val="a"/>
    <w:uiPriority w:val="39"/>
    <w:qFormat/>
    <w:pPr>
      <w:ind w:firstLineChars="400" w:firstLine="840"/>
      <w:jc w:val="left"/>
    </w:pPr>
    <w:rPr>
      <w:rFonts w:ascii="等线" w:hAnsi="等线"/>
      <w:sz w:val="24"/>
      <w:szCs w:val="20"/>
    </w:rPr>
  </w:style>
  <w:style w:type="paragraph" w:styleId="a5">
    <w:name w:val="Balloon Text"/>
    <w:basedOn w:val="a"/>
    <w:link w:val="Char0"/>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uto"/>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pPr>
      <w:tabs>
        <w:tab w:val="right" w:leader="dot" w:pos="8302"/>
      </w:tabs>
      <w:jc w:val="left"/>
    </w:pPr>
    <w:rPr>
      <w:rFonts w:ascii="宋体" w:eastAsia="黑体" w:hAnsi="宋体" w:cs="宋体"/>
      <w:bCs/>
      <w:iCs/>
      <w:kern w:val="0"/>
      <w:sz w:val="24"/>
      <w:szCs w:val="28"/>
    </w:rPr>
  </w:style>
  <w:style w:type="paragraph" w:styleId="4">
    <w:name w:val="toc 4"/>
    <w:basedOn w:val="a"/>
    <w:next w:val="a"/>
    <w:qFormat/>
    <w:pPr>
      <w:spacing w:beforeLines="50" w:before="50" w:afterLines="50" w:after="50"/>
      <w:jc w:val="center"/>
    </w:pPr>
    <w:rPr>
      <w:rFonts w:ascii="等线" w:eastAsia="黑体" w:hAnsi="等线"/>
      <w:b/>
      <w:sz w:val="36"/>
      <w:szCs w:val="20"/>
    </w:rPr>
  </w:style>
  <w:style w:type="paragraph" w:styleId="20">
    <w:name w:val="toc 2"/>
    <w:basedOn w:val="a"/>
    <w:next w:val="a"/>
    <w:uiPriority w:val="39"/>
    <w:qFormat/>
    <w:pPr>
      <w:ind w:firstLine="420"/>
      <w:jc w:val="left"/>
    </w:pPr>
    <w:rPr>
      <w:rFonts w:ascii="等线" w:eastAsia="Kaiti SC" w:hAnsi="等线"/>
      <w:bCs/>
      <w:sz w:val="24"/>
      <w:szCs w:val="22"/>
    </w:rPr>
  </w:style>
  <w:style w:type="paragraph" w:styleId="a8">
    <w:name w:val="Title"/>
    <w:basedOn w:val="a"/>
    <w:qFormat/>
    <w:pPr>
      <w:spacing w:before="240" w:after="60"/>
      <w:jc w:val="center"/>
      <w:outlineLvl w:val="0"/>
    </w:pPr>
    <w:rPr>
      <w:rFonts w:ascii="DejaVu Sans" w:hAnsi="DejaVu Sans"/>
      <w:b/>
    </w:rPr>
  </w:style>
  <w:style w:type="paragraph" w:styleId="a9">
    <w:name w:val="annotation subject"/>
    <w:basedOn w:val="a4"/>
    <w:next w:val="a4"/>
    <w:link w:val="Char3"/>
    <w:qFormat/>
    <w:rPr>
      <w:b/>
      <w:bCs/>
      <w:kern w:val="2"/>
      <w:sz w:val="32"/>
    </w:rPr>
  </w:style>
  <w:style w:type="character" w:styleId="aa">
    <w:name w:val="Hyperlink"/>
    <w:basedOn w:val="a1"/>
    <w:uiPriority w:val="99"/>
    <w:unhideWhenUsed/>
    <w:qFormat/>
    <w:rPr>
      <w:color w:val="0563C1" w:themeColor="hyperlink"/>
      <w:u w:val="single"/>
    </w:rPr>
  </w:style>
  <w:style w:type="character" w:styleId="ab">
    <w:name w:val="annotation reference"/>
    <w:basedOn w:val="a1"/>
    <w:qFormat/>
    <w:rPr>
      <w:sz w:val="21"/>
      <w:szCs w:val="21"/>
    </w:rPr>
  </w:style>
  <w:style w:type="paragraph" w:customStyle="1" w:styleId="ac">
    <w:name w:val="表格文字"/>
    <w:basedOn w:val="a"/>
    <w:qFormat/>
    <w:pPr>
      <w:spacing w:line="240" w:lineRule="auto"/>
      <w:ind w:firstLineChars="0" w:firstLine="0"/>
    </w:pPr>
    <w:rPr>
      <w:b/>
      <w:sz w:val="21"/>
    </w:rPr>
  </w:style>
  <w:style w:type="character" w:customStyle="1" w:styleId="2Char">
    <w:name w:val="标题 2 Char"/>
    <w:link w:val="2"/>
    <w:qFormat/>
    <w:rPr>
      <w:rFonts w:ascii="Times New Roman" w:eastAsia="仿宋" w:hAnsi="Times New Roman"/>
      <w:b/>
      <w:sz w:val="32"/>
    </w:rPr>
  </w:style>
  <w:style w:type="character" w:customStyle="1" w:styleId="Char0">
    <w:name w:val="批注框文本 Char"/>
    <w:basedOn w:val="a1"/>
    <w:link w:val="a5"/>
    <w:qFormat/>
    <w:rPr>
      <w:rFonts w:eastAsia="仿宋"/>
      <w:kern w:val="2"/>
      <w:sz w:val="18"/>
      <w:szCs w:val="18"/>
    </w:rPr>
  </w:style>
  <w:style w:type="paragraph" w:customStyle="1" w:styleId="11">
    <w:name w:val="列表段落1"/>
    <w:basedOn w:val="a"/>
    <w:uiPriority w:val="99"/>
    <w:qFormat/>
    <w:pPr>
      <w:ind w:firstLine="420"/>
    </w:pPr>
  </w:style>
  <w:style w:type="character" w:customStyle="1" w:styleId="Char">
    <w:name w:val="批注文字 Char"/>
    <w:basedOn w:val="a1"/>
    <w:link w:val="a4"/>
    <w:qFormat/>
    <w:rPr>
      <w:rFonts w:eastAsia="仿宋"/>
      <w:szCs w:val="24"/>
    </w:rPr>
  </w:style>
  <w:style w:type="character" w:customStyle="1" w:styleId="Char3">
    <w:name w:val="批注主题 Char"/>
    <w:basedOn w:val="Char"/>
    <w:link w:val="a9"/>
    <w:qFormat/>
    <w:rPr>
      <w:rFonts w:eastAsia="仿宋"/>
      <w:b/>
      <w:bCs/>
      <w:kern w:val="2"/>
      <w:sz w:val="32"/>
      <w:szCs w:val="24"/>
    </w:rPr>
  </w:style>
  <w:style w:type="character" w:customStyle="1" w:styleId="Char2">
    <w:name w:val="页眉 Char"/>
    <w:basedOn w:val="a1"/>
    <w:link w:val="a7"/>
    <w:qFormat/>
    <w:rPr>
      <w:rFonts w:eastAsia="仿宋"/>
      <w:kern w:val="2"/>
      <w:sz w:val="18"/>
      <w:szCs w:val="18"/>
    </w:rPr>
  </w:style>
  <w:style w:type="character" w:customStyle="1" w:styleId="Char1">
    <w:name w:val="页脚 Char"/>
    <w:basedOn w:val="a1"/>
    <w:link w:val="a6"/>
    <w:uiPriority w:val="99"/>
    <w:qFormat/>
    <w:rPr>
      <w:rFonts w:eastAsia="仿宋"/>
      <w:kern w:val="2"/>
      <w:sz w:val="18"/>
      <w:szCs w:val="18"/>
    </w:rPr>
  </w:style>
  <w:style w:type="character" w:customStyle="1" w:styleId="12">
    <w:name w:val="正文1 字符"/>
    <w:link w:val="13"/>
    <w:uiPriority w:val="3"/>
    <w:qFormat/>
    <w:locked/>
    <w:rPr>
      <w:rFonts w:ascii="仿宋_GB2312" w:eastAsia="仿宋_GB2312"/>
      <w:sz w:val="32"/>
      <w:szCs w:val="28"/>
      <w:lang w:val="zh-CN"/>
    </w:rPr>
  </w:style>
  <w:style w:type="paragraph" w:customStyle="1" w:styleId="13">
    <w:name w:val="正文1"/>
    <w:basedOn w:val="a"/>
    <w:link w:val="12"/>
    <w:uiPriority w:val="3"/>
    <w:qFormat/>
    <w:pPr>
      <w:spacing w:line="580" w:lineRule="exact"/>
      <w:ind w:firstLine="640"/>
    </w:pPr>
    <w:rPr>
      <w:rFonts w:ascii="仿宋_GB2312" w:eastAsia="仿宋_GB2312"/>
      <w:kern w:val="0"/>
      <w:szCs w:val="28"/>
      <w:lang w:val="zh-CN"/>
    </w:rPr>
  </w:style>
  <w:style w:type="paragraph" w:customStyle="1" w:styleId="ad">
    <w:name w:val="封面完成时间"/>
    <w:basedOn w:val="ae"/>
    <w:qFormat/>
    <w:pPr>
      <w:ind w:leftChars="0" w:left="0"/>
      <w:jc w:val="center"/>
    </w:pPr>
    <w:rPr>
      <w:b/>
    </w:rPr>
  </w:style>
  <w:style w:type="paragraph" w:customStyle="1" w:styleId="ae">
    <w:name w:val="封面项目信息"/>
    <w:basedOn w:val="a"/>
    <w:next w:val="ad"/>
    <w:qFormat/>
    <w:pPr>
      <w:spacing w:before="120" w:line="240" w:lineRule="auto"/>
      <w:ind w:leftChars="800" w:left="800" w:firstLineChars="0" w:firstLine="0"/>
      <w:jc w:val="left"/>
    </w:pPr>
    <w:rPr>
      <w:rFonts w:eastAsia="黑体"/>
      <w:kern w:val="0"/>
      <w:sz w:val="28"/>
      <w:szCs w:val="28"/>
      <w:lang w:val="zh-CN"/>
    </w:rPr>
  </w:style>
  <w:style w:type="paragraph" w:customStyle="1" w:styleId="14">
    <w:name w:val="页码1"/>
    <w:uiPriority w:val="6"/>
    <w:qFormat/>
    <w:pPr>
      <w:jc w:val="center"/>
    </w:pPr>
    <w:rPr>
      <w:rFonts w:eastAsia="Times New Roman"/>
      <w:sz w:val="21"/>
      <w:szCs w:val="28"/>
    </w:rPr>
  </w:style>
  <w:style w:type="character" w:customStyle="1" w:styleId="af">
    <w:name w:val="表 字符"/>
    <w:link w:val="af0"/>
    <w:qFormat/>
    <w:rPr>
      <w:rFonts w:eastAsia="楷体"/>
      <w:b/>
      <w:sz w:val="24"/>
      <w:szCs w:val="28"/>
    </w:rPr>
  </w:style>
  <w:style w:type="paragraph" w:customStyle="1" w:styleId="af0">
    <w:name w:val="表"/>
    <w:basedOn w:val="a"/>
    <w:link w:val="af"/>
    <w:qFormat/>
    <w:pPr>
      <w:widowControl/>
      <w:spacing w:before="60" w:after="60" w:line="240" w:lineRule="auto"/>
      <w:ind w:firstLineChars="0" w:firstLine="0"/>
      <w:jc w:val="center"/>
    </w:pPr>
    <w:rPr>
      <w:rFonts w:eastAsia="楷体"/>
      <w:b/>
      <w:kern w:val="0"/>
      <w:sz w:val="24"/>
      <w:szCs w:val="28"/>
    </w:rPr>
  </w:style>
  <w:style w:type="paragraph" w:customStyle="1" w:styleId="af1">
    <w:name w:val="闻政页码"/>
    <w:uiPriority w:val="6"/>
    <w:qFormat/>
    <w:pPr>
      <w:jc w:val="center"/>
    </w:pPr>
    <w:rPr>
      <w:rFonts w:eastAsia="Times New Roman"/>
      <w:sz w:val="21"/>
      <w:szCs w:val="28"/>
    </w:rPr>
  </w:style>
  <w:style w:type="paragraph" w:customStyle="1" w:styleId="WPSOffice1">
    <w:name w:val="WPSOffice手动目录 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945</Words>
  <Characters>5391</Characters>
  <Application>Microsoft Office Word</Application>
  <DocSecurity>0</DocSecurity>
  <Lines>44</Lines>
  <Paragraphs>12</Paragraphs>
  <ScaleCrop>false</ScaleCrop>
  <Company>HP</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shiwengong</dc:creator>
  <cp:lastModifiedBy>admin</cp:lastModifiedBy>
  <cp:revision>2</cp:revision>
  <cp:lastPrinted>2021-07-28T06:45:00Z</cp:lastPrinted>
  <dcterms:created xsi:type="dcterms:W3CDTF">2021-09-15T08:08:00Z</dcterms:created>
  <dcterms:modified xsi:type="dcterms:W3CDTF">2021-09-15T08:08:00Z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