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6"/>
        <w:spacing w:line="520" w:lineRule="exact"/>
        <w:rPr>
          <w:rFonts w:ascii="宋体" w:hAnsi="宋体" w:eastAsia="宋体" w:cs="宋体"/>
        </w:rPr>
      </w:pPr>
    </w:p>
    <w:p>
      <w:pPr>
        <w:pStyle w:val="4"/>
        <w:spacing w:line="520" w:lineRule="exact"/>
        <w:ind w:firstLine="883"/>
        <w:jc w:val="center"/>
        <w:outlineLvl w:val="0"/>
        <w:rPr>
          <w:rFonts w:ascii="方正小标宋_GBK" w:eastAsia="方正小标宋_GBK" w:cs="文星简黑体"/>
          <w:sz w:val="44"/>
          <w:szCs w:val="44"/>
        </w:rPr>
      </w:pPr>
      <w:r>
        <w:rPr>
          <w:rFonts w:hint="eastAsia" w:ascii="宋体" w:hAnsi="宋体" w:eastAsia="方正小标宋_GBK"/>
          <w:b/>
          <w:sz w:val="44"/>
          <w:szCs w:val="44"/>
          <w:lang w:val="en-US"/>
        </w:rPr>
        <w:t>2020</w:t>
      </w:r>
      <w:r>
        <w:rPr>
          <w:rFonts w:hint="eastAsia" w:ascii="方正小标宋_GBK" w:eastAsia="方正小标宋_GBK" w:cs="文星简黑体"/>
          <w:sz w:val="44"/>
          <w:szCs w:val="44"/>
        </w:rPr>
        <w:t>年度中共青岛市委政策研究室</w:t>
      </w:r>
    </w:p>
    <w:p>
      <w:pPr>
        <w:spacing w:line="520" w:lineRule="exact"/>
        <w:ind w:left="880" w:hanging="880"/>
        <w:jc w:val="center"/>
        <w:outlineLvl w:val="0"/>
        <w:rPr>
          <w:rFonts w:ascii="方正小标宋_GBK" w:eastAsia="方正小标宋_GBK" w:cs="文星简黑体"/>
          <w:sz w:val="44"/>
          <w:szCs w:val="44"/>
        </w:rPr>
      </w:pPr>
      <w:r>
        <w:rPr>
          <w:rFonts w:hint="eastAsia" w:ascii="方正小标宋_GBK" w:eastAsia="方正小标宋_GBK" w:cs="文星简黑体"/>
          <w:sz w:val="44"/>
          <w:szCs w:val="44"/>
        </w:rPr>
        <w:t>整体支出绩效评价报告</w:t>
      </w:r>
    </w:p>
    <w:p>
      <w:pPr>
        <w:spacing w:line="520" w:lineRule="exact"/>
        <w:ind w:left="1040" w:hanging="1040"/>
        <w:jc w:val="right"/>
        <w:rPr>
          <w:rFonts w:ascii="文星简黑体" w:eastAsia="文星简黑体"/>
          <w:sz w:val="52"/>
          <w:szCs w:val="52"/>
        </w:rPr>
      </w:pPr>
    </w:p>
    <w:p>
      <w:pPr>
        <w:spacing w:line="520" w:lineRule="exact"/>
        <w:ind w:left="1040" w:hanging="1040"/>
        <w:jc w:val="center"/>
        <w:rPr>
          <w:rFonts w:ascii="文星简黑体" w:eastAsia="文星简黑体"/>
          <w:sz w:val="52"/>
          <w:szCs w:val="52"/>
        </w:rPr>
      </w:pPr>
    </w:p>
    <w:p>
      <w:pPr>
        <w:spacing w:line="520" w:lineRule="exact"/>
        <w:ind w:left="1040" w:hanging="1040"/>
        <w:jc w:val="center"/>
        <w:rPr>
          <w:rFonts w:ascii="文星简黑体" w:eastAsia="文星简黑体"/>
          <w:sz w:val="52"/>
          <w:szCs w:val="52"/>
        </w:rPr>
      </w:pPr>
    </w:p>
    <w:p>
      <w:pPr>
        <w:spacing w:before="120" w:after="120" w:line="520" w:lineRule="exact"/>
        <w:ind w:left="0" w:firstLine="0"/>
        <w:outlineLvl w:val="1"/>
        <w:rPr>
          <w:rFonts w:ascii="黑体" w:hAnsi="黑体" w:eastAsia="黑体"/>
          <w:sz w:val="32"/>
          <w:szCs w:val="32"/>
        </w:rPr>
      </w:pPr>
      <w:r>
        <w:rPr>
          <w:rFonts w:hint="eastAsia" w:ascii="黑体" w:hAnsi="黑体" w:eastAsia="黑体" w:cs="文星简黑体"/>
          <w:kern w:val="0"/>
          <w:sz w:val="32"/>
          <w:szCs w:val="32"/>
        </w:rPr>
        <w:t>评价</w:t>
      </w:r>
      <w:r>
        <w:rPr>
          <w:rFonts w:hint="eastAsia" w:ascii="黑体" w:hAnsi="黑体" w:eastAsia="黑体" w:cs="文星简黑体"/>
          <w:kern w:val="0"/>
          <w:sz w:val="32"/>
          <w:szCs w:val="32"/>
          <w:fitText w:val="1600" w:id="0"/>
        </w:rPr>
        <w:t>单位</w:t>
      </w:r>
      <w:r>
        <w:rPr>
          <w:rFonts w:hint="eastAsia" w:ascii="黑体" w:hAnsi="黑体" w:eastAsia="黑体" w:cs="文星简黑体"/>
          <w:sz w:val="32"/>
          <w:szCs w:val="32"/>
        </w:rPr>
        <w:t>：</w:t>
      </w:r>
      <w:r>
        <w:rPr>
          <w:rFonts w:hint="eastAsia" w:ascii="黑体" w:hAnsi="黑体" w:eastAsia="黑体"/>
          <w:sz w:val="32"/>
          <w:szCs w:val="32"/>
        </w:rPr>
        <w:t>青岛市财政局</w:t>
      </w:r>
    </w:p>
    <w:p>
      <w:pPr>
        <w:spacing w:before="120" w:after="120" w:line="520" w:lineRule="exact"/>
        <w:ind w:left="2240" w:hanging="2240" w:hangingChars="700"/>
        <w:outlineLvl w:val="1"/>
        <w:rPr>
          <w:rFonts w:ascii="黑体" w:hAnsi="黑体" w:eastAsia="黑体"/>
          <w:sz w:val="32"/>
          <w:szCs w:val="32"/>
        </w:rPr>
      </w:pPr>
      <w:r>
        <w:rPr>
          <w:rFonts w:hint="eastAsia" w:ascii="黑体" w:hAnsi="黑体" w:eastAsia="黑体" w:cs="文星简黑体"/>
          <w:sz w:val="32"/>
          <w:szCs w:val="32"/>
        </w:rPr>
        <w:t>被评价单位：中共青岛市委政策研究室</w:t>
      </w:r>
    </w:p>
    <w:p>
      <w:pPr>
        <w:spacing w:before="120" w:after="120" w:line="520" w:lineRule="exact"/>
        <w:ind w:left="640" w:hanging="640"/>
        <w:jc w:val="left"/>
        <w:rPr>
          <w:rFonts w:ascii="黑体" w:hAnsi="黑体" w:eastAsia="黑体"/>
          <w:sz w:val="32"/>
          <w:szCs w:val="32"/>
          <w:highlight w:val="yellow"/>
        </w:rPr>
      </w:pPr>
    </w:p>
    <w:p>
      <w:pPr>
        <w:spacing w:before="120" w:after="120" w:line="520" w:lineRule="exact"/>
        <w:ind w:left="640" w:hanging="640"/>
        <w:jc w:val="center"/>
        <w:rPr>
          <w:rFonts w:ascii="黑体" w:hAnsi="黑体" w:eastAsia="黑体"/>
          <w:sz w:val="32"/>
          <w:szCs w:val="32"/>
        </w:rPr>
      </w:pPr>
    </w:p>
    <w:p>
      <w:pPr>
        <w:spacing w:before="120" w:after="120" w:line="520" w:lineRule="exact"/>
        <w:rPr>
          <w:rFonts w:ascii="黑体" w:hAnsi="黑体" w:eastAsia="黑体"/>
          <w:sz w:val="32"/>
          <w:szCs w:val="32"/>
        </w:rPr>
      </w:pPr>
    </w:p>
    <w:p>
      <w:pPr>
        <w:pStyle w:val="2"/>
      </w:pPr>
    </w:p>
    <w:p>
      <w:pPr>
        <w:spacing w:before="120" w:after="120" w:line="520" w:lineRule="exact"/>
        <w:jc w:val="center"/>
        <w:outlineLvl w:val="1"/>
        <w:rPr>
          <w:rFonts w:ascii="黑体" w:hAnsi="黑体" w:eastAsia="黑体" w:cs="文星简黑体"/>
          <w:sz w:val="32"/>
          <w:szCs w:val="32"/>
        </w:rPr>
      </w:pPr>
      <w:r>
        <w:rPr>
          <w:rFonts w:hint="eastAsia" w:ascii="黑体" w:hAnsi="黑体" w:eastAsia="黑体" w:cs="文星简黑体"/>
          <w:sz w:val="32"/>
          <w:szCs w:val="32"/>
        </w:rPr>
        <w:t>2021年7月</w:t>
      </w:r>
    </w:p>
    <w:p>
      <w:pPr>
        <w:spacing w:before="120" w:after="120" w:line="520" w:lineRule="exact"/>
        <w:jc w:val="center"/>
        <w:rPr>
          <w:rFonts w:ascii="黑体" w:hAnsi="黑体" w:eastAsia="黑体" w:cs="文星简黑体"/>
          <w:sz w:val="32"/>
          <w:szCs w:val="32"/>
        </w:rPr>
      </w:pPr>
    </w:p>
    <w:p>
      <w:pPr>
        <w:widowControl/>
        <w:spacing w:line="520" w:lineRule="exact"/>
        <w:jc w:val="left"/>
        <w:rPr>
          <w:rFonts w:ascii="Times New Roman" w:hAnsi="Times New Roman" w:eastAsia="黑体" w:cs="Times New Roman"/>
          <w:b/>
          <w:kern w:val="0"/>
          <w:sz w:val="28"/>
          <w:szCs w:val="28"/>
          <w:lang w:val="zh-CN"/>
        </w:rPr>
      </w:pPr>
    </w:p>
    <w:p>
      <w:pPr>
        <w:pStyle w:val="45"/>
        <w:spacing w:line="520" w:lineRule="exact"/>
        <w:sectPr>
          <w:headerReference r:id="rId3" w:type="default"/>
          <w:footerReference r:id="rId4" w:type="default"/>
          <w:footnotePr>
            <w:numRestart w:val="eachPage"/>
          </w:footnotePr>
          <w:pgSz w:w="11906" w:h="16838"/>
          <w:pgMar w:top="1440" w:right="1800" w:bottom="1440" w:left="1800" w:header="851" w:footer="992" w:gutter="0"/>
          <w:cols w:space="720" w:num="1"/>
          <w:docGrid w:linePitch="312" w:charSpace="0"/>
        </w:sectPr>
      </w:pPr>
    </w:p>
    <w:p>
      <w:pPr>
        <w:pStyle w:val="4"/>
        <w:spacing w:line="520" w:lineRule="exact"/>
        <w:ind w:firstLine="0" w:firstLineChars="0"/>
        <w:jc w:val="center"/>
        <w:outlineLvl w:val="0"/>
        <w:rPr>
          <w:rFonts w:ascii="方正小标宋_GBK" w:hAnsi="方正小标宋_GBK" w:eastAsia="方正小标宋_GBK" w:cs="方正小标宋_GBK"/>
          <w:bCs/>
          <w:sz w:val="44"/>
          <w:szCs w:val="44"/>
          <w:lang w:val="en-US"/>
        </w:rPr>
      </w:pPr>
      <w:r>
        <w:rPr>
          <w:rFonts w:ascii="方正小标宋_GBK" w:hAnsi="方正小标宋_GBK" w:eastAsia="方正小标宋_GBK" w:cs="方正小标宋_GBK"/>
          <w:bCs/>
          <w:sz w:val="44"/>
          <w:szCs w:val="44"/>
          <w:lang w:val="en-US"/>
        </w:rPr>
        <w:t>2020年度</w:t>
      </w:r>
      <w:r>
        <w:rPr>
          <w:rFonts w:hint="eastAsia" w:ascii="方正小标宋_GBK" w:hAnsi="方正小标宋_GBK" w:eastAsia="方正小标宋_GBK" w:cs="方正小标宋_GBK"/>
          <w:bCs/>
          <w:sz w:val="44"/>
          <w:szCs w:val="44"/>
        </w:rPr>
        <w:t>中共青岛市委政策研究室</w:t>
      </w:r>
    </w:p>
    <w:p>
      <w:pPr>
        <w:pStyle w:val="4"/>
        <w:spacing w:line="520" w:lineRule="exact"/>
        <w:ind w:firstLine="0" w:firstLineChars="0"/>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整体支出</w:t>
      </w:r>
      <w:r>
        <w:rPr>
          <w:rFonts w:ascii="方正小标宋_GBK" w:hAnsi="方正小标宋_GBK" w:eastAsia="方正小标宋_GBK" w:cs="方正小标宋_GBK"/>
          <w:bCs/>
          <w:sz w:val="44"/>
          <w:szCs w:val="44"/>
        </w:rPr>
        <w:t>绩效评价</w:t>
      </w:r>
      <w:r>
        <w:rPr>
          <w:rFonts w:hint="eastAsia" w:ascii="方正小标宋_GBK" w:hAnsi="方正小标宋_GBK" w:eastAsia="方正小标宋_GBK" w:cs="方正小标宋_GBK"/>
          <w:bCs/>
          <w:sz w:val="44"/>
          <w:szCs w:val="44"/>
        </w:rPr>
        <w:t>报告</w:t>
      </w:r>
    </w:p>
    <w:p>
      <w:pPr>
        <w:pStyle w:val="4"/>
        <w:spacing w:line="520" w:lineRule="exact"/>
        <w:ind w:firstLine="0" w:firstLineChars="0"/>
        <w:jc w:val="center"/>
        <w:rPr>
          <w:rFonts w:ascii="宋体" w:hAnsi="宋体"/>
          <w:bCs/>
          <w:sz w:val="44"/>
          <w:szCs w:val="44"/>
          <w:lang w:val="en-US"/>
        </w:rPr>
      </w:pPr>
    </w:p>
    <w:p>
      <w:pPr>
        <w:pStyle w:val="3"/>
        <w:numPr>
          <w:ilvl w:val="0"/>
          <w:numId w:val="0"/>
        </w:numPr>
        <w:spacing w:before="0" w:after="0" w:line="560" w:lineRule="exact"/>
        <w:ind w:firstLine="640" w:firstLineChars="200"/>
        <w:rPr>
          <w:rFonts w:ascii="黑体" w:hAnsi="黑体" w:cs="黑体"/>
          <w:bCs w:val="0"/>
          <w:kern w:val="0"/>
          <w:szCs w:val="32"/>
          <w:lang w:val="en-US"/>
        </w:rPr>
      </w:pPr>
      <w:r>
        <w:rPr>
          <w:rFonts w:hint="eastAsia" w:ascii="黑体" w:hAnsi="黑体" w:cs="黑体"/>
          <w:bCs w:val="0"/>
          <w:kern w:val="0"/>
          <w:szCs w:val="32"/>
          <w:lang w:val="en-US"/>
        </w:rPr>
        <w:t>一、部门基本情况</w:t>
      </w:r>
    </w:p>
    <w:p>
      <w:pPr>
        <w:pStyle w:val="3"/>
        <w:numPr>
          <w:ilvl w:val="0"/>
          <w:numId w:val="0"/>
        </w:numPr>
        <w:spacing w:before="0" w:after="0" w:line="560" w:lineRule="exact"/>
        <w:ind w:firstLine="640" w:firstLineChars="200"/>
        <w:rPr>
          <w:rFonts w:ascii="仿宋" w:hAnsi="仿宋" w:eastAsia="仿宋" w:cs="仿宋"/>
          <w:bCs w:val="0"/>
          <w:szCs w:val="32"/>
          <w:lang w:val="en-US"/>
        </w:rPr>
      </w:pPr>
      <w:r>
        <w:rPr>
          <w:rFonts w:hint="eastAsia" w:ascii="楷体_GB2312" w:eastAsia="楷体_GB2312" w:cstheme="majorBidi"/>
          <w:bCs w:val="0"/>
          <w:kern w:val="0"/>
          <w:szCs w:val="32"/>
          <w:lang w:val="en-US"/>
        </w:rPr>
        <w:t>（一）</w:t>
      </w:r>
      <w:bookmarkStart w:id="0" w:name="_Toc26964728"/>
      <w:r>
        <w:rPr>
          <w:rFonts w:hint="eastAsia" w:ascii="楷体_GB2312" w:eastAsia="楷体_GB2312" w:cstheme="majorBidi"/>
          <w:bCs w:val="0"/>
          <w:kern w:val="0"/>
          <w:szCs w:val="32"/>
          <w:lang w:val="en-US"/>
        </w:rPr>
        <w:t>部门概况</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1.部门职能</w:t>
      </w:r>
    </w:p>
    <w:p>
      <w:pPr>
        <w:pStyle w:val="4"/>
        <w:spacing w:line="560" w:lineRule="exact"/>
        <w:ind w:firstLine="640"/>
        <w:rPr>
          <w:rFonts w:ascii="仿宋_GB2312"/>
          <w:sz w:val="32"/>
          <w:szCs w:val="32"/>
          <w:lang w:val="en-US"/>
        </w:rPr>
      </w:pPr>
      <w:r>
        <w:rPr>
          <w:rFonts w:hint="eastAsia" w:ascii="仿宋_GB2312"/>
          <w:sz w:val="32"/>
          <w:szCs w:val="32"/>
          <w:lang w:val="en-US"/>
        </w:rPr>
        <w:t>（1）贯彻党中央决策部署，落实省委、市委工作要求，组织开展经济、政治、文化、社会、生态文明和党的建设等领域的调查研究，收集、整理、分析信息资料，为市委决策提供参考和建议。</w:t>
      </w:r>
    </w:p>
    <w:p>
      <w:pPr>
        <w:pStyle w:val="4"/>
        <w:spacing w:line="560" w:lineRule="exact"/>
        <w:ind w:firstLine="640"/>
        <w:rPr>
          <w:rFonts w:ascii="仿宋_GB2312"/>
          <w:sz w:val="32"/>
          <w:szCs w:val="32"/>
          <w:lang w:val="en-US"/>
        </w:rPr>
      </w:pPr>
      <w:r>
        <w:rPr>
          <w:rFonts w:hint="eastAsia" w:ascii="仿宋_GB2312"/>
          <w:sz w:val="32"/>
          <w:szCs w:val="32"/>
          <w:lang w:val="en-US"/>
        </w:rPr>
        <w:t>（2）做好党中央决策部署以及省委、市委工作要求落实情况的跟踪调查，为进一步完善和实施决策提供建议。</w:t>
      </w:r>
    </w:p>
    <w:p>
      <w:pPr>
        <w:pStyle w:val="4"/>
        <w:spacing w:line="560" w:lineRule="exact"/>
        <w:ind w:firstLine="640"/>
        <w:rPr>
          <w:rFonts w:ascii="仿宋_GB2312"/>
          <w:sz w:val="32"/>
          <w:szCs w:val="32"/>
          <w:lang w:val="en-US"/>
        </w:rPr>
      </w:pPr>
      <w:r>
        <w:rPr>
          <w:rFonts w:hint="eastAsia" w:ascii="仿宋_GB2312"/>
          <w:sz w:val="32"/>
          <w:szCs w:val="32"/>
          <w:lang w:val="en-US"/>
        </w:rPr>
        <w:t>（3）按照市委要求，组织起草、修改市委重要文稿和报告，起草、审修市委领导同志的讲话和其他文稿。</w:t>
      </w:r>
    </w:p>
    <w:p>
      <w:pPr>
        <w:pStyle w:val="4"/>
        <w:spacing w:line="560" w:lineRule="exact"/>
        <w:ind w:firstLine="640"/>
        <w:rPr>
          <w:rFonts w:ascii="仿宋_GB2312"/>
          <w:sz w:val="32"/>
          <w:szCs w:val="32"/>
          <w:lang w:val="en-US"/>
        </w:rPr>
      </w:pPr>
      <w:r>
        <w:rPr>
          <w:rFonts w:hint="eastAsia" w:ascii="仿宋_GB2312"/>
          <w:sz w:val="32"/>
          <w:szCs w:val="32"/>
          <w:lang w:val="en-US"/>
        </w:rPr>
        <w:t>（4）负责组织撰写文章和著作，宣传阐释党的路线方针政策和市委重大决策部署，编辑《青岛通讯》等刊物、信息资料，总结推广典型经验。</w:t>
      </w:r>
    </w:p>
    <w:p>
      <w:pPr>
        <w:pStyle w:val="4"/>
        <w:spacing w:line="560" w:lineRule="exact"/>
        <w:ind w:firstLine="640"/>
        <w:rPr>
          <w:rFonts w:ascii="仿宋_GB2312"/>
          <w:sz w:val="32"/>
          <w:szCs w:val="32"/>
          <w:lang w:val="en-US"/>
        </w:rPr>
      </w:pPr>
      <w:r>
        <w:rPr>
          <w:rFonts w:hint="eastAsia" w:ascii="仿宋_GB2312"/>
          <w:sz w:val="32"/>
          <w:szCs w:val="32"/>
          <w:lang w:val="en-US"/>
        </w:rPr>
        <w:t>（5）研究全市制度创新重大问题，组织协调开展重大制度创新，负责重大制度创新成果的评估论证，负责重大制度创新成果的实施应用。</w:t>
      </w:r>
    </w:p>
    <w:p>
      <w:pPr>
        <w:pStyle w:val="4"/>
        <w:spacing w:line="560" w:lineRule="exact"/>
        <w:ind w:firstLine="640"/>
        <w:rPr>
          <w:rFonts w:ascii="仿宋_GB2312"/>
          <w:sz w:val="32"/>
          <w:szCs w:val="32"/>
          <w:lang w:val="en-US"/>
        </w:rPr>
      </w:pPr>
      <w:r>
        <w:rPr>
          <w:rFonts w:hint="eastAsia" w:ascii="仿宋_GB2312"/>
          <w:sz w:val="32"/>
          <w:szCs w:val="32"/>
          <w:lang w:val="en-US"/>
        </w:rPr>
        <w:t>（6）组织研究论证重大政策问题，组织开展决策咨询，发挥专家智库作用，建立借用外脑开展重大课题研究机制，组织协调全市重大课题调研工作。</w:t>
      </w:r>
    </w:p>
    <w:p>
      <w:pPr>
        <w:pStyle w:val="4"/>
        <w:spacing w:line="560" w:lineRule="exact"/>
        <w:ind w:firstLine="640"/>
        <w:rPr>
          <w:rFonts w:ascii="仿宋_GB2312"/>
          <w:sz w:val="32"/>
          <w:szCs w:val="32"/>
          <w:lang w:val="en-US"/>
        </w:rPr>
      </w:pPr>
      <w:r>
        <w:rPr>
          <w:rFonts w:hint="eastAsia" w:ascii="仿宋_GB2312"/>
          <w:sz w:val="32"/>
          <w:szCs w:val="32"/>
          <w:lang w:val="en-US"/>
        </w:rPr>
        <w:t>（7）承担市委全面深化改革委员会日常工作，组织开展全市全面深化改革重大问题研究。负责市委重要改革工作会议等筹备组织和有关服务工作。协调推动、督察市委全面深化改革委员会会议议定事项落实。</w:t>
      </w:r>
    </w:p>
    <w:p>
      <w:pPr>
        <w:pStyle w:val="4"/>
        <w:spacing w:line="560" w:lineRule="exact"/>
        <w:ind w:firstLine="640"/>
        <w:rPr>
          <w:rFonts w:ascii="仿宋_GB2312"/>
          <w:sz w:val="32"/>
          <w:szCs w:val="32"/>
          <w:lang w:val="en-US"/>
        </w:rPr>
      </w:pPr>
      <w:r>
        <w:rPr>
          <w:rFonts w:hint="eastAsia" w:ascii="仿宋_GB2312"/>
          <w:sz w:val="32"/>
          <w:szCs w:val="32"/>
          <w:lang w:val="en-US"/>
        </w:rPr>
        <w:t>（8）承担市委财经委员会日常工作，贯彻落实党中央经济工作方针政策以及省委、市委有关要求，分析研判经济形势，研究经济发展重大问题，把握经济走向，提出政策建议。负责市委财经委员会会议、市委重要经济工作会议等筹备组织和有关服务工作，督促有关方面落实会议议定事项。</w:t>
      </w:r>
    </w:p>
    <w:p>
      <w:pPr>
        <w:pStyle w:val="4"/>
        <w:spacing w:line="560" w:lineRule="exact"/>
        <w:ind w:firstLine="640"/>
        <w:rPr>
          <w:rFonts w:ascii="仿宋_GB2312"/>
          <w:sz w:val="32"/>
          <w:szCs w:val="32"/>
          <w:lang w:val="en-US"/>
        </w:rPr>
      </w:pPr>
      <w:r>
        <w:rPr>
          <w:rFonts w:hint="eastAsia" w:ascii="仿宋_GB2312"/>
          <w:sz w:val="32"/>
          <w:szCs w:val="32"/>
          <w:lang w:val="en-US"/>
        </w:rPr>
        <w:t>（9）建立重大事项顶格协调和公开决策机制，减少决策层级和环节，提高决策效率。负责全市流程再造成果的评估论证，对流程执行情况跟踪督查、推进落实职责。</w:t>
      </w:r>
    </w:p>
    <w:p>
      <w:pPr>
        <w:pStyle w:val="4"/>
        <w:spacing w:line="560" w:lineRule="exact"/>
        <w:ind w:firstLine="640"/>
        <w:rPr>
          <w:rFonts w:ascii="仿宋_GB2312"/>
          <w:sz w:val="32"/>
          <w:szCs w:val="32"/>
          <w:lang w:val="en-US"/>
        </w:rPr>
      </w:pPr>
      <w:r>
        <w:rPr>
          <w:rFonts w:hint="eastAsia" w:ascii="仿宋_GB2312"/>
          <w:sz w:val="32"/>
          <w:szCs w:val="32"/>
          <w:lang w:val="en-US"/>
        </w:rPr>
        <w:t>（10）完成市委交办的其他任务。</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2.机构设置</w:t>
      </w:r>
    </w:p>
    <w:p>
      <w:pPr>
        <w:pStyle w:val="4"/>
        <w:spacing w:line="560" w:lineRule="exact"/>
        <w:ind w:firstLine="640"/>
        <w:rPr>
          <w:rFonts w:ascii="仿宋_GB2312"/>
          <w:sz w:val="32"/>
          <w:szCs w:val="32"/>
          <w:lang w:val="en-US"/>
        </w:rPr>
      </w:pPr>
      <w:r>
        <w:rPr>
          <w:rFonts w:hint="eastAsia" w:ascii="仿宋_GB2312"/>
          <w:sz w:val="32"/>
          <w:szCs w:val="32"/>
          <w:lang w:val="en-US"/>
        </w:rPr>
        <w:t>中共青岛市委政策研究室（中共青岛市委全面深化改革委员会办公室、中共青岛市委财经委员会办公室）列市委工作机关序列，为正局级单位，简称市委政研室（改革办、财经办）（以下简称市委政研室）。机关行政编制63名，设市委政研室主任1名（兼市委改革办副主任、市委财经办副主任），市委政研室副主任3名，委员会办公室专职副主任3名；正处级领导职数13名（含机关党委专职副书记1名），副处级领导职数12名（含机关纪委书记1名），行政工勤3人，截至2020年12月31日，机关行政人员在职60人，行政工勤3人，退休9人。</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3.资金投入及使用情况</w:t>
      </w:r>
    </w:p>
    <w:p>
      <w:pPr>
        <w:pStyle w:val="4"/>
        <w:spacing w:line="560" w:lineRule="exact"/>
        <w:ind w:firstLine="640"/>
        <w:rPr>
          <w:rFonts w:ascii="仿宋_GB2312"/>
          <w:sz w:val="32"/>
          <w:szCs w:val="32"/>
          <w:lang w:val="en-US"/>
        </w:rPr>
      </w:pPr>
      <w:r>
        <w:rPr>
          <w:rFonts w:hint="eastAsia" w:ascii="仿宋_GB2312"/>
          <w:sz w:val="32"/>
          <w:szCs w:val="32"/>
          <w:lang w:val="en-US"/>
        </w:rPr>
        <w:t>（1）收入说明</w:t>
      </w:r>
    </w:p>
    <w:p>
      <w:pPr>
        <w:pStyle w:val="4"/>
        <w:spacing w:line="560" w:lineRule="exact"/>
        <w:ind w:firstLine="640"/>
        <w:rPr>
          <w:rFonts w:ascii="仿宋_GB2312"/>
          <w:sz w:val="32"/>
          <w:szCs w:val="32"/>
          <w:lang w:val="en-US"/>
        </w:rPr>
      </w:pPr>
      <w:r>
        <w:rPr>
          <w:rFonts w:hint="eastAsia" w:ascii="仿宋_GB2312"/>
          <w:sz w:val="32"/>
          <w:szCs w:val="32"/>
          <w:lang w:val="en-US"/>
        </w:rPr>
        <w:t>2020年预算收入合计1683.85万元，其中：财政拨款收入1683.85万元，占100%；无其他收入。</w:t>
      </w:r>
    </w:p>
    <w:p>
      <w:pPr>
        <w:pStyle w:val="4"/>
        <w:spacing w:line="560" w:lineRule="exact"/>
        <w:ind w:firstLine="640"/>
        <w:rPr>
          <w:rFonts w:ascii="仿宋_GB2312"/>
          <w:sz w:val="32"/>
          <w:szCs w:val="32"/>
          <w:lang w:val="en-US"/>
        </w:rPr>
      </w:pPr>
      <w:r>
        <w:rPr>
          <w:rFonts w:hint="eastAsia" w:ascii="仿宋_GB2312"/>
          <w:sz w:val="32"/>
          <w:szCs w:val="32"/>
          <w:lang w:val="en-US"/>
        </w:rPr>
        <w:t>2020年决算收入2009.89万元，其中：财政拨款收入2009.75万元，占99.99%；其他收入0.14万元（专用账户存款利息及稿费收入），占0.01%。</w:t>
      </w:r>
    </w:p>
    <w:p>
      <w:pPr>
        <w:pStyle w:val="4"/>
        <w:spacing w:line="560" w:lineRule="exact"/>
        <w:ind w:firstLine="640"/>
        <w:rPr>
          <w:rFonts w:ascii="仿宋_GB2312"/>
          <w:sz w:val="32"/>
          <w:szCs w:val="32"/>
          <w:lang w:val="en-US"/>
        </w:rPr>
      </w:pPr>
      <w:r>
        <w:rPr>
          <w:rFonts w:hint="eastAsia" w:ascii="仿宋_GB2312"/>
          <w:sz w:val="32"/>
          <w:szCs w:val="32"/>
          <w:lang w:val="en-US"/>
        </w:rPr>
        <w:t>（2）支出说明</w:t>
      </w:r>
    </w:p>
    <w:p>
      <w:pPr>
        <w:pStyle w:val="4"/>
        <w:spacing w:line="560" w:lineRule="exact"/>
        <w:ind w:firstLine="640"/>
        <w:rPr>
          <w:rFonts w:ascii="仿宋_GB2312"/>
          <w:sz w:val="32"/>
          <w:szCs w:val="32"/>
          <w:lang w:val="en-US"/>
        </w:rPr>
      </w:pPr>
      <w:r>
        <w:rPr>
          <w:rFonts w:hint="eastAsia" w:ascii="仿宋_GB2312"/>
          <w:sz w:val="32"/>
          <w:szCs w:val="32"/>
          <w:lang w:val="en-US"/>
        </w:rPr>
        <w:t>2020年预算支出合计1683.85万元，其中：基本支出1683.85万元，占100%；项目支出0万元；经营支出0万元。</w:t>
      </w:r>
    </w:p>
    <w:p>
      <w:pPr>
        <w:pStyle w:val="4"/>
        <w:spacing w:line="560" w:lineRule="exact"/>
        <w:ind w:firstLine="640"/>
        <w:rPr>
          <w:rFonts w:ascii="仿宋_GB2312"/>
          <w:sz w:val="32"/>
          <w:szCs w:val="32"/>
          <w:lang w:val="en-US"/>
        </w:rPr>
      </w:pPr>
      <w:r>
        <w:rPr>
          <w:rFonts w:hint="eastAsia" w:ascii="仿宋_GB2312"/>
          <w:sz w:val="32"/>
          <w:szCs w:val="32"/>
          <w:lang w:val="en-US"/>
        </w:rPr>
        <w:t>2020年决算支出2009.75万元，其中：基本支出1951.75万元，占91.11%；项目支出58.00万元，占比2.89%。</w:t>
      </w:r>
    </w:p>
    <w:p>
      <w:pPr>
        <w:pStyle w:val="5"/>
        <w:keepNext w:val="0"/>
        <w:keepLines w:val="0"/>
        <w:numPr>
          <w:ilvl w:val="0"/>
          <w:numId w:val="0"/>
        </w:numPr>
        <w:spacing w:before="0" w:after="0" w:line="560" w:lineRule="exact"/>
        <w:ind w:firstLine="640" w:firstLineChars="200"/>
        <w:jc w:val="left"/>
        <w:rPr>
          <w:rFonts w:ascii="楷体_GB2312" w:eastAsia="楷体_GB2312"/>
          <w:b w:val="0"/>
          <w:bCs w:val="0"/>
          <w:sz w:val="32"/>
          <w:lang w:val="en-US"/>
        </w:rPr>
      </w:pPr>
      <w:bookmarkStart w:id="1" w:name="_Toc26964729"/>
      <w:bookmarkStart w:id="2" w:name="_Toc26964732"/>
      <w:r>
        <w:rPr>
          <w:rFonts w:hint="eastAsia" w:ascii="楷体_GB2312" w:eastAsia="楷体_GB2312"/>
          <w:b w:val="0"/>
          <w:bCs w:val="0"/>
          <w:sz w:val="32"/>
          <w:lang w:val="en-US"/>
        </w:rPr>
        <w:t>（二）</w:t>
      </w:r>
      <w:bookmarkEnd w:id="1"/>
      <w:r>
        <w:rPr>
          <w:rFonts w:hint="eastAsia" w:ascii="楷体_GB2312" w:eastAsia="楷体_GB2312"/>
          <w:b w:val="0"/>
          <w:bCs w:val="0"/>
          <w:sz w:val="32"/>
          <w:lang w:val="en-US"/>
        </w:rPr>
        <w:t>部门绩效目标</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1.总目标</w:t>
      </w:r>
    </w:p>
    <w:p>
      <w:pPr>
        <w:pStyle w:val="4"/>
        <w:spacing w:line="560" w:lineRule="exact"/>
        <w:ind w:firstLine="640"/>
        <w:rPr>
          <w:rFonts w:ascii="仿宋_GB2312"/>
          <w:sz w:val="32"/>
          <w:szCs w:val="32"/>
          <w:lang w:val="en-US"/>
        </w:rPr>
      </w:pPr>
      <w:r>
        <w:rPr>
          <w:rFonts w:hint="eastAsia" w:ascii="仿宋_GB2312"/>
          <w:sz w:val="32"/>
          <w:szCs w:val="32"/>
          <w:lang w:val="en-US"/>
        </w:rPr>
        <w:t>2020年，市委政研室坚持以习近平新时代中国特色社会主义思想为指导，不断增强“四个意识”、坚定“四个自信”、做到“两个维护”，深入贯彻习近平总书记对山东、对青岛工作的重要指示要求，全面落实省委“重点工作攻坚年”部署，紧紧围绕市委中心工作，以党的建设为统领，统筹推进综合文稿、调查研究、改革创新、财经统筹和典型宣传五条战线工作，高举旗帜、锐意创新、砥砺前行，以担当诠释忠诚，以实干践行使命，圆满完成年度工作目标和市委交办的各项任务。</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2.重点目标</w:t>
      </w:r>
    </w:p>
    <w:p>
      <w:pPr>
        <w:pStyle w:val="4"/>
        <w:spacing w:line="560" w:lineRule="exact"/>
        <w:ind w:firstLine="640"/>
        <w:rPr>
          <w:rFonts w:ascii="仿宋_GB2312"/>
          <w:sz w:val="32"/>
          <w:szCs w:val="32"/>
          <w:lang w:val="en-US"/>
        </w:rPr>
      </w:pPr>
      <w:r>
        <w:rPr>
          <w:rFonts w:hint="eastAsia" w:ascii="仿宋_GB2312"/>
          <w:sz w:val="32"/>
          <w:szCs w:val="32"/>
          <w:lang w:val="en-US"/>
        </w:rPr>
        <w:t>以忠诚服务理念履职尽责，高质量完成重点目标任务，为青岛改革发展贡献政研力量。</w:t>
      </w:r>
    </w:p>
    <w:p>
      <w:pPr>
        <w:pStyle w:val="4"/>
        <w:spacing w:line="560" w:lineRule="exact"/>
        <w:ind w:firstLine="640"/>
        <w:rPr>
          <w:rFonts w:ascii="仿宋_GB2312"/>
          <w:sz w:val="32"/>
          <w:szCs w:val="32"/>
          <w:lang w:val="en-US"/>
        </w:rPr>
      </w:pPr>
      <w:r>
        <w:rPr>
          <w:rFonts w:hint="eastAsia" w:ascii="仿宋_GB2312"/>
          <w:sz w:val="32"/>
          <w:szCs w:val="32"/>
          <w:lang w:val="en-US"/>
        </w:rPr>
        <w:t>1.以综合文稿服务为牵引，充分发挥以文辅政作用。</w:t>
      </w:r>
    </w:p>
    <w:p>
      <w:pPr>
        <w:pStyle w:val="4"/>
        <w:spacing w:line="560" w:lineRule="exact"/>
        <w:ind w:firstLine="640"/>
        <w:rPr>
          <w:rFonts w:ascii="仿宋_GB2312"/>
          <w:sz w:val="32"/>
          <w:szCs w:val="32"/>
          <w:lang w:val="en-US"/>
        </w:rPr>
      </w:pPr>
      <w:r>
        <w:rPr>
          <w:rFonts w:hint="eastAsia" w:ascii="仿宋_GB2312"/>
          <w:sz w:val="32"/>
          <w:szCs w:val="32"/>
          <w:lang w:val="en-US"/>
        </w:rPr>
        <w:t>2.在全国全省大局中把握青岛地位作用，高质量完成重要文件报告起草审修工作。</w:t>
      </w:r>
    </w:p>
    <w:p>
      <w:pPr>
        <w:pStyle w:val="4"/>
        <w:spacing w:line="560" w:lineRule="exact"/>
        <w:ind w:firstLine="640"/>
        <w:rPr>
          <w:rFonts w:ascii="仿宋_GB2312"/>
          <w:sz w:val="32"/>
          <w:szCs w:val="32"/>
          <w:lang w:val="en-US"/>
        </w:rPr>
      </w:pPr>
      <w:r>
        <w:rPr>
          <w:rFonts w:hint="eastAsia" w:ascii="仿宋_GB2312"/>
          <w:sz w:val="32"/>
          <w:szCs w:val="32"/>
          <w:lang w:val="en-US"/>
        </w:rPr>
        <w:t>3.多层次全方位立体化开展调查研究，高质量服务市委科学决策。</w:t>
      </w:r>
    </w:p>
    <w:p>
      <w:pPr>
        <w:pStyle w:val="4"/>
        <w:spacing w:line="560" w:lineRule="exact"/>
        <w:ind w:firstLine="640"/>
        <w:rPr>
          <w:rFonts w:ascii="仿宋_GB2312"/>
          <w:sz w:val="32"/>
          <w:szCs w:val="32"/>
          <w:lang w:val="en-US"/>
        </w:rPr>
      </w:pPr>
      <w:r>
        <w:rPr>
          <w:rFonts w:hint="eastAsia" w:ascii="仿宋_GB2312"/>
          <w:sz w:val="32"/>
          <w:szCs w:val="32"/>
          <w:lang w:val="en-US"/>
        </w:rPr>
        <w:t>4.持续增强改革的系统性整体性协同性，推动青岛改革走在前列。</w:t>
      </w:r>
    </w:p>
    <w:p>
      <w:pPr>
        <w:pStyle w:val="4"/>
        <w:spacing w:line="560" w:lineRule="exact"/>
        <w:ind w:firstLine="640"/>
        <w:rPr>
          <w:rFonts w:ascii="仿宋_GB2312"/>
          <w:sz w:val="32"/>
          <w:szCs w:val="32"/>
          <w:lang w:val="en-US"/>
        </w:rPr>
      </w:pPr>
      <w:r>
        <w:rPr>
          <w:rFonts w:hint="eastAsia" w:ascii="仿宋_GB2312"/>
          <w:sz w:val="32"/>
          <w:szCs w:val="32"/>
          <w:lang w:val="en-US"/>
        </w:rPr>
        <w:t>5.把准党委领导经济工作规律特点，统筹推进财经协调工作。</w:t>
      </w:r>
    </w:p>
    <w:p>
      <w:pPr>
        <w:pStyle w:val="4"/>
        <w:spacing w:line="560" w:lineRule="exact"/>
        <w:ind w:firstLine="640"/>
        <w:rPr>
          <w:rFonts w:ascii="仿宋_GB2312"/>
          <w:sz w:val="32"/>
          <w:szCs w:val="32"/>
          <w:lang w:val="en-US"/>
        </w:rPr>
      </w:pPr>
      <w:r>
        <w:rPr>
          <w:rFonts w:hint="eastAsia" w:ascii="仿宋_GB2312"/>
          <w:sz w:val="32"/>
          <w:szCs w:val="32"/>
          <w:lang w:val="en-US"/>
        </w:rPr>
        <w:t>6.聚焦典型引路稳阵地，讲好青岛故事。</w:t>
      </w:r>
    </w:p>
    <w:bookmarkEnd w:id="0"/>
    <w:bookmarkEnd w:id="2"/>
    <w:p>
      <w:pPr>
        <w:pStyle w:val="3"/>
        <w:numPr>
          <w:ilvl w:val="0"/>
          <w:numId w:val="0"/>
        </w:numPr>
        <w:spacing w:before="0" w:after="0" w:line="560" w:lineRule="exact"/>
        <w:ind w:firstLine="640" w:firstLineChars="200"/>
        <w:rPr>
          <w:rFonts w:ascii="黑体" w:hAnsi="黑体" w:cs="黑体"/>
          <w:bCs w:val="0"/>
          <w:kern w:val="0"/>
          <w:szCs w:val="32"/>
          <w:lang w:val="en-US"/>
        </w:rPr>
      </w:pPr>
      <w:bookmarkStart w:id="3" w:name="_Toc26964738"/>
      <w:r>
        <w:rPr>
          <w:rFonts w:hint="eastAsia" w:ascii="黑体" w:hAnsi="黑体" w:cs="黑体"/>
          <w:bCs w:val="0"/>
          <w:kern w:val="0"/>
          <w:szCs w:val="32"/>
          <w:lang w:val="en-US"/>
        </w:rPr>
        <w:t>二、评价实施情况</w:t>
      </w:r>
      <w:bookmarkStart w:id="4" w:name="_Toc26964733"/>
    </w:p>
    <w:p>
      <w:pPr>
        <w:pStyle w:val="3"/>
        <w:numPr>
          <w:ilvl w:val="0"/>
          <w:numId w:val="0"/>
        </w:numPr>
        <w:spacing w:before="0" w:after="0" w:line="560" w:lineRule="exact"/>
        <w:ind w:firstLine="640" w:firstLineChars="200"/>
        <w:rPr>
          <w:rFonts w:ascii="楷体_GB2312" w:eastAsia="楷体_GB2312" w:cstheme="majorBidi"/>
          <w:bCs w:val="0"/>
          <w:kern w:val="0"/>
          <w:szCs w:val="32"/>
          <w:lang w:val="en-US"/>
        </w:rPr>
      </w:pPr>
      <w:r>
        <w:rPr>
          <w:rFonts w:hint="eastAsia" w:ascii="楷体_GB2312" w:eastAsia="楷体_GB2312" w:cstheme="majorBidi"/>
          <w:bCs w:val="0"/>
          <w:kern w:val="0"/>
          <w:szCs w:val="32"/>
          <w:lang w:val="en-US"/>
        </w:rPr>
        <w:t>（一）评价目的</w:t>
      </w:r>
      <w:bookmarkEnd w:id="4"/>
      <w:r>
        <w:rPr>
          <w:rFonts w:hint="eastAsia" w:ascii="楷体_GB2312" w:eastAsia="楷体_GB2312" w:cstheme="majorBidi"/>
          <w:bCs w:val="0"/>
          <w:kern w:val="0"/>
          <w:szCs w:val="32"/>
          <w:lang w:val="en-US"/>
        </w:rPr>
        <w:t>、对象和范围</w:t>
      </w:r>
    </w:p>
    <w:p>
      <w:pPr>
        <w:pStyle w:val="4"/>
        <w:spacing w:line="560" w:lineRule="exact"/>
        <w:ind w:firstLine="640"/>
        <w:rPr>
          <w:rFonts w:ascii="仿宋_GB2312"/>
          <w:sz w:val="32"/>
          <w:szCs w:val="32"/>
          <w:lang w:val="en-US"/>
        </w:rPr>
      </w:pPr>
      <w:r>
        <w:rPr>
          <w:rFonts w:hint="eastAsia" w:ascii="仿宋_GB2312"/>
          <w:sz w:val="32"/>
          <w:szCs w:val="32"/>
          <w:lang w:val="en-US"/>
        </w:rPr>
        <w:t>通过对市委政研室整体支出的投入、过程、产出及效果四个方面进行评价，对部门整体支出中的预算、执行、管理、效益等相关事项进行归纳与分析，以便对财政资金的安排使用提出改进建议。开展2020年度部门整体支出绩效评价，有助于对过去的工作进行总结，同时，对加强财政预算绩效管理、优化资源配置、提高资金使用绩效、提高服务质量和效率、精细化管理具有重要意义。</w:t>
      </w:r>
    </w:p>
    <w:p>
      <w:pPr>
        <w:pStyle w:val="4"/>
        <w:spacing w:line="560" w:lineRule="exact"/>
        <w:ind w:firstLine="640"/>
        <w:rPr>
          <w:rFonts w:ascii="仿宋_GB2312"/>
          <w:sz w:val="32"/>
          <w:szCs w:val="32"/>
          <w:lang w:val="en-US"/>
        </w:rPr>
      </w:pPr>
      <w:r>
        <w:rPr>
          <w:rFonts w:hint="eastAsia" w:ascii="仿宋_GB2312"/>
          <w:sz w:val="32"/>
          <w:szCs w:val="32"/>
          <w:lang w:val="en-US"/>
        </w:rPr>
        <w:t>本次绩效评价对象为2020年度市委政研室整体支出，2020年安排预算资金2010.25万元</w:t>
      </w:r>
      <w:r>
        <w:rPr>
          <w:rFonts w:hint="eastAsia" w:ascii="仿宋_GB2312"/>
          <w:sz w:val="32"/>
          <w:szCs w:val="32"/>
          <w:lang w:val="en-US" w:eastAsia="zh-CN"/>
        </w:rPr>
        <w:t>(年初预算批复</w:t>
      </w:r>
      <w:r>
        <w:rPr>
          <w:rFonts w:hint="eastAsia" w:ascii="仿宋_GB2312"/>
          <w:sz w:val="32"/>
          <w:szCs w:val="32"/>
          <w:lang w:val="en-US"/>
        </w:rPr>
        <w:t>1683.85万元</w:t>
      </w:r>
      <w:r>
        <w:rPr>
          <w:rFonts w:hint="eastAsia" w:ascii="仿宋_GB2312"/>
          <w:sz w:val="32"/>
          <w:szCs w:val="32"/>
          <w:lang w:val="en-US" w:eastAsia="zh-CN"/>
        </w:rPr>
        <w:t>，预算追加及调整346.21万元，预算压减19.808万元</w:t>
      </w:r>
      <w:r>
        <w:rPr>
          <w:rFonts w:hint="eastAsia" w:ascii="仿宋_GB2312"/>
          <w:sz w:val="32"/>
          <w:szCs w:val="32"/>
          <w:lang w:val="en-US"/>
        </w:rPr>
        <w:t>），实际执行金额2009.75万元，预算执行率99.9</w:t>
      </w:r>
      <w:r>
        <w:rPr>
          <w:rFonts w:hint="eastAsia" w:ascii="仿宋_GB2312"/>
          <w:sz w:val="32"/>
          <w:szCs w:val="32"/>
          <w:lang w:val="en-US" w:eastAsia="zh-CN"/>
        </w:rPr>
        <w:t>8</w:t>
      </w:r>
      <w:r>
        <w:rPr>
          <w:rFonts w:hint="eastAsia" w:ascii="仿宋_GB2312"/>
          <w:sz w:val="32"/>
          <w:szCs w:val="32"/>
          <w:lang w:val="en-US"/>
        </w:rPr>
        <w:t>%。</w:t>
      </w:r>
    </w:p>
    <w:p>
      <w:pPr>
        <w:pStyle w:val="4"/>
        <w:spacing w:line="560" w:lineRule="exact"/>
        <w:ind w:firstLine="640"/>
        <w:rPr>
          <w:rFonts w:ascii="仿宋_GB2312"/>
          <w:sz w:val="32"/>
          <w:szCs w:val="32"/>
          <w:lang w:val="en-US"/>
        </w:rPr>
      </w:pPr>
      <w:r>
        <w:rPr>
          <w:rFonts w:hint="eastAsia" w:ascii="仿宋_GB2312"/>
          <w:sz w:val="32"/>
          <w:szCs w:val="32"/>
          <w:lang w:val="en-US"/>
        </w:rPr>
        <w:t>本次绩效评价评价基准日为2020年12月31日。</w:t>
      </w:r>
    </w:p>
    <w:p>
      <w:pPr>
        <w:pStyle w:val="3"/>
        <w:numPr>
          <w:ilvl w:val="0"/>
          <w:numId w:val="0"/>
        </w:numPr>
        <w:spacing w:before="0" w:after="0" w:line="560" w:lineRule="exact"/>
        <w:ind w:firstLine="640" w:firstLineChars="200"/>
        <w:rPr>
          <w:rFonts w:ascii="楷体_GB2312" w:eastAsia="楷体_GB2312" w:cstheme="majorBidi"/>
          <w:bCs w:val="0"/>
          <w:kern w:val="0"/>
          <w:szCs w:val="32"/>
          <w:lang w:val="en-US"/>
        </w:rPr>
      </w:pPr>
      <w:r>
        <w:rPr>
          <w:rFonts w:hint="eastAsia" w:ascii="楷体_GB2312" w:eastAsia="楷体_GB2312" w:cstheme="majorBidi"/>
          <w:bCs w:val="0"/>
          <w:kern w:val="0"/>
          <w:szCs w:val="32"/>
          <w:lang w:val="en-US"/>
        </w:rPr>
        <w:t>（二）评价原则、指标体系、方法、标准</w:t>
      </w:r>
    </w:p>
    <w:p>
      <w:pPr>
        <w:pStyle w:val="7"/>
        <w:numPr>
          <w:ilvl w:val="2"/>
          <w:numId w:val="0"/>
        </w:numPr>
        <w:spacing w:before="0" w:after="0" w:line="560" w:lineRule="exact"/>
        <w:ind w:firstLine="643" w:firstLineChars="200"/>
        <w:rPr>
          <w:rFonts w:ascii="仿宋_GB2312" w:cs="Times New Roman"/>
          <w:sz w:val="32"/>
          <w:szCs w:val="32"/>
          <w:lang w:val="en-US"/>
        </w:rPr>
      </w:pPr>
      <w:bookmarkStart w:id="5" w:name="_Toc16865"/>
      <w:r>
        <w:rPr>
          <w:rFonts w:hint="eastAsia" w:ascii="仿宋_GB2312" w:cs="Times New Roman"/>
          <w:sz w:val="32"/>
          <w:szCs w:val="32"/>
          <w:lang w:val="en-US"/>
        </w:rPr>
        <w:t>1.绩效评价原则</w:t>
      </w:r>
      <w:bookmarkEnd w:id="5"/>
    </w:p>
    <w:p>
      <w:pPr>
        <w:pStyle w:val="4"/>
        <w:spacing w:line="560" w:lineRule="exact"/>
        <w:ind w:firstLine="640"/>
        <w:rPr>
          <w:rFonts w:ascii="仿宋_GB2312"/>
          <w:sz w:val="32"/>
          <w:szCs w:val="32"/>
          <w:lang w:val="en-US"/>
        </w:rPr>
      </w:pPr>
      <w:bookmarkStart w:id="6" w:name="_Toc26546"/>
      <w:r>
        <w:rPr>
          <w:rFonts w:hint="eastAsia" w:ascii="仿宋_GB2312"/>
          <w:sz w:val="32"/>
          <w:szCs w:val="32"/>
          <w:lang w:val="en-US"/>
        </w:rPr>
        <w:t>依据《青岛市财政支出绩效评价管理办法》的要求，按照如下原则展开本次绩效评价：</w:t>
      </w:r>
      <w:bookmarkEnd w:id="6"/>
    </w:p>
    <w:p>
      <w:pPr>
        <w:pStyle w:val="4"/>
        <w:spacing w:line="560" w:lineRule="exact"/>
        <w:ind w:firstLine="640"/>
        <w:rPr>
          <w:rFonts w:ascii="仿宋_GB2312"/>
          <w:sz w:val="32"/>
          <w:szCs w:val="32"/>
          <w:lang w:val="en-US"/>
        </w:rPr>
      </w:pPr>
      <w:bookmarkStart w:id="7" w:name="_Toc26229"/>
      <w:r>
        <w:rPr>
          <w:rFonts w:hint="eastAsia" w:ascii="仿宋_GB2312"/>
          <w:sz w:val="32"/>
          <w:szCs w:val="32"/>
          <w:lang w:val="en-US"/>
        </w:rPr>
        <w:t>（1）科学规范原则</w:t>
      </w:r>
      <w:bookmarkEnd w:id="7"/>
    </w:p>
    <w:p>
      <w:pPr>
        <w:pStyle w:val="4"/>
        <w:spacing w:line="560" w:lineRule="exact"/>
        <w:ind w:firstLine="640"/>
        <w:rPr>
          <w:rFonts w:ascii="仿宋_GB2312"/>
          <w:sz w:val="32"/>
          <w:szCs w:val="32"/>
          <w:lang w:val="en-US"/>
        </w:rPr>
      </w:pPr>
      <w:bookmarkStart w:id="8" w:name="_Toc27065"/>
      <w:r>
        <w:rPr>
          <w:rFonts w:hint="eastAsia" w:ascii="仿宋_GB2312"/>
          <w:sz w:val="32"/>
          <w:szCs w:val="32"/>
          <w:lang w:val="en-US"/>
        </w:rPr>
        <w:t>绩效评价应当严格执行规定的程序，按照科学可行的要求，采用定量和定性相结合的方法。</w:t>
      </w:r>
      <w:bookmarkEnd w:id="8"/>
    </w:p>
    <w:p>
      <w:pPr>
        <w:pStyle w:val="4"/>
        <w:spacing w:line="560" w:lineRule="exact"/>
        <w:ind w:firstLine="640"/>
        <w:rPr>
          <w:rFonts w:ascii="仿宋_GB2312"/>
          <w:sz w:val="32"/>
          <w:szCs w:val="32"/>
          <w:lang w:val="en-US"/>
        </w:rPr>
      </w:pPr>
      <w:bookmarkStart w:id="9" w:name="_Toc12469"/>
      <w:r>
        <w:rPr>
          <w:rFonts w:hint="eastAsia" w:ascii="仿宋_GB2312"/>
          <w:sz w:val="32"/>
          <w:szCs w:val="32"/>
          <w:lang w:val="en-US"/>
        </w:rPr>
        <w:t>（2）公开公正原则</w:t>
      </w:r>
      <w:bookmarkEnd w:id="9"/>
    </w:p>
    <w:p>
      <w:pPr>
        <w:pStyle w:val="4"/>
        <w:spacing w:line="560" w:lineRule="exact"/>
        <w:ind w:firstLine="640"/>
        <w:rPr>
          <w:rFonts w:ascii="仿宋_GB2312"/>
          <w:sz w:val="32"/>
          <w:szCs w:val="32"/>
          <w:lang w:val="en-US"/>
        </w:rPr>
      </w:pPr>
      <w:bookmarkStart w:id="10" w:name="_Toc15128"/>
      <w:r>
        <w:rPr>
          <w:rFonts w:hint="eastAsia" w:ascii="仿宋_GB2312"/>
          <w:sz w:val="32"/>
          <w:szCs w:val="32"/>
          <w:lang w:val="en-US"/>
        </w:rPr>
        <w:t>绩效评价应当符合真实、客观、公正的要求，依法公开并接受监督。</w:t>
      </w:r>
      <w:bookmarkEnd w:id="10"/>
    </w:p>
    <w:p>
      <w:pPr>
        <w:pStyle w:val="4"/>
        <w:spacing w:line="560" w:lineRule="exact"/>
        <w:ind w:firstLine="640"/>
        <w:rPr>
          <w:rFonts w:ascii="仿宋_GB2312"/>
          <w:sz w:val="32"/>
          <w:szCs w:val="32"/>
          <w:lang w:val="en-US"/>
        </w:rPr>
      </w:pPr>
      <w:bookmarkStart w:id="11" w:name="_Toc997"/>
      <w:r>
        <w:rPr>
          <w:rFonts w:hint="eastAsia" w:ascii="仿宋_GB2312"/>
          <w:sz w:val="32"/>
          <w:szCs w:val="32"/>
          <w:lang w:val="en-US"/>
        </w:rPr>
        <w:t>（3）绩效相关原则</w:t>
      </w:r>
      <w:bookmarkEnd w:id="11"/>
    </w:p>
    <w:p>
      <w:pPr>
        <w:pStyle w:val="4"/>
        <w:spacing w:line="560" w:lineRule="exact"/>
        <w:ind w:firstLine="640"/>
        <w:rPr>
          <w:rFonts w:ascii="仿宋_GB2312"/>
          <w:sz w:val="32"/>
          <w:szCs w:val="32"/>
          <w:lang w:val="en-US"/>
        </w:rPr>
      </w:pPr>
      <w:bookmarkStart w:id="12" w:name="_Toc27917"/>
      <w:r>
        <w:rPr>
          <w:rFonts w:hint="eastAsia" w:ascii="仿宋_GB2312"/>
          <w:sz w:val="32"/>
          <w:szCs w:val="32"/>
          <w:lang w:val="en-US"/>
        </w:rPr>
        <w:t>绩效评价应当针对具体支出及其产出绩效进行，评价结果应当清晰反映支出和产出绩效之间的对应关系。</w:t>
      </w:r>
      <w:bookmarkEnd w:id="12"/>
    </w:p>
    <w:p>
      <w:pPr>
        <w:pStyle w:val="7"/>
        <w:numPr>
          <w:ilvl w:val="2"/>
          <w:numId w:val="0"/>
        </w:numPr>
        <w:spacing w:before="0" w:after="0" w:line="560" w:lineRule="exact"/>
        <w:ind w:firstLine="643" w:firstLineChars="200"/>
        <w:rPr>
          <w:rFonts w:ascii="仿宋_GB2312" w:cs="Times New Roman"/>
          <w:sz w:val="32"/>
          <w:szCs w:val="32"/>
          <w:lang w:val="en-US"/>
        </w:rPr>
      </w:pPr>
      <w:bookmarkStart w:id="13" w:name="_Toc16551"/>
      <w:r>
        <w:rPr>
          <w:rFonts w:hint="eastAsia" w:ascii="仿宋_GB2312" w:cs="Times New Roman"/>
          <w:sz w:val="32"/>
          <w:szCs w:val="32"/>
          <w:lang w:val="en-US"/>
        </w:rPr>
        <w:t>2.评价指标体系</w:t>
      </w:r>
      <w:bookmarkEnd w:id="13"/>
    </w:p>
    <w:p>
      <w:pPr>
        <w:pStyle w:val="4"/>
        <w:spacing w:line="560" w:lineRule="exact"/>
        <w:ind w:firstLine="640"/>
        <w:rPr>
          <w:rFonts w:ascii="仿宋_GB2312"/>
          <w:sz w:val="32"/>
          <w:szCs w:val="32"/>
          <w:lang w:val="en-US"/>
        </w:rPr>
      </w:pPr>
      <w:bookmarkStart w:id="14" w:name="_Toc14037"/>
      <w:r>
        <w:rPr>
          <w:rFonts w:hint="eastAsia" w:ascii="仿宋_GB2312"/>
          <w:sz w:val="32"/>
          <w:szCs w:val="32"/>
          <w:lang w:val="en-US"/>
        </w:rPr>
        <w:t>本次绩效评价指标体系的设计是依据青岛市财政局《关于开展2020年度单位绩效自评和部门绩效评价工作的通知》（青财绩〔2021〕3号）、青岛市财政局《关于印发市级财政绩效评价操作指南的通知》（青财绩〔2020〕6号）的相关规定以及市委政研室部门整体支出的特点，从投入、过程、产出和效果四个方面设置指标。投入主要从目标设定、预算编制两个方面考察财政资金投入的效率性和公平性，过程从预算管理、预算执行和资产管理三方面考察资金使用情况和管理制度是否健全且制度执行是否有效，产出从职责履行方面考察预期任务目标是否达成，效益主要从效果方面考察市委政研室整体支出带来的社会效益、行政效能、可持续效益和受益对象的满意度。</w:t>
      </w:r>
      <w:bookmarkEnd w:id="14"/>
    </w:p>
    <w:p>
      <w:pPr>
        <w:pStyle w:val="4"/>
        <w:spacing w:line="560" w:lineRule="exact"/>
        <w:ind w:firstLine="640"/>
        <w:rPr>
          <w:rFonts w:ascii="仿宋_GB2312"/>
          <w:sz w:val="32"/>
          <w:szCs w:val="32"/>
          <w:lang w:val="en-US"/>
        </w:rPr>
      </w:pPr>
      <w:bookmarkStart w:id="15" w:name="_Toc26314"/>
      <w:r>
        <w:rPr>
          <w:rFonts w:hint="eastAsia" w:ascii="仿宋_GB2312"/>
          <w:sz w:val="32"/>
          <w:szCs w:val="32"/>
          <w:lang w:val="en-US"/>
        </w:rPr>
        <w:t>根据二级支出领域对投入、过程、产出、效果四个方面的四级指标进行细化和调整，并根据市委政研室整体支出特点确定四级指标的权重及分值（绩效评价指标体系详见附件）。</w:t>
      </w:r>
      <w:bookmarkEnd w:id="15"/>
    </w:p>
    <w:p>
      <w:pPr>
        <w:pStyle w:val="4"/>
        <w:spacing w:line="560" w:lineRule="exact"/>
        <w:ind w:firstLine="640"/>
        <w:rPr>
          <w:rFonts w:ascii="仿宋_GB2312"/>
          <w:sz w:val="32"/>
          <w:szCs w:val="32"/>
          <w:lang w:val="en-US"/>
        </w:rPr>
      </w:pPr>
      <w:bookmarkStart w:id="16" w:name="_Toc12059"/>
      <w:r>
        <w:rPr>
          <w:rFonts w:hint="eastAsia" w:ascii="仿宋_GB2312"/>
          <w:sz w:val="32"/>
          <w:szCs w:val="32"/>
          <w:lang w:val="en-US"/>
        </w:rPr>
        <w:t>根据《市级财政绩效评价操作指南》，本次绩效评价综合绩效级别具体分为4个等级：</w:t>
      </w:r>
      <w:bookmarkEnd w:id="16"/>
    </w:p>
    <w:p>
      <w:pPr>
        <w:pStyle w:val="4"/>
        <w:spacing w:line="560" w:lineRule="exact"/>
        <w:ind w:firstLine="640"/>
        <w:rPr>
          <w:rFonts w:ascii="仿宋_GB2312"/>
          <w:sz w:val="32"/>
          <w:szCs w:val="32"/>
          <w:lang w:val="en-US"/>
        </w:rPr>
      </w:pPr>
      <w:bookmarkStart w:id="17" w:name="_Toc24202"/>
      <w:r>
        <w:rPr>
          <w:rFonts w:hint="eastAsia" w:ascii="仿宋_GB2312"/>
          <w:sz w:val="32"/>
          <w:szCs w:val="32"/>
          <w:lang w:val="en-US"/>
        </w:rPr>
        <w:t>综合得分在90分（含90分）以上为“优”；</w:t>
      </w:r>
      <w:bookmarkEnd w:id="17"/>
    </w:p>
    <w:p>
      <w:pPr>
        <w:pStyle w:val="4"/>
        <w:spacing w:line="560" w:lineRule="exact"/>
        <w:ind w:firstLine="640"/>
        <w:rPr>
          <w:rFonts w:ascii="仿宋_GB2312"/>
          <w:sz w:val="32"/>
          <w:szCs w:val="32"/>
          <w:lang w:val="en-US"/>
        </w:rPr>
      </w:pPr>
      <w:bookmarkStart w:id="18" w:name="_Toc17479"/>
      <w:r>
        <w:rPr>
          <w:rFonts w:hint="eastAsia" w:ascii="仿宋_GB2312"/>
          <w:sz w:val="32"/>
          <w:szCs w:val="32"/>
          <w:lang w:val="en-US"/>
        </w:rPr>
        <w:t>综合得分在80～90分（含80分）为“良”；</w:t>
      </w:r>
      <w:bookmarkEnd w:id="18"/>
    </w:p>
    <w:p>
      <w:pPr>
        <w:pStyle w:val="4"/>
        <w:spacing w:line="560" w:lineRule="exact"/>
        <w:ind w:firstLine="640"/>
        <w:rPr>
          <w:rFonts w:ascii="仿宋_GB2312"/>
          <w:sz w:val="32"/>
          <w:szCs w:val="32"/>
          <w:lang w:val="en-US"/>
        </w:rPr>
      </w:pPr>
      <w:bookmarkStart w:id="19" w:name="_Toc20318"/>
      <w:r>
        <w:rPr>
          <w:rFonts w:hint="eastAsia" w:ascii="仿宋_GB2312"/>
          <w:sz w:val="32"/>
          <w:szCs w:val="32"/>
          <w:lang w:val="en-US"/>
        </w:rPr>
        <w:t>综合得分在70～80分（含70分）为“中”；</w:t>
      </w:r>
      <w:bookmarkEnd w:id="19"/>
    </w:p>
    <w:p>
      <w:pPr>
        <w:pStyle w:val="4"/>
        <w:spacing w:line="560" w:lineRule="exact"/>
        <w:ind w:firstLine="640"/>
        <w:rPr>
          <w:rFonts w:ascii="仿宋_GB2312"/>
          <w:sz w:val="32"/>
          <w:szCs w:val="32"/>
          <w:lang w:val="en-US"/>
        </w:rPr>
      </w:pPr>
      <w:bookmarkStart w:id="20" w:name="_Toc28640"/>
      <w:r>
        <w:rPr>
          <w:rFonts w:hint="eastAsia" w:ascii="仿宋_GB2312"/>
          <w:sz w:val="32"/>
          <w:szCs w:val="32"/>
          <w:lang w:val="en-US"/>
        </w:rPr>
        <w:t>综合得分在70分以下为“差”。</w:t>
      </w:r>
      <w:bookmarkEnd w:id="20"/>
    </w:p>
    <w:p>
      <w:pPr>
        <w:pStyle w:val="7"/>
        <w:numPr>
          <w:ilvl w:val="2"/>
          <w:numId w:val="0"/>
        </w:numPr>
        <w:spacing w:before="0" w:after="0" w:line="560" w:lineRule="exact"/>
        <w:ind w:firstLine="643" w:firstLineChars="200"/>
        <w:rPr>
          <w:rFonts w:ascii="仿宋_GB2312" w:cs="Times New Roman"/>
          <w:sz w:val="32"/>
          <w:szCs w:val="32"/>
          <w:lang w:val="en-US"/>
        </w:rPr>
      </w:pPr>
      <w:bookmarkStart w:id="21" w:name="_Toc9464"/>
      <w:r>
        <w:rPr>
          <w:rFonts w:hint="eastAsia" w:ascii="仿宋_GB2312" w:cs="Times New Roman"/>
          <w:sz w:val="32"/>
          <w:szCs w:val="32"/>
          <w:lang w:val="en-US"/>
        </w:rPr>
        <w:t>3.评价方法</w:t>
      </w:r>
      <w:bookmarkEnd w:id="21"/>
    </w:p>
    <w:p>
      <w:pPr>
        <w:pStyle w:val="4"/>
        <w:spacing w:line="560" w:lineRule="exact"/>
        <w:ind w:firstLine="640"/>
        <w:rPr>
          <w:rFonts w:ascii="仿宋_GB2312"/>
          <w:sz w:val="32"/>
          <w:szCs w:val="32"/>
          <w:lang w:val="en-US"/>
        </w:rPr>
      </w:pPr>
      <w:r>
        <w:rPr>
          <w:rFonts w:hint="eastAsia" w:ascii="仿宋_GB2312"/>
          <w:sz w:val="32"/>
          <w:szCs w:val="32"/>
          <w:lang w:val="en-US"/>
        </w:rPr>
        <w:t>根据市委政研室的实际情况，本次绩效评价采用定量与定性相结合、市委政研室自评与评价工作小组综合评价相结合的方式，运用比较法、询问查证法、公众评判法，采取数据对比、随机抽样相结合，并辅以座谈、访谈等方法开展评价工作。</w:t>
      </w:r>
    </w:p>
    <w:p>
      <w:pPr>
        <w:pStyle w:val="4"/>
        <w:spacing w:line="560" w:lineRule="exact"/>
        <w:ind w:firstLine="640"/>
        <w:rPr>
          <w:rFonts w:ascii="仿宋_GB2312"/>
          <w:sz w:val="32"/>
          <w:szCs w:val="32"/>
          <w:lang w:val="en-US"/>
        </w:rPr>
      </w:pPr>
      <w:r>
        <w:rPr>
          <w:rFonts w:hint="eastAsia" w:ascii="仿宋_GB2312"/>
          <w:sz w:val="32"/>
          <w:szCs w:val="32"/>
          <w:lang w:val="en-US"/>
        </w:rPr>
        <w:t>（1）比较法。对绩效目标与实施效果、历史与当期的比较，综合分析绩效目标实现程度。通过对比2019年度、2020年度的“三公经费”变动情况进行比较评价。</w:t>
      </w:r>
    </w:p>
    <w:p>
      <w:pPr>
        <w:pStyle w:val="4"/>
        <w:spacing w:line="560" w:lineRule="exact"/>
        <w:ind w:firstLine="640"/>
        <w:rPr>
          <w:rFonts w:ascii="仿宋_GB2312"/>
          <w:sz w:val="32"/>
          <w:szCs w:val="32"/>
          <w:lang w:val="en-US"/>
        </w:rPr>
      </w:pPr>
      <w:r>
        <w:rPr>
          <w:rFonts w:hint="eastAsia" w:ascii="仿宋_GB2312"/>
          <w:sz w:val="32"/>
          <w:szCs w:val="32"/>
          <w:lang w:val="en-US"/>
        </w:rPr>
        <w:t>（2）询问查证法。在比较分析资料的基础上，通过询问等形式，核查资料是否真实、合理，从而作出初步的判断和评价。</w:t>
      </w:r>
    </w:p>
    <w:p>
      <w:pPr>
        <w:pStyle w:val="4"/>
        <w:spacing w:line="560" w:lineRule="exact"/>
        <w:ind w:firstLine="640"/>
        <w:rPr>
          <w:rFonts w:ascii="仿宋_GB2312"/>
          <w:sz w:val="32"/>
          <w:szCs w:val="32"/>
          <w:lang w:val="en-US"/>
        </w:rPr>
      </w:pPr>
      <w:r>
        <w:rPr>
          <w:rFonts w:hint="eastAsia" w:ascii="仿宋_GB2312"/>
          <w:sz w:val="32"/>
          <w:szCs w:val="32"/>
          <w:lang w:val="en-US"/>
        </w:rPr>
        <w:t>（3）公众评判法。通过公众问卷调查对财政支出效果进行评判，评价绩效目标的实现效果。通过设计调查问卷，在一定范围内发放、收集、分析调查问卷，对部门满意度指标进行评价。</w:t>
      </w:r>
    </w:p>
    <w:p>
      <w:pPr>
        <w:pStyle w:val="7"/>
        <w:numPr>
          <w:ilvl w:val="2"/>
          <w:numId w:val="0"/>
        </w:numPr>
        <w:spacing w:before="0" w:after="0" w:line="560" w:lineRule="exact"/>
        <w:ind w:firstLine="643" w:firstLineChars="200"/>
        <w:rPr>
          <w:rFonts w:ascii="仿宋_GB2312" w:cs="Times New Roman"/>
          <w:sz w:val="32"/>
          <w:szCs w:val="32"/>
          <w:lang w:val="en-US"/>
        </w:rPr>
      </w:pPr>
      <w:bookmarkStart w:id="22" w:name="_Toc5444"/>
      <w:r>
        <w:rPr>
          <w:rFonts w:hint="eastAsia" w:ascii="仿宋_GB2312" w:cs="Times New Roman"/>
          <w:sz w:val="32"/>
          <w:szCs w:val="32"/>
          <w:lang w:val="en-US"/>
        </w:rPr>
        <w:t>4.评价标准</w:t>
      </w:r>
      <w:bookmarkEnd w:id="22"/>
    </w:p>
    <w:p>
      <w:pPr>
        <w:pStyle w:val="4"/>
        <w:spacing w:line="560" w:lineRule="exact"/>
        <w:ind w:firstLine="640"/>
        <w:rPr>
          <w:rFonts w:ascii="仿宋_GB2312"/>
          <w:sz w:val="32"/>
          <w:szCs w:val="32"/>
          <w:lang w:val="en-US"/>
        </w:rPr>
      </w:pPr>
      <w:r>
        <w:rPr>
          <w:rFonts w:hint="eastAsia" w:ascii="仿宋_GB2312"/>
          <w:sz w:val="32"/>
          <w:szCs w:val="32"/>
          <w:lang w:val="en-US"/>
        </w:rPr>
        <w:t>（1）中共中央、国务院《关于全面实施预算绩效管理的意见》（中发〔2018〕34号）；</w:t>
      </w:r>
    </w:p>
    <w:p>
      <w:pPr>
        <w:pStyle w:val="4"/>
        <w:spacing w:line="560" w:lineRule="exact"/>
        <w:ind w:firstLine="640"/>
        <w:rPr>
          <w:rFonts w:ascii="仿宋_GB2312"/>
          <w:sz w:val="32"/>
          <w:szCs w:val="32"/>
          <w:lang w:val="en-US"/>
        </w:rPr>
      </w:pPr>
      <w:r>
        <w:rPr>
          <w:rFonts w:hint="eastAsia" w:ascii="仿宋_GB2312"/>
          <w:sz w:val="32"/>
          <w:szCs w:val="32"/>
          <w:lang w:val="en-US"/>
        </w:rPr>
        <w:t>（2）财政部关于印发《项目支出绩效评价管理办法》的通知（财预〔2020〕10号）；</w:t>
      </w:r>
    </w:p>
    <w:p>
      <w:pPr>
        <w:pStyle w:val="4"/>
        <w:spacing w:line="560" w:lineRule="exact"/>
        <w:ind w:firstLine="640"/>
        <w:rPr>
          <w:rFonts w:ascii="仿宋_GB2312"/>
          <w:sz w:val="32"/>
          <w:szCs w:val="32"/>
          <w:lang w:val="en-US"/>
        </w:rPr>
      </w:pPr>
      <w:r>
        <w:rPr>
          <w:rFonts w:hint="eastAsia" w:ascii="仿宋_GB2312"/>
          <w:sz w:val="32"/>
          <w:szCs w:val="32"/>
          <w:lang w:val="en-US"/>
        </w:rPr>
        <w:t>（3）青岛市财政局《关于印发市级财政绩效评价操作指南的通知》（青财绩〔2020〕6号）；</w:t>
      </w:r>
    </w:p>
    <w:p>
      <w:pPr>
        <w:pStyle w:val="4"/>
        <w:spacing w:line="560" w:lineRule="exact"/>
        <w:ind w:firstLine="640"/>
        <w:rPr>
          <w:rFonts w:ascii="仿宋_GB2312"/>
          <w:sz w:val="32"/>
          <w:szCs w:val="32"/>
          <w:lang w:val="en-US"/>
        </w:rPr>
      </w:pPr>
      <w:r>
        <w:rPr>
          <w:rFonts w:hint="eastAsia" w:ascii="仿宋_GB2312"/>
          <w:sz w:val="32"/>
          <w:szCs w:val="32"/>
          <w:lang w:val="en-US"/>
        </w:rPr>
        <w:t>（4）《青岛市预算绩效管理条例》；</w:t>
      </w:r>
    </w:p>
    <w:p>
      <w:pPr>
        <w:pStyle w:val="4"/>
        <w:spacing w:line="560" w:lineRule="exact"/>
        <w:ind w:firstLine="640"/>
        <w:rPr>
          <w:rFonts w:ascii="仿宋_GB2312"/>
          <w:sz w:val="32"/>
          <w:szCs w:val="32"/>
          <w:lang w:val="en-US"/>
        </w:rPr>
      </w:pPr>
      <w:r>
        <w:rPr>
          <w:rFonts w:hint="eastAsia" w:ascii="仿宋_GB2312"/>
          <w:sz w:val="32"/>
          <w:szCs w:val="32"/>
          <w:lang w:val="en-US"/>
        </w:rPr>
        <w:t>（5）市委政研室内控制度及其他资料。</w:t>
      </w:r>
    </w:p>
    <w:p>
      <w:pPr>
        <w:pStyle w:val="3"/>
        <w:numPr>
          <w:ilvl w:val="0"/>
          <w:numId w:val="0"/>
        </w:numPr>
        <w:spacing w:before="0" w:after="0" w:line="560" w:lineRule="exact"/>
        <w:ind w:firstLine="640" w:firstLineChars="200"/>
        <w:rPr>
          <w:rFonts w:ascii="楷体_GB2312" w:eastAsia="楷体_GB2312" w:cstheme="majorBidi"/>
          <w:bCs w:val="0"/>
          <w:kern w:val="0"/>
          <w:szCs w:val="32"/>
          <w:lang w:val="en-US"/>
        </w:rPr>
      </w:pPr>
      <w:r>
        <w:rPr>
          <w:rFonts w:hint="eastAsia" w:ascii="楷体_GB2312" w:eastAsia="楷体_GB2312" w:cstheme="majorBidi"/>
          <w:bCs w:val="0"/>
          <w:kern w:val="0"/>
          <w:szCs w:val="32"/>
          <w:lang w:val="en-US"/>
        </w:rPr>
        <w:t>（三）评价实施程序</w:t>
      </w:r>
    </w:p>
    <w:p>
      <w:pPr>
        <w:pStyle w:val="7"/>
        <w:numPr>
          <w:ilvl w:val="2"/>
          <w:numId w:val="0"/>
        </w:numPr>
        <w:spacing w:before="0" w:after="0" w:line="560" w:lineRule="exact"/>
        <w:ind w:firstLine="643" w:firstLineChars="200"/>
        <w:rPr>
          <w:rFonts w:ascii="仿宋_GB2312" w:cs="Times New Roman"/>
          <w:sz w:val="32"/>
          <w:szCs w:val="32"/>
          <w:lang w:val="en-US"/>
        </w:rPr>
      </w:pPr>
      <w:bookmarkStart w:id="23" w:name="_Toc30532"/>
      <w:r>
        <w:rPr>
          <w:rFonts w:hint="eastAsia" w:ascii="仿宋_GB2312" w:cs="Times New Roman"/>
          <w:sz w:val="32"/>
          <w:szCs w:val="32"/>
          <w:lang w:val="en-US"/>
        </w:rPr>
        <w:t>1.前期准备</w:t>
      </w:r>
      <w:bookmarkEnd w:id="23"/>
    </w:p>
    <w:p>
      <w:pPr>
        <w:pStyle w:val="4"/>
        <w:spacing w:line="560" w:lineRule="exact"/>
        <w:ind w:firstLine="640"/>
        <w:rPr>
          <w:rFonts w:ascii="仿宋_GB2312"/>
          <w:sz w:val="32"/>
          <w:szCs w:val="32"/>
          <w:lang w:val="en-US"/>
        </w:rPr>
      </w:pPr>
      <w:bookmarkStart w:id="24" w:name="_Toc29737"/>
      <w:r>
        <w:rPr>
          <w:rFonts w:hint="eastAsia" w:ascii="仿宋_GB2312"/>
          <w:sz w:val="32"/>
          <w:szCs w:val="32"/>
          <w:lang w:val="en-US"/>
        </w:rPr>
        <w:t>成立绩效评价工作组</w:t>
      </w:r>
      <w:bookmarkEnd w:id="24"/>
      <w:r>
        <w:rPr>
          <w:rFonts w:hint="eastAsia" w:ascii="仿宋_GB2312"/>
          <w:sz w:val="32"/>
          <w:szCs w:val="32"/>
          <w:lang w:val="en-US"/>
        </w:rPr>
        <w:t>，</w:t>
      </w:r>
      <w:bookmarkStart w:id="25" w:name="_Toc1031"/>
      <w:r>
        <w:rPr>
          <w:rFonts w:hint="eastAsia" w:ascii="仿宋_GB2312"/>
          <w:sz w:val="32"/>
          <w:szCs w:val="32"/>
          <w:lang w:val="en-US"/>
        </w:rPr>
        <w:t>确定评价目的及范围，了解市委政研室整体支出的特点及评价重点，并向市委政研室提请评价所需资料清单。</w:t>
      </w:r>
      <w:bookmarkEnd w:id="25"/>
    </w:p>
    <w:p>
      <w:pPr>
        <w:pStyle w:val="7"/>
        <w:numPr>
          <w:ilvl w:val="2"/>
          <w:numId w:val="0"/>
        </w:numPr>
        <w:spacing w:before="0" w:after="0" w:line="560" w:lineRule="exact"/>
        <w:ind w:firstLine="643" w:firstLineChars="200"/>
        <w:rPr>
          <w:rFonts w:ascii="仿宋_GB2312" w:cs="Times New Roman"/>
          <w:sz w:val="32"/>
          <w:szCs w:val="32"/>
          <w:lang w:val="en-US"/>
        </w:rPr>
      </w:pPr>
      <w:bookmarkStart w:id="26" w:name="_Toc23030"/>
      <w:r>
        <w:rPr>
          <w:rFonts w:hint="eastAsia" w:ascii="仿宋_GB2312" w:cs="Times New Roman"/>
          <w:sz w:val="32"/>
          <w:szCs w:val="32"/>
          <w:lang w:val="en-US"/>
        </w:rPr>
        <w:t>2.组织实施</w:t>
      </w:r>
      <w:bookmarkEnd w:id="26"/>
    </w:p>
    <w:p>
      <w:pPr>
        <w:pStyle w:val="4"/>
        <w:spacing w:line="560" w:lineRule="exact"/>
        <w:ind w:firstLine="640"/>
        <w:rPr>
          <w:rFonts w:ascii="仿宋_GB2312"/>
          <w:sz w:val="32"/>
          <w:szCs w:val="32"/>
          <w:lang w:val="en-US"/>
        </w:rPr>
      </w:pPr>
      <w:bookmarkStart w:id="27" w:name="_Toc1703"/>
      <w:r>
        <w:rPr>
          <w:rFonts w:hint="eastAsia" w:ascii="仿宋_GB2312"/>
          <w:sz w:val="32"/>
          <w:szCs w:val="32"/>
          <w:lang w:val="en-US"/>
        </w:rPr>
        <w:t>（1）基础数据与资料的收集</w:t>
      </w:r>
      <w:bookmarkEnd w:id="27"/>
    </w:p>
    <w:p>
      <w:pPr>
        <w:pStyle w:val="4"/>
        <w:spacing w:line="560" w:lineRule="exact"/>
        <w:ind w:firstLine="640"/>
        <w:rPr>
          <w:rFonts w:ascii="仿宋_GB2312"/>
          <w:sz w:val="32"/>
          <w:szCs w:val="32"/>
          <w:lang w:val="en-US"/>
        </w:rPr>
      </w:pPr>
      <w:bookmarkStart w:id="28" w:name="_Toc16582"/>
      <w:r>
        <w:rPr>
          <w:rFonts w:hint="eastAsia" w:ascii="仿宋_GB2312"/>
          <w:sz w:val="32"/>
          <w:szCs w:val="32"/>
          <w:lang w:val="en-US"/>
        </w:rPr>
        <w:t>根据项目所需资料清单，收集、整理本项目的相关资料，核对市委政研室提交资料的完整性。</w:t>
      </w:r>
      <w:bookmarkEnd w:id="28"/>
    </w:p>
    <w:p>
      <w:pPr>
        <w:pStyle w:val="4"/>
        <w:spacing w:line="560" w:lineRule="exact"/>
        <w:ind w:firstLine="640"/>
        <w:rPr>
          <w:rFonts w:ascii="仿宋_GB2312"/>
          <w:sz w:val="32"/>
          <w:szCs w:val="32"/>
          <w:lang w:val="en-US"/>
        </w:rPr>
      </w:pPr>
      <w:bookmarkStart w:id="29" w:name="_Toc11969"/>
      <w:r>
        <w:rPr>
          <w:rFonts w:hint="eastAsia" w:ascii="仿宋_GB2312"/>
          <w:sz w:val="32"/>
          <w:szCs w:val="32"/>
          <w:lang w:val="en-US"/>
        </w:rPr>
        <w:t>（2）访谈</w:t>
      </w:r>
      <w:bookmarkEnd w:id="29"/>
    </w:p>
    <w:p>
      <w:pPr>
        <w:pStyle w:val="4"/>
        <w:spacing w:line="560" w:lineRule="exact"/>
        <w:ind w:firstLine="640"/>
        <w:rPr>
          <w:rFonts w:ascii="仿宋_GB2312"/>
          <w:sz w:val="32"/>
          <w:szCs w:val="32"/>
          <w:lang w:val="en-US"/>
        </w:rPr>
      </w:pPr>
      <w:bookmarkStart w:id="30" w:name="_Toc25170"/>
      <w:r>
        <w:rPr>
          <w:rFonts w:hint="eastAsia" w:ascii="仿宋_GB2312"/>
          <w:sz w:val="32"/>
          <w:szCs w:val="32"/>
          <w:lang w:val="en-US"/>
        </w:rPr>
        <w:t>根据工作方案，绩效评价工作组与市委政研室相关人员进行访谈，主要针对市委政研室部门职能、绩效目标、管理制度、预算管理、职责履行等事项。</w:t>
      </w:r>
    </w:p>
    <w:p>
      <w:pPr>
        <w:pStyle w:val="4"/>
        <w:spacing w:line="560" w:lineRule="exact"/>
        <w:ind w:firstLine="640"/>
        <w:rPr>
          <w:rFonts w:ascii="仿宋_GB2312"/>
          <w:sz w:val="32"/>
          <w:szCs w:val="32"/>
          <w:lang w:val="en-US"/>
        </w:rPr>
      </w:pPr>
      <w:r>
        <w:rPr>
          <w:rFonts w:hint="eastAsia" w:ascii="仿宋_GB2312"/>
          <w:sz w:val="32"/>
          <w:szCs w:val="32"/>
          <w:lang w:val="en-US"/>
        </w:rPr>
        <w:t>（3）指标初步设计</w:t>
      </w:r>
      <w:bookmarkEnd w:id="30"/>
    </w:p>
    <w:p>
      <w:pPr>
        <w:pStyle w:val="4"/>
        <w:spacing w:line="560" w:lineRule="exact"/>
        <w:ind w:firstLine="640"/>
        <w:rPr>
          <w:rFonts w:ascii="仿宋_GB2312"/>
          <w:sz w:val="32"/>
          <w:szCs w:val="32"/>
          <w:lang w:val="en-US"/>
        </w:rPr>
      </w:pPr>
      <w:bookmarkStart w:id="31" w:name="_Toc251"/>
      <w:r>
        <w:rPr>
          <w:rFonts w:hint="eastAsia" w:ascii="仿宋_GB2312"/>
          <w:sz w:val="32"/>
          <w:szCs w:val="32"/>
          <w:lang w:val="en-US"/>
        </w:rPr>
        <w:t>绩效评价工作组根据市委政研室提供的相关资料以及访谈的相关内容，了解市委政研室部门整体支出的绩效指标与实际产出，结合市委政研室整体支出特点，形成初步绩效评价指标。</w:t>
      </w:r>
      <w:bookmarkEnd w:id="31"/>
    </w:p>
    <w:p>
      <w:pPr>
        <w:pStyle w:val="4"/>
        <w:spacing w:line="560" w:lineRule="exact"/>
        <w:ind w:firstLine="640"/>
        <w:rPr>
          <w:rFonts w:ascii="仿宋_GB2312"/>
          <w:sz w:val="32"/>
          <w:szCs w:val="32"/>
          <w:lang w:val="en-US"/>
        </w:rPr>
      </w:pPr>
      <w:bookmarkStart w:id="32" w:name="_Toc15555"/>
      <w:r>
        <w:rPr>
          <w:rFonts w:hint="eastAsia" w:ascii="仿宋_GB2312"/>
          <w:sz w:val="32"/>
          <w:szCs w:val="32"/>
          <w:lang w:val="en-US"/>
        </w:rPr>
        <w:t>（4）指标研讨与修订</w:t>
      </w:r>
      <w:bookmarkEnd w:id="32"/>
    </w:p>
    <w:p>
      <w:pPr>
        <w:pStyle w:val="4"/>
        <w:spacing w:line="560" w:lineRule="exact"/>
        <w:ind w:firstLine="640"/>
        <w:rPr>
          <w:rFonts w:ascii="仿宋_GB2312"/>
          <w:sz w:val="32"/>
          <w:szCs w:val="32"/>
          <w:lang w:val="en-US"/>
        </w:rPr>
      </w:pPr>
      <w:bookmarkStart w:id="33" w:name="_Toc19024"/>
      <w:r>
        <w:rPr>
          <w:rFonts w:hint="eastAsia" w:ascii="仿宋_GB2312"/>
          <w:sz w:val="32"/>
          <w:szCs w:val="32"/>
          <w:lang w:val="en-US"/>
        </w:rPr>
        <w:t>绩效评价工作组通过座谈会的形式，研讨绩效评价各项指标的合理性、公正性、相关性，确定整体支出绩效评价指标。</w:t>
      </w:r>
      <w:bookmarkEnd w:id="33"/>
    </w:p>
    <w:p>
      <w:pPr>
        <w:pStyle w:val="7"/>
        <w:numPr>
          <w:ilvl w:val="2"/>
          <w:numId w:val="0"/>
        </w:numPr>
        <w:spacing w:before="0" w:after="0" w:line="560" w:lineRule="exact"/>
        <w:ind w:firstLine="643" w:firstLineChars="200"/>
        <w:rPr>
          <w:rFonts w:ascii="仿宋_GB2312" w:cs="Times New Roman"/>
          <w:sz w:val="32"/>
          <w:szCs w:val="32"/>
          <w:lang w:val="en-US"/>
        </w:rPr>
      </w:pPr>
      <w:bookmarkStart w:id="34" w:name="_Toc18764"/>
      <w:r>
        <w:rPr>
          <w:rFonts w:hint="eastAsia" w:ascii="仿宋_GB2312" w:cs="Times New Roman"/>
          <w:sz w:val="32"/>
          <w:szCs w:val="32"/>
          <w:lang w:val="en-US"/>
        </w:rPr>
        <w:t>3.分析评价</w:t>
      </w:r>
      <w:bookmarkEnd w:id="34"/>
    </w:p>
    <w:p>
      <w:pPr>
        <w:pStyle w:val="4"/>
        <w:spacing w:line="560" w:lineRule="exact"/>
        <w:ind w:firstLine="640"/>
        <w:rPr>
          <w:rFonts w:ascii="仿宋_GB2312"/>
          <w:sz w:val="32"/>
          <w:szCs w:val="32"/>
          <w:lang w:val="en-US"/>
        </w:rPr>
      </w:pPr>
      <w:bookmarkStart w:id="35" w:name="_Toc6736"/>
      <w:r>
        <w:rPr>
          <w:rFonts w:hint="eastAsia" w:ascii="仿宋_GB2312"/>
          <w:sz w:val="32"/>
          <w:szCs w:val="32"/>
          <w:lang w:val="en-US"/>
        </w:rPr>
        <w:t>（1）基础数据与资料的审核</w:t>
      </w:r>
      <w:bookmarkEnd w:id="35"/>
    </w:p>
    <w:p>
      <w:pPr>
        <w:pStyle w:val="4"/>
        <w:spacing w:line="560" w:lineRule="exact"/>
        <w:ind w:firstLine="640"/>
        <w:rPr>
          <w:rFonts w:ascii="仿宋_GB2312"/>
          <w:sz w:val="32"/>
          <w:szCs w:val="32"/>
          <w:lang w:val="en-US"/>
        </w:rPr>
      </w:pPr>
      <w:bookmarkStart w:id="36" w:name="_Toc29665"/>
      <w:r>
        <w:rPr>
          <w:rFonts w:hint="eastAsia" w:ascii="仿宋_GB2312"/>
          <w:sz w:val="32"/>
          <w:szCs w:val="32"/>
          <w:lang w:val="en-US"/>
        </w:rPr>
        <w:t>审核搜集到的资料的相关性、真实性、可靠性，对有效资料进行整理、分类、统计，形成基础数据。</w:t>
      </w:r>
      <w:bookmarkEnd w:id="36"/>
    </w:p>
    <w:p>
      <w:pPr>
        <w:pStyle w:val="4"/>
        <w:spacing w:line="560" w:lineRule="exact"/>
        <w:ind w:firstLine="640"/>
        <w:rPr>
          <w:rFonts w:ascii="仿宋_GB2312"/>
          <w:sz w:val="32"/>
          <w:szCs w:val="32"/>
          <w:lang w:val="en-US"/>
        </w:rPr>
      </w:pPr>
      <w:bookmarkStart w:id="37" w:name="_Toc21000"/>
      <w:r>
        <w:rPr>
          <w:rFonts w:hint="eastAsia" w:ascii="仿宋_GB2312"/>
          <w:sz w:val="32"/>
          <w:szCs w:val="32"/>
          <w:lang w:val="en-US"/>
        </w:rPr>
        <w:t>（2）投入分析、过程分析、产出分析、绩效分析</w:t>
      </w:r>
      <w:bookmarkEnd w:id="37"/>
    </w:p>
    <w:p>
      <w:pPr>
        <w:pStyle w:val="4"/>
        <w:spacing w:line="560" w:lineRule="exact"/>
        <w:ind w:firstLine="640"/>
        <w:rPr>
          <w:rFonts w:ascii="仿宋_GB2312"/>
          <w:sz w:val="32"/>
          <w:szCs w:val="32"/>
          <w:lang w:val="en-US"/>
        </w:rPr>
      </w:pPr>
      <w:bookmarkStart w:id="38" w:name="_Toc17650"/>
      <w:r>
        <w:rPr>
          <w:rFonts w:hint="eastAsia" w:ascii="仿宋_GB2312"/>
          <w:sz w:val="32"/>
          <w:szCs w:val="32"/>
          <w:lang w:val="en-US"/>
        </w:rPr>
        <w:t>对本项目的目标设定、预算编制等投入情况，管理制度建设与执行等管理情况以及财政资金使用、成果统计等绩效情况进行分析，对该项目进行定性、定量的评价，分析该项目的实施效果。</w:t>
      </w:r>
      <w:bookmarkEnd w:id="38"/>
    </w:p>
    <w:p>
      <w:pPr>
        <w:pStyle w:val="4"/>
        <w:spacing w:line="560" w:lineRule="exact"/>
        <w:ind w:firstLine="640"/>
        <w:rPr>
          <w:rFonts w:ascii="仿宋_GB2312"/>
          <w:sz w:val="32"/>
          <w:szCs w:val="32"/>
          <w:lang w:val="en-US"/>
        </w:rPr>
      </w:pPr>
      <w:bookmarkStart w:id="39" w:name="_Toc6725"/>
      <w:r>
        <w:rPr>
          <w:rFonts w:hint="eastAsia" w:ascii="仿宋_GB2312"/>
          <w:sz w:val="32"/>
          <w:szCs w:val="32"/>
          <w:lang w:val="en-US"/>
        </w:rPr>
        <w:t>（3）评价指标体系调整与确定</w:t>
      </w:r>
      <w:bookmarkEnd w:id="39"/>
    </w:p>
    <w:p>
      <w:pPr>
        <w:pStyle w:val="4"/>
        <w:spacing w:line="560" w:lineRule="exact"/>
        <w:ind w:firstLine="640"/>
        <w:rPr>
          <w:rFonts w:ascii="仿宋_GB2312"/>
          <w:sz w:val="32"/>
          <w:szCs w:val="32"/>
          <w:lang w:val="en-US"/>
        </w:rPr>
      </w:pPr>
      <w:bookmarkStart w:id="40" w:name="_Toc19849"/>
      <w:r>
        <w:rPr>
          <w:rFonts w:hint="eastAsia" w:ascii="仿宋_GB2312"/>
          <w:sz w:val="32"/>
          <w:szCs w:val="32"/>
          <w:lang w:val="en-US"/>
        </w:rPr>
        <w:t>绩效评价工作组根据现场座谈情况及市委政研室提报的资料，进一步修正、完善绩效评价指标体系。</w:t>
      </w:r>
      <w:bookmarkEnd w:id="40"/>
    </w:p>
    <w:p>
      <w:pPr>
        <w:pStyle w:val="4"/>
        <w:spacing w:line="560" w:lineRule="exact"/>
        <w:ind w:firstLine="640"/>
        <w:rPr>
          <w:rFonts w:ascii="仿宋_GB2312"/>
          <w:sz w:val="32"/>
          <w:szCs w:val="32"/>
          <w:lang w:val="en-US"/>
        </w:rPr>
      </w:pPr>
      <w:bookmarkStart w:id="41" w:name="_Toc8627"/>
      <w:r>
        <w:rPr>
          <w:rFonts w:hint="eastAsia" w:ascii="仿宋_GB2312"/>
          <w:sz w:val="32"/>
          <w:szCs w:val="32"/>
          <w:lang w:val="en-US"/>
        </w:rPr>
        <w:t>（4）评价指标计量及综合评价</w:t>
      </w:r>
      <w:bookmarkEnd w:id="41"/>
    </w:p>
    <w:p>
      <w:pPr>
        <w:pStyle w:val="4"/>
        <w:spacing w:line="560" w:lineRule="exact"/>
        <w:ind w:firstLine="640"/>
        <w:rPr>
          <w:rFonts w:ascii="仿宋_GB2312"/>
          <w:sz w:val="32"/>
          <w:szCs w:val="32"/>
          <w:lang w:val="en-US"/>
        </w:rPr>
      </w:pPr>
      <w:bookmarkStart w:id="42" w:name="_Toc1091"/>
      <w:r>
        <w:rPr>
          <w:rFonts w:hint="eastAsia" w:ascii="仿宋_GB2312"/>
          <w:sz w:val="32"/>
          <w:szCs w:val="32"/>
          <w:lang w:val="en-US"/>
        </w:rPr>
        <w:t>计算绩效评价指标，根据本次评价指标体系与评分标准，形成评价结论。</w:t>
      </w:r>
      <w:bookmarkEnd w:id="42"/>
    </w:p>
    <w:p>
      <w:pPr>
        <w:pStyle w:val="4"/>
        <w:spacing w:line="560" w:lineRule="exact"/>
        <w:ind w:firstLine="640"/>
        <w:rPr>
          <w:rFonts w:ascii="仿宋_GB2312"/>
          <w:sz w:val="32"/>
          <w:szCs w:val="32"/>
          <w:lang w:val="en-US"/>
        </w:rPr>
      </w:pPr>
      <w:bookmarkStart w:id="43" w:name="_Toc1173"/>
      <w:r>
        <w:rPr>
          <w:rFonts w:hint="eastAsia" w:ascii="仿宋_GB2312"/>
          <w:sz w:val="32"/>
          <w:szCs w:val="32"/>
          <w:lang w:val="en-US"/>
        </w:rPr>
        <w:t>（5）形成问题和建议</w:t>
      </w:r>
      <w:bookmarkEnd w:id="43"/>
    </w:p>
    <w:p>
      <w:pPr>
        <w:pStyle w:val="4"/>
        <w:spacing w:line="560" w:lineRule="exact"/>
        <w:ind w:firstLine="640"/>
        <w:rPr>
          <w:rFonts w:ascii="仿宋_GB2312"/>
          <w:sz w:val="32"/>
          <w:szCs w:val="32"/>
          <w:lang w:val="en-US"/>
        </w:rPr>
      </w:pPr>
      <w:bookmarkStart w:id="44" w:name="_Toc31756"/>
      <w:r>
        <w:rPr>
          <w:rFonts w:hint="eastAsia" w:ascii="仿宋_GB2312"/>
          <w:sz w:val="32"/>
          <w:szCs w:val="32"/>
          <w:lang w:val="en-US"/>
        </w:rPr>
        <w:t>通过对资料的审核分析，绩效评价工作组针对本项目所存在的问题进行归纳整理，并针对存在的问题提出合理化、可行性建议。</w:t>
      </w:r>
      <w:bookmarkEnd w:id="44"/>
    </w:p>
    <w:p>
      <w:pPr>
        <w:pStyle w:val="7"/>
        <w:numPr>
          <w:ilvl w:val="2"/>
          <w:numId w:val="0"/>
        </w:numPr>
        <w:spacing w:before="0" w:after="0" w:line="560" w:lineRule="exact"/>
        <w:ind w:firstLine="643" w:firstLineChars="200"/>
        <w:rPr>
          <w:rFonts w:ascii="仿宋_GB2312" w:cs="Times New Roman"/>
          <w:sz w:val="32"/>
          <w:szCs w:val="32"/>
          <w:lang w:val="en-US"/>
        </w:rPr>
      </w:pPr>
      <w:bookmarkStart w:id="45" w:name="_Toc6930"/>
      <w:r>
        <w:rPr>
          <w:rFonts w:hint="eastAsia" w:ascii="仿宋_GB2312" w:cs="Times New Roman"/>
          <w:sz w:val="32"/>
          <w:szCs w:val="32"/>
          <w:lang w:val="en-US"/>
        </w:rPr>
        <w:t>4.报告出具</w:t>
      </w:r>
      <w:bookmarkEnd w:id="45"/>
    </w:p>
    <w:p>
      <w:pPr>
        <w:pStyle w:val="4"/>
        <w:spacing w:line="560" w:lineRule="exact"/>
        <w:ind w:firstLine="640"/>
        <w:rPr>
          <w:rFonts w:ascii="仿宋_GB2312"/>
          <w:sz w:val="32"/>
          <w:szCs w:val="32"/>
          <w:lang w:val="en-US"/>
        </w:rPr>
      </w:pPr>
      <w:bookmarkStart w:id="46" w:name="_Toc8621"/>
      <w:r>
        <w:rPr>
          <w:rFonts w:hint="eastAsia" w:ascii="仿宋_GB2312"/>
          <w:sz w:val="32"/>
          <w:szCs w:val="32"/>
          <w:lang w:val="en-US"/>
        </w:rPr>
        <w:t>（1）撰写绩效评价报告</w:t>
      </w:r>
      <w:bookmarkEnd w:id="46"/>
    </w:p>
    <w:p>
      <w:pPr>
        <w:pStyle w:val="4"/>
        <w:spacing w:line="560" w:lineRule="exact"/>
        <w:ind w:firstLine="640"/>
        <w:rPr>
          <w:rFonts w:ascii="仿宋_GB2312"/>
          <w:sz w:val="32"/>
          <w:szCs w:val="32"/>
          <w:lang w:val="en-US"/>
        </w:rPr>
      </w:pPr>
      <w:bookmarkStart w:id="47" w:name="_Toc18186"/>
      <w:r>
        <w:rPr>
          <w:rFonts w:hint="eastAsia" w:ascii="仿宋_GB2312"/>
          <w:sz w:val="32"/>
          <w:szCs w:val="32"/>
          <w:lang w:val="en-US"/>
        </w:rPr>
        <w:t>撰写市委政研室整体支出绩效评价报告初稿。</w:t>
      </w:r>
      <w:bookmarkEnd w:id="47"/>
    </w:p>
    <w:p>
      <w:pPr>
        <w:pStyle w:val="4"/>
        <w:spacing w:line="560" w:lineRule="exact"/>
        <w:ind w:firstLine="640"/>
        <w:rPr>
          <w:rFonts w:ascii="仿宋_GB2312"/>
          <w:sz w:val="32"/>
          <w:szCs w:val="32"/>
          <w:lang w:val="en-US"/>
        </w:rPr>
      </w:pPr>
      <w:bookmarkStart w:id="48" w:name="_Toc16087"/>
      <w:r>
        <w:rPr>
          <w:rFonts w:hint="eastAsia" w:ascii="仿宋_GB2312"/>
          <w:sz w:val="32"/>
          <w:szCs w:val="32"/>
          <w:lang w:val="en-US"/>
        </w:rPr>
        <w:t>（2）反馈并修改报告</w:t>
      </w:r>
      <w:bookmarkEnd w:id="48"/>
    </w:p>
    <w:p>
      <w:pPr>
        <w:pStyle w:val="4"/>
        <w:spacing w:line="560" w:lineRule="exact"/>
        <w:ind w:firstLine="640"/>
        <w:rPr>
          <w:rFonts w:ascii="仿宋_GB2312"/>
          <w:sz w:val="32"/>
          <w:szCs w:val="32"/>
          <w:lang w:val="en-US"/>
        </w:rPr>
      </w:pPr>
      <w:bookmarkStart w:id="49" w:name="_Toc9583"/>
      <w:r>
        <w:rPr>
          <w:rFonts w:hint="eastAsia" w:ascii="仿宋_GB2312"/>
          <w:sz w:val="32"/>
          <w:szCs w:val="32"/>
          <w:lang w:val="en-US"/>
        </w:rPr>
        <w:t>根据报告初稿反馈意见，对初评报告进行修改，形成正式报告。</w:t>
      </w:r>
      <w:bookmarkEnd w:id="49"/>
    </w:p>
    <w:bookmarkEnd w:id="3"/>
    <w:p>
      <w:pPr>
        <w:pStyle w:val="3"/>
        <w:numPr>
          <w:ilvl w:val="0"/>
          <w:numId w:val="0"/>
        </w:numPr>
        <w:spacing w:before="0" w:after="0" w:line="560" w:lineRule="exact"/>
        <w:ind w:firstLine="640" w:firstLineChars="200"/>
        <w:rPr>
          <w:rFonts w:ascii="黑体" w:hAnsi="黑体" w:cs="黑体"/>
          <w:bCs w:val="0"/>
          <w:kern w:val="0"/>
          <w:szCs w:val="32"/>
          <w:lang w:val="en-US"/>
        </w:rPr>
      </w:pPr>
      <w:r>
        <w:rPr>
          <w:rFonts w:hint="eastAsia" w:ascii="黑体" w:hAnsi="黑体" w:cs="黑体"/>
          <w:bCs w:val="0"/>
          <w:kern w:val="0"/>
          <w:szCs w:val="32"/>
          <w:lang w:val="en-US"/>
        </w:rPr>
        <w:t>三、指标分析及评价结论</w:t>
      </w:r>
    </w:p>
    <w:p>
      <w:pPr>
        <w:pStyle w:val="3"/>
        <w:numPr>
          <w:ilvl w:val="0"/>
          <w:numId w:val="0"/>
        </w:numPr>
        <w:spacing w:before="0" w:after="0" w:line="560" w:lineRule="exact"/>
        <w:ind w:firstLine="640" w:firstLineChars="200"/>
        <w:rPr>
          <w:rFonts w:ascii="楷体_GB2312" w:eastAsia="楷体_GB2312" w:cstheme="majorBidi"/>
          <w:bCs w:val="0"/>
          <w:kern w:val="0"/>
          <w:szCs w:val="32"/>
          <w:lang w:val="en-US"/>
        </w:rPr>
      </w:pPr>
      <w:bookmarkStart w:id="50" w:name="_Toc15567"/>
      <w:bookmarkStart w:id="51" w:name="_Toc28301"/>
      <w:bookmarkStart w:id="52" w:name="_Toc26964742"/>
      <w:r>
        <w:rPr>
          <w:rFonts w:hint="eastAsia" w:ascii="楷体_GB2312" w:eastAsia="楷体_GB2312" w:cstheme="majorBidi"/>
          <w:bCs w:val="0"/>
          <w:kern w:val="0"/>
          <w:szCs w:val="32"/>
          <w:lang w:val="en-US"/>
        </w:rPr>
        <w:t>（一）绩效评价指标分析</w:t>
      </w:r>
      <w:bookmarkEnd w:id="50"/>
    </w:p>
    <w:tbl>
      <w:tblPr>
        <w:tblStyle w:val="27"/>
        <w:tblpPr w:leftFromText="180" w:rightFromText="180" w:vertAnchor="text" w:horzAnchor="page" w:tblpX="1808" w:tblpY="929"/>
        <w:tblOverlap w:val="never"/>
        <w:tblW w:w="8323" w:type="dxa"/>
        <w:tblInd w:w="0" w:type="dxa"/>
        <w:tblLayout w:type="fixed"/>
        <w:tblCellMar>
          <w:top w:w="0" w:type="dxa"/>
          <w:left w:w="0" w:type="dxa"/>
          <w:bottom w:w="0" w:type="dxa"/>
          <w:right w:w="0" w:type="dxa"/>
        </w:tblCellMar>
      </w:tblPr>
      <w:tblGrid>
        <w:gridCol w:w="1058"/>
        <w:gridCol w:w="1146"/>
        <w:gridCol w:w="1149"/>
        <w:gridCol w:w="2460"/>
        <w:gridCol w:w="1065"/>
        <w:gridCol w:w="1445"/>
      </w:tblGrid>
      <w:tr>
        <w:tblPrEx>
          <w:tblLayout w:type="fixed"/>
          <w:tblCellMar>
            <w:top w:w="0" w:type="dxa"/>
            <w:left w:w="0" w:type="dxa"/>
            <w:bottom w:w="0" w:type="dxa"/>
            <w:right w:w="0" w:type="dxa"/>
          </w:tblCellMar>
        </w:tblPrEx>
        <w:trPr>
          <w:trHeight w:val="250" w:hRule="atLeast"/>
          <w:tblHeader/>
        </w:trPr>
        <w:tc>
          <w:tcPr>
            <w:tcW w:w="1058" w:type="dxa"/>
            <w:tcBorders>
              <w:top w:val="single" w:color="000000" w:sz="4" w:space="0"/>
              <w:left w:val="single" w:color="000000" w:sz="4" w:space="0"/>
              <w:bottom w:val="single" w:color="000000" w:sz="4" w:space="0"/>
              <w:right w:val="single" w:color="000000" w:sz="4" w:space="0"/>
            </w:tcBorders>
            <w:shd w:val="clear" w:color="auto" w:fill="D7D7D7"/>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一级指标及分值</w:t>
            </w:r>
          </w:p>
        </w:tc>
        <w:tc>
          <w:tcPr>
            <w:tcW w:w="1146" w:type="dxa"/>
            <w:tcBorders>
              <w:top w:val="single" w:color="000000" w:sz="4" w:space="0"/>
              <w:left w:val="single" w:color="000000" w:sz="4" w:space="0"/>
              <w:bottom w:val="single" w:color="000000" w:sz="4" w:space="0"/>
              <w:right w:val="single" w:color="000000" w:sz="4" w:space="0"/>
            </w:tcBorders>
            <w:shd w:val="clear" w:color="auto" w:fill="D7D7D7"/>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一级指标</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得分</w:t>
            </w:r>
          </w:p>
        </w:tc>
        <w:tc>
          <w:tcPr>
            <w:tcW w:w="1149" w:type="dxa"/>
            <w:tcBorders>
              <w:top w:val="single" w:color="000000" w:sz="4" w:space="0"/>
              <w:left w:val="single" w:color="000000" w:sz="4" w:space="0"/>
              <w:bottom w:val="single" w:color="000000" w:sz="4" w:space="0"/>
              <w:right w:val="single" w:color="000000" w:sz="4" w:space="0"/>
            </w:tcBorders>
            <w:shd w:val="clear" w:color="auto" w:fill="D7D7D7"/>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一级指标</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得分率</w:t>
            </w:r>
          </w:p>
        </w:tc>
        <w:tc>
          <w:tcPr>
            <w:tcW w:w="2460" w:type="dxa"/>
            <w:tcBorders>
              <w:top w:val="single" w:color="000000" w:sz="4" w:space="0"/>
              <w:left w:val="single" w:color="000000" w:sz="4" w:space="0"/>
              <w:bottom w:val="single" w:color="000000" w:sz="4" w:space="0"/>
              <w:right w:val="single" w:color="000000" w:sz="4" w:space="0"/>
            </w:tcBorders>
            <w:shd w:val="clear" w:color="auto" w:fill="D7D7D7"/>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二级指标及分值</w:t>
            </w:r>
          </w:p>
        </w:tc>
        <w:tc>
          <w:tcPr>
            <w:tcW w:w="1065" w:type="dxa"/>
            <w:tcBorders>
              <w:top w:val="single" w:color="000000" w:sz="4" w:space="0"/>
              <w:left w:val="single" w:color="000000" w:sz="4" w:space="0"/>
              <w:bottom w:val="single" w:color="000000" w:sz="4" w:space="0"/>
              <w:right w:val="single" w:color="000000" w:sz="4" w:space="0"/>
            </w:tcBorders>
            <w:shd w:val="clear" w:color="auto" w:fill="D7D7D7"/>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二级指标</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得分</w:t>
            </w:r>
          </w:p>
        </w:tc>
        <w:tc>
          <w:tcPr>
            <w:tcW w:w="1445" w:type="dxa"/>
            <w:tcBorders>
              <w:top w:val="single" w:color="000000" w:sz="4" w:space="0"/>
              <w:left w:val="single" w:color="000000" w:sz="4" w:space="0"/>
              <w:bottom w:val="single" w:color="000000" w:sz="4" w:space="0"/>
              <w:right w:val="single" w:color="000000" w:sz="4" w:space="0"/>
            </w:tcBorders>
            <w:shd w:val="clear" w:color="auto" w:fill="D7D7D7"/>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二级指标</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得分率</w:t>
            </w:r>
          </w:p>
        </w:tc>
      </w:tr>
      <w:tr>
        <w:tblPrEx>
          <w:tblLayout w:type="fixed"/>
          <w:tblCellMar>
            <w:top w:w="0" w:type="dxa"/>
            <w:left w:w="0" w:type="dxa"/>
            <w:bottom w:w="0" w:type="dxa"/>
            <w:right w:w="0" w:type="dxa"/>
          </w:tblCellMar>
        </w:tblPrEx>
        <w:trPr>
          <w:trHeight w:val="480" w:hRule="atLeast"/>
        </w:trPr>
        <w:tc>
          <w:tcPr>
            <w:tcW w:w="105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投入</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（10分）</w:t>
            </w:r>
          </w:p>
        </w:tc>
        <w:tc>
          <w:tcPr>
            <w:tcW w:w="114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9.00</w:t>
            </w:r>
          </w:p>
        </w:tc>
        <w:tc>
          <w:tcPr>
            <w:tcW w:w="114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90.00%</w:t>
            </w: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目标设定（4分）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4.00</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r>
      <w:tr>
        <w:tblPrEx>
          <w:tblLayout w:type="fixed"/>
          <w:tblCellMar>
            <w:top w:w="0" w:type="dxa"/>
            <w:left w:w="0" w:type="dxa"/>
            <w:bottom w:w="0" w:type="dxa"/>
            <w:right w:w="0" w:type="dxa"/>
          </w:tblCellMar>
        </w:tblPrEx>
        <w:trPr>
          <w:trHeight w:val="480" w:hRule="atLeast"/>
        </w:trPr>
        <w:tc>
          <w:tcPr>
            <w:tcW w:w="105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kern w:val="0"/>
                <w:sz w:val="24"/>
                <w:szCs w:val="32"/>
              </w:rPr>
            </w:pPr>
          </w:p>
        </w:tc>
        <w:tc>
          <w:tcPr>
            <w:tcW w:w="114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kern w:val="0"/>
                <w:sz w:val="24"/>
                <w:szCs w:val="32"/>
              </w:rPr>
            </w:pPr>
          </w:p>
        </w:tc>
        <w:tc>
          <w:tcPr>
            <w:tcW w:w="114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预算编制（6分）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5.00</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83.33%</w:t>
            </w:r>
          </w:p>
        </w:tc>
      </w:tr>
      <w:tr>
        <w:tblPrEx>
          <w:tblLayout w:type="fixed"/>
          <w:tblCellMar>
            <w:top w:w="0" w:type="dxa"/>
            <w:left w:w="0" w:type="dxa"/>
            <w:bottom w:w="0" w:type="dxa"/>
            <w:right w:w="0" w:type="dxa"/>
          </w:tblCellMar>
        </w:tblPrEx>
        <w:trPr>
          <w:trHeight w:val="591" w:hRule="atLeast"/>
        </w:trPr>
        <w:tc>
          <w:tcPr>
            <w:tcW w:w="1058"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过程</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（30分）</w:t>
            </w:r>
          </w:p>
        </w:tc>
        <w:tc>
          <w:tcPr>
            <w:tcW w:w="1146"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27.96</w:t>
            </w:r>
          </w:p>
        </w:tc>
        <w:tc>
          <w:tcPr>
            <w:tcW w:w="1149"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93.2%</w:t>
            </w: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预算执行（15分）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12.96</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86.40%</w:t>
            </w:r>
          </w:p>
        </w:tc>
      </w:tr>
      <w:tr>
        <w:tblPrEx>
          <w:tblLayout w:type="fixed"/>
          <w:tblCellMar>
            <w:top w:w="0" w:type="dxa"/>
            <w:left w:w="0" w:type="dxa"/>
            <w:bottom w:w="0" w:type="dxa"/>
            <w:right w:w="0" w:type="dxa"/>
          </w:tblCellMar>
        </w:tblPrEx>
        <w:trPr>
          <w:trHeight w:val="480" w:hRule="atLeast"/>
        </w:trPr>
        <w:tc>
          <w:tcPr>
            <w:tcW w:w="1058" w:type="dxa"/>
            <w:vMerge w:val="continue"/>
            <w:tcBorders>
              <w:left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kern w:val="0"/>
                <w:sz w:val="24"/>
                <w:szCs w:val="32"/>
              </w:rPr>
            </w:pPr>
          </w:p>
        </w:tc>
        <w:tc>
          <w:tcPr>
            <w:tcW w:w="1146"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p>
        </w:tc>
        <w:tc>
          <w:tcPr>
            <w:tcW w:w="1149" w:type="dxa"/>
            <w:vMerge w:val="continue"/>
            <w:tcBorders>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预算管理（9分）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9.00</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r>
      <w:tr>
        <w:tblPrEx>
          <w:tblLayout w:type="fixed"/>
          <w:tblCellMar>
            <w:top w:w="0" w:type="dxa"/>
            <w:left w:w="0" w:type="dxa"/>
            <w:bottom w:w="0" w:type="dxa"/>
            <w:right w:w="0" w:type="dxa"/>
          </w:tblCellMar>
        </w:tblPrEx>
        <w:trPr>
          <w:trHeight w:val="480" w:hRule="atLeast"/>
        </w:trPr>
        <w:tc>
          <w:tcPr>
            <w:tcW w:w="1058"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Times New Roman" w:eastAsia="仿宋_GB2312" w:cs="Times New Roman"/>
                <w:kern w:val="0"/>
                <w:sz w:val="24"/>
                <w:szCs w:val="32"/>
              </w:rPr>
            </w:pPr>
          </w:p>
        </w:tc>
        <w:tc>
          <w:tcPr>
            <w:tcW w:w="1146"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p>
        </w:tc>
        <w:tc>
          <w:tcPr>
            <w:tcW w:w="1149"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资产管理（6分）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6.00</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r>
      <w:tr>
        <w:tblPrEx>
          <w:tblLayout w:type="fixed"/>
          <w:tblCellMar>
            <w:top w:w="0" w:type="dxa"/>
            <w:left w:w="0" w:type="dxa"/>
            <w:bottom w:w="0" w:type="dxa"/>
            <w:right w:w="0" w:type="dxa"/>
          </w:tblCellMar>
        </w:tblPrEx>
        <w:trPr>
          <w:trHeight w:val="480" w:hRule="atLeast"/>
        </w:trPr>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产出</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（30分）</w:t>
            </w: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30.00</w:t>
            </w:r>
          </w:p>
        </w:tc>
        <w:tc>
          <w:tcPr>
            <w:tcW w:w="11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职责履行（30分）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30.00</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r>
      <w:tr>
        <w:tblPrEx>
          <w:tblLayout w:type="fixed"/>
          <w:tblCellMar>
            <w:top w:w="0" w:type="dxa"/>
            <w:left w:w="0" w:type="dxa"/>
            <w:bottom w:w="0" w:type="dxa"/>
            <w:right w:w="0" w:type="dxa"/>
          </w:tblCellMar>
        </w:tblPrEx>
        <w:trPr>
          <w:trHeight w:val="480" w:hRule="atLeast"/>
        </w:trPr>
        <w:tc>
          <w:tcPr>
            <w:tcW w:w="105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效益</w:t>
            </w:r>
            <w:r>
              <w:rPr>
                <w:rFonts w:hint="eastAsia" w:ascii="仿宋_GB2312" w:hAnsi="Times New Roman" w:eastAsia="仿宋_GB2312" w:cs="Times New Roman"/>
                <w:kern w:val="0"/>
                <w:sz w:val="24"/>
                <w:szCs w:val="32"/>
              </w:rPr>
              <w:br w:type="textWrapping"/>
            </w:r>
            <w:r>
              <w:rPr>
                <w:rFonts w:hint="eastAsia" w:ascii="仿宋_GB2312" w:hAnsi="Times New Roman" w:eastAsia="仿宋_GB2312" w:cs="Times New Roman"/>
                <w:kern w:val="0"/>
                <w:sz w:val="24"/>
                <w:szCs w:val="32"/>
              </w:rPr>
              <w:t>（30分）</w:t>
            </w:r>
          </w:p>
        </w:tc>
        <w:tc>
          <w:tcPr>
            <w:tcW w:w="114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30.00</w:t>
            </w:r>
          </w:p>
        </w:tc>
        <w:tc>
          <w:tcPr>
            <w:tcW w:w="114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c>
          <w:tcPr>
            <w:tcW w:w="24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效果（30分）</w:t>
            </w:r>
          </w:p>
        </w:tc>
        <w:tc>
          <w:tcPr>
            <w:tcW w:w="106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30.00</w:t>
            </w:r>
          </w:p>
        </w:tc>
        <w:tc>
          <w:tcPr>
            <w:tcW w:w="144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Times New Roman" w:eastAsia="仿宋_GB2312" w:cs="Times New Roman"/>
                <w:kern w:val="0"/>
                <w:sz w:val="24"/>
                <w:szCs w:val="32"/>
              </w:rPr>
            </w:pPr>
            <w:r>
              <w:rPr>
                <w:rFonts w:hint="eastAsia" w:ascii="仿宋_GB2312" w:hAnsi="Times New Roman" w:eastAsia="仿宋_GB2312" w:cs="Times New Roman"/>
                <w:kern w:val="0"/>
                <w:sz w:val="24"/>
                <w:szCs w:val="32"/>
              </w:rPr>
              <w:t>100.00%</w:t>
            </w:r>
          </w:p>
        </w:tc>
      </w:tr>
    </w:tbl>
    <w:p>
      <w:pPr>
        <w:pStyle w:val="11"/>
        <w:spacing w:line="560" w:lineRule="exact"/>
        <w:jc w:val="center"/>
        <w:rPr>
          <w:sz w:val="32"/>
          <w:szCs w:val="32"/>
        </w:rPr>
      </w:pPr>
      <w:r>
        <w:rPr>
          <w:rFonts w:hint="eastAsia" w:ascii="仿宋_GB2312" w:hAnsi="Times New Roman" w:eastAsia="仿宋_GB2312" w:cs="Times New Roman"/>
          <w:kern w:val="0"/>
          <w:sz w:val="32"/>
          <w:szCs w:val="32"/>
        </w:rPr>
        <w:t>2020年度市委政研室整体支出绩效评价得分表:</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1.投入情况</w:t>
      </w:r>
    </w:p>
    <w:p>
      <w:pPr>
        <w:pStyle w:val="4"/>
        <w:spacing w:line="560" w:lineRule="exact"/>
        <w:ind w:firstLine="640"/>
        <w:rPr>
          <w:rFonts w:ascii="仿宋_GB2312"/>
          <w:sz w:val="32"/>
          <w:szCs w:val="32"/>
          <w:lang w:val="en-US"/>
        </w:rPr>
      </w:pPr>
      <w:r>
        <w:rPr>
          <w:rFonts w:hint="eastAsia" w:ascii="仿宋_GB2312"/>
          <w:sz w:val="32"/>
          <w:szCs w:val="32"/>
          <w:lang w:val="en-US"/>
        </w:rPr>
        <w:t>该项指标分值为10分，评价得分9分，得分率90%。具体包括目标设定、预算编制2个二级指标。</w:t>
      </w:r>
    </w:p>
    <w:p>
      <w:pPr>
        <w:pStyle w:val="4"/>
        <w:spacing w:line="560" w:lineRule="exact"/>
        <w:ind w:firstLine="640"/>
        <w:rPr>
          <w:rFonts w:ascii="仿宋_GB2312"/>
          <w:sz w:val="32"/>
          <w:szCs w:val="32"/>
          <w:lang w:val="en-US"/>
        </w:rPr>
      </w:pPr>
      <w:r>
        <w:rPr>
          <w:rFonts w:hint="eastAsia" w:ascii="仿宋_GB2312"/>
          <w:sz w:val="32"/>
          <w:szCs w:val="32"/>
          <w:lang w:val="en-US"/>
        </w:rPr>
        <w:t>（1）目标设定指标分析</w:t>
      </w:r>
      <w:bookmarkEnd w:id="51"/>
    </w:p>
    <w:p>
      <w:pPr>
        <w:pStyle w:val="4"/>
        <w:spacing w:line="560" w:lineRule="exact"/>
        <w:ind w:firstLine="640"/>
        <w:rPr>
          <w:rFonts w:ascii="仿宋_GB2312"/>
          <w:sz w:val="32"/>
          <w:szCs w:val="32"/>
          <w:lang w:val="en-US"/>
        </w:rPr>
      </w:pPr>
      <w:bookmarkStart w:id="53" w:name="_Toc29955"/>
      <w:r>
        <w:rPr>
          <w:rFonts w:hint="eastAsia" w:ascii="仿宋_GB2312"/>
          <w:sz w:val="32"/>
          <w:szCs w:val="32"/>
          <w:lang w:val="en-US"/>
        </w:rPr>
        <w:t>该项分值4分，评价得分4分，得分率100%，具体包括绩效目标合理性、绩效目标明确性2个三级指标。</w:t>
      </w:r>
      <w:bookmarkEnd w:id="53"/>
    </w:p>
    <w:p>
      <w:pPr>
        <w:pStyle w:val="4"/>
        <w:spacing w:line="560" w:lineRule="exact"/>
        <w:ind w:firstLine="640"/>
        <w:rPr>
          <w:rFonts w:ascii="仿宋_GB2312"/>
          <w:sz w:val="32"/>
          <w:szCs w:val="32"/>
          <w:lang w:val="en-US"/>
        </w:rPr>
      </w:pPr>
      <w:bookmarkStart w:id="54" w:name="_Toc6303"/>
      <w:r>
        <w:rPr>
          <w:rFonts w:hint="eastAsia" w:ascii="仿宋_GB2312"/>
          <w:sz w:val="32"/>
          <w:szCs w:val="32"/>
          <w:lang w:val="en-US"/>
        </w:rPr>
        <w:t>①绩效目标合理性指标分析</w:t>
      </w:r>
      <w:bookmarkEnd w:id="54"/>
    </w:p>
    <w:p>
      <w:pPr>
        <w:pStyle w:val="4"/>
        <w:spacing w:line="560" w:lineRule="exact"/>
        <w:ind w:firstLine="640"/>
        <w:rPr>
          <w:rFonts w:ascii="仿宋_GB2312"/>
          <w:sz w:val="32"/>
          <w:szCs w:val="32"/>
          <w:lang w:val="en-US"/>
        </w:rPr>
      </w:pPr>
      <w:bookmarkStart w:id="55" w:name="_Toc2182"/>
      <w:r>
        <w:rPr>
          <w:rFonts w:hint="eastAsia" w:ascii="仿宋_GB2312"/>
          <w:sz w:val="32"/>
          <w:szCs w:val="32"/>
          <w:lang w:val="en-US"/>
        </w:rPr>
        <w:t>绩效目标包括以习近平新时代中国特色社会主义思想为指导，不断增强“四个意识”、坚定“四个自信”、做到“两个维护”，符合国家法律法规、国民经济和社会发展总体规划，统筹推进综合文稿、调查研究、改革创新、财经统筹和典型宣传五条战线工作，符合部门“三定”方案确定的职责、符合部门制定的中长期实施规划；全面落实省委“重点工作攻坚年”部署，紧紧围绕市委中心工作，符合市委市政府决策部署和工作要求</w:t>
      </w:r>
      <w:bookmarkEnd w:id="55"/>
      <w:r>
        <w:rPr>
          <w:rFonts w:hint="eastAsia" w:ascii="仿宋_GB2312"/>
          <w:sz w:val="32"/>
          <w:szCs w:val="32"/>
          <w:lang w:val="en-US"/>
        </w:rPr>
        <w:t>，得2分。</w:t>
      </w:r>
    </w:p>
    <w:p>
      <w:pPr>
        <w:pStyle w:val="4"/>
        <w:spacing w:line="560" w:lineRule="exact"/>
        <w:ind w:firstLine="640"/>
        <w:rPr>
          <w:rFonts w:ascii="仿宋_GB2312"/>
          <w:sz w:val="32"/>
          <w:szCs w:val="32"/>
          <w:lang w:val="en-US"/>
        </w:rPr>
      </w:pPr>
      <w:bookmarkStart w:id="56" w:name="_Toc27022"/>
      <w:r>
        <w:rPr>
          <w:rFonts w:hint="eastAsia" w:ascii="仿宋_GB2312"/>
          <w:sz w:val="32"/>
          <w:szCs w:val="32"/>
          <w:lang w:val="en-US"/>
        </w:rPr>
        <w:t>②绩效目标明确性指标分析</w:t>
      </w:r>
      <w:bookmarkEnd w:id="56"/>
    </w:p>
    <w:p>
      <w:pPr>
        <w:pStyle w:val="4"/>
        <w:spacing w:line="560" w:lineRule="exact"/>
        <w:ind w:firstLine="640"/>
        <w:rPr>
          <w:rFonts w:ascii="仿宋_GB2312"/>
          <w:sz w:val="32"/>
          <w:szCs w:val="32"/>
          <w:lang w:val="en-US"/>
        </w:rPr>
      </w:pPr>
      <w:bookmarkStart w:id="57" w:name="_Toc24923"/>
      <w:r>
        <w:rPr>
          <w:rFonts w:hint="eastAsia" w:ascii="仿宋_GB2312"/>
          <w:sz w:val="32"/>
          <w:szCs w:val="32"/>
          <w:lang w:val="en-US"/>
        </w:rPr>
        <w:t>绩效目标已分解为起草调研报告数量、起草市委主要领导讲话等各类文稿数量、工作会议举办次数、调查研究结果采纳率、传播载体创建数量等具体的工作任务，绩效指标清晰、细化，与部门年度的任务数或计划数相对应，与本年度部门预算资金基本匹配，得2分。</w:t>
      </w:r>
    </w:p>
    <w:p>
      <w:pPr>
        <w:pStyle w:val="4"/>
        <w:spacing w:line="560" w:lineRule="exact"/>
        <w:ind w:firstLine="640"/>
        <w:rPr>
          <w:rFonts w:ascii="仿宋_GB2312"/>
          <w:sz w:val="32"/>
          <w:szCs w:val="32"/>
          <w:lang w:val="en-US"/>
        </w:rPr>
      </w:pPr>
      <w:r>
        <w:rPr>
          <w:rFonts w:hint="eastAsia" w:ascii="仿宋_GB2312"/>
          <w:sz w:val="32"/>
          <w:szCs w:val="32"/>
          <w:lang w:val="en-US"/>
        </w:rPr>
        <w:t>（2）预算编制指标分析</w:t>
      </w:r>
      <w:bookmarkEnd w:id="57"/>
    </w:p>
    <w:p>
      <w:pPr>
        <w:pStyle w:val="4"/>
        <w:spacing w:line="560" w:lineRule="exact"/>
        <w:ind w:firstLine="640"/>
        <w:rPr>
          <w:rFonts w:ascii="仿宋_GB2312"/>
          <w:sz w:val="32"/>
          <w:szCs w:val="32"/>
          <w:lang w:val="en-US"/>
        </w:rPr>
      </w:pPr>
      <w:bookmarkStart w:id="58" w:name="_Toc8611"/>
      <w:r>
        <w:rPr>
          <w:rFonts w:hint="eastAsia" w:ascii="仿宋_GB2312"/>
          <w:sz w:val="32"/>
          <w:szCs w:val="32"/>
          <w:lang w:val="en-US"/>
        </w:rPr>
        <w:t>该项分值6分，评价得分5分，得分率83.33%，具体包括预算编制合理性、预算编制全面性、决策程序规范性3个三级指标。</w:t>
      </w:r>
      <w:bookmarkEnd w:id="58"/>
    </w:p>
    <w:p>
      <w:pPr>
        <w:pStyle w:val="4"/>
        <w:spacing w:line="560" w:lineRule="exact"/>
        <w:ind w:firstLine="640"/>
        <w:rPr>
          <w:rFonts w:ascii="仿宋_GB2312"/>
          <w:sz w:val="32"/>
          <w:szCs w:val="32"/>
          <w:lang w:val="en-US"/>
        </w:rPr>
      </w:pPr>
      <w:bookmarkStart w:id="59" w:name="_Toc31876"/>
      <w:r>
        <w:rPr>
          <w:rFonts w:hint="eastAsia" w:ascii="仿宋_GB2312"/>
          <w:sz w:val="32"/>
          <w:szCs w:val="32"/>
          <w:lang w:val="en-US"/>
        </w:rPr>
        <w:t>①预算编制合理性指标分析</w:t>
      </w:r>
      <w:bookmarkEnd w:id="59"/>
    </w:p>
    <w:p>
      <w:pPr>
        <w:pStyle w:val="4"/>
        <w:spacing w:line="560" w:lineRule="exact"/>
        <w:ind w:firstLine="640"/>
        <w:rPr>
          <w:rFonts w:ascii="仿宋_GB2312"/>
          <w:sz w:val="32"/>
          <w:szCs w:val="32"/>
          <w:lang w:val="en-US"/>
        </w:rPr>
      </w:pPr>
      <w:bookmarkStart w:id="60" w:name="_Toc13036"/>
      <w:r>
        <w:rPr>
          <w:rFonts w:hint="eastAsia" w:ascii="仿宋_GB2312"/>
          <w:sz w:val="32"/>
          <w:szCs w:val="32"/>
          <w:lang w:val="en-US"/>
        </w:rPr>
        <w:t>市委政研室已对2020年部门预算编报说明，预算编制已经科学论证；预算内容与部门绩效目标匹配；预算额度测算依据充分，按照标准完成编制；预算确定的资金量与工作任务相匹配，得2分。</w:t>
      </w:r>
    </w:p>
    <w:p>
      <w:pPr>
        <w:pStyle w:val="4"/>
        <w:spacing w:line="560" w:lineRule="exact"/>
        <w:ind w:firstLine="640"/>
        <w:rPr>
          <w:rFonts w:ascii="仿宋_GB2312"/>
          <w:sz w:val="32"/>
          <w:szCs w:val="32"/>
          <w:lang w:val="en-US"/>
        </w:rPr>
      </w:pPr>
      <w:r>
        <w:rPr>
          <w:rFonts w:hint="eastAsia" w:ascii="仿宋_GB2312"/>
          <w:sz w:val="32"/>
          <w:szCs w:val="32"/>
          <w:lang w:val="en-US"/>
        </w:rPr>
        <w:t>②预算编制全面性指标分析</w:t>
      </w:r>
    </w:p>
    <w:p>
      <w:pPr>
        <w:pStyle w:val="4"/>
        <w:spacing w:line="560" w:lineRule="exact"/>
        <w:ind w:firstLine="640"/>
        <w:rPr>
          <w:rFonts w:ascii="仿宋_GB2312"/>
          <w:sz w:val="32"/>
          <w:szCs w:val="32"/>
          <w:lang w:val="en-US"/>
        </w:rPr>
      </w:pPr>
      <w:r>
        <w:rPr>
          <w:rFonts w:hint="eastAsia" w:ascii="仿宋_GB2312"/>
          <w:sz w:val="32"/>
          <w:szCs w:val="32"/>
          <w:lang w:val="en-US"/>
        </w:rPr>
        <w:t>市委政研室编报2020年预算时，已按规定编报部门整体支出的细化科目，但预算事项编制不完备，有的实际支出事项未在预算编报中反映，得1分，少得1分。</w:t>
      </w:r>
      <w:bookmarkEnd w:id="60"/>
    </w:p>
    <w:p>
      <w:pPr>
        <w:pStyle w:val="4"/>
        <w:spacing w:line="560" w:lineRule="exact"/>
        <w:ind w:firstLine="640"/>
        <w:rPr>
          <w:rFonts w:ascii="仿宋_GB2312"/>
          <w:sz w:val="32"/>
          <w:szCs w:val="32"/>
          <w:lang w:val="en-US"/>
        </w:rPr>
      </w:pPr>
      <w:r>
        <w:rPr>
          <w:rFonts w:hint="eastAsia" w:ascii="仿宋_GB2312"/>
          <w:sz w:val="32"/>
          <w:szCs w:val="32"/>
          <w:lang w:val="en-US"/>
        </w:rPr>
        <w:t>③决策程序规范性指标分析</w:t>
      </w:r>
    </w:p>
    <w:p>
      <w:pPr>
        <w:pStyle w:val="4"/>
        <w:spacing w:line="560" w:lineRule="exact"/>
        <w:ind w:firstLine="640"/>
        <w:rPr>
          <w:rFonts w:ascii="仿宋_GB2312"/>
          <w:sz w:val="32"/>
          <w:szCs w:val="32"/>
          <w:lang w:val="en-US"/>
        </w:rPr>
      </w:pPr>
      <w:r>
        <w:rPr>
          <w:rFonts w:hint="eastAsia" w:ascii="仿宋_GB2312"/>
          <w:sz w:val="32"/>
          <w:szCs w:val="32"/>
          <w:lang w:val="en-US"/>
        </w:rPr>
        <w:t>市委政研室已制定《预算管理制度》，预算编制流程为分管领导对处室预算把关审查后报主要领导同意，各处室按领导指示要求进行修改，由办公室汇总全室预算，报室务会研究确定。经核实，2020年预算已按规定流程编制，得2分。</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2.过程情况</w:t>
      </w:r>
    </w:p>
    <w:p>
      <w:pPr>
        <w:pStyle w:val="4"/>
        <w:spacing w:line="560" w:lineRule="exact"/>
        <w:ind w:firstLine="640"/>
        <w:rPr>
          <w:rFonts w:ascii="仿宋_GB2312"/>
          <w:sz w:val="32"/>
          <w:szCs w:val="32"/>
          <w:lang w:val="en-US"/>
        </w:rPr>
      </w:pPr>
      <w:r>
        <w:rPr>
          <w:rFonts w:hint="eastAsia" w:ascii="仿宋_GB2312"/>
          <w:sz w:val="32"/>
          <w:szCs w:val="32"/>
          <w:lang w:val="en-US"/>
        </w:rPr>
        <w:t>该项指标分值为30分，评价得分27.96分，得分率93.2%。具体包括预算执行、预算管理和资产管理3个二级指标。</w:t>
      </w:r>
    </w:p>
    <w:p>
      <w:pPr>
        <w:pStyle w:val="4"/>
        <w:spacing w:line="560" w:lineRule="exact"/>
        <w:ind w:firstLine="640"/>
        <w:rPr>
          <w:rFonts w:ascii="仿宋_GB2312"/>
          <w:sz w:val="32"/>
          <w:szCs w:val="32"/>
          <w:lang w:val="en-US"/>
        </w:rPr>
      </w:pPr>
      <w:r>
        <w:rPr>
          <w:rFonts w:hint="eastAsia" w:ascii="仿宋_GB2312"/>
          <w:sz w:val="32"/>
          <w:szCs w:val="32"/>
          <w:lang w:val="en-US"/>
        </w:rPr>
        <w:t>（1）预算执行指标分析</w:t>
      </w:r>
    </w:p>
    <w:p>
      <w:pPr>
        <w:pStyle w:val="4"/>
        <w:spacing w:line="560" w:lineRule="exact"/>
        <w:ind w:firstLine="640"/>
        <w:rPr>
          <w:rFonts w:ascii="仿宋_GB2312"/>
          <w:sz w:val="32"/>
          <w:szCs w:val="32"/>
          <w:lang w:val="en-US"/>
        </w:rPr>
      </w:pPr>
      <w:r>
        <w:rPr>
          <w:rFonts w:hint="eastAsia" w:ascii="仿宋_GB2312"/>
          <w:sz w:val="32"/>
          <w:szCs w:val="32"/>
          <w:lang w:val="en-US"/>
        </w:rPr>
        <w:t>该项分值15分，评价得分12.96分，得分率86.4%，具体包括预算执行率、预算调整情况、支付进度率、“三公经费”变动情况、政府采购执行率5个三级指标。</w:t>
      </w:r>
    </w:p>
    <w:p>
      <w:pPr>
        <w:pStyle w:val="4"/>
        <w:spacing w:line="560" w:lineRule="exact"/>
        <w:ind w:firstLine="640"/>
        <w:rPr>
          <w:rFonts w:ascii="仿宋_GB2312"/>
          <w:sz w:val="32"/>
          <w:szCs w:val="32"/>
          <w:lang w:val="en-US"/>
        </w:rPr>
      </w:pPr>
      <w:r>
        <w:rPr>
          <w:rFonts w:hint="eastAsia" w:ascii="仿宋_GB2312"/>
          <w:sz w:val="32"/>
          <w:szCs w:val="32"/>
          <w:lang w:val="en-US"/>
        </w:rPr>
        <w:t>①预算执行率指标分析</w:t>
      </w:r>
    </w:p>
    <w:p>
      <w:pPr>
        <w:pStyle w:val="4"/>
        <w:tabs>
          <w:tab w:val="left" w:pos="4962"/>
        </w:tabs>
        <w:spacing w:line="560" w:lineRule="exact"/>
        <w:ind w:firstLine="640"/>
        <w:rPr>
          <w:rFonts w:ascii="仿宋_GB2312"/>
          <w:sz w:val="32"/>
          <w:szCs w:val="32"/>
          <w:lang w:val="en-US"/>
        </w:rPr>
      </w:pPr>
      <w:r>
        <w:rPr>
          <w:rFonts w:hint="eastAsia" w:ascii="仿宋_GB2312"/>
          <w:sz w:val="32"/>
          <w:szCs w:val="32"/>
          <w:lang w:val="en-US"/>
        </w:rPr>
        <w:t>2020年安排预算资金2010.25万元，实际执行金额2009.75万元，预算执行率99.9</w:t>
      </w:r>
      <w:r>
        <w:rPr>
          <w:rFonts w:hint="eastAsia" w:ascii="仿宋_GB2312"/>
          <w:sz w:val="32"/>
          <w:szCs w:val="32"/>
          <w:lang w:val="en-US" w:eastAsia="zh-CN"/>
        </w:rPr>
        <w:t>8</w:t>
      </w:r>
      <w:r>
        <w:rPr>
          <w:rFonts w:hint="eastAsia" w:ascii="仿宋_GB2312"/>
          <w:sz w:val="32"/>
          <w:szCs w:val="32"/>
          <w:lang w:val="en-US"/>
        </w:rPr>
        <w:t>%，得3分。</w:t>
      </w:r>
    </w:p>
    <w:p>
      <w:pPr>
        <w:pStyle w:val="4"/>
        <w:spacing w:line="560" w:lineRule="exact"/>
        <w:ind w:firstLine="640"/>
        <w:rPr>
          <w:rFonts w:ascii="仿宋_GB2312"/>
          <w:sz w:val="32"/>
          <w:szCs w:val="32"/>
          <w:lang w:val="en-US"/>
        </w:rPr>
      </w:pPr>
      <w:r>
        <w:rPr>
          <w:rFonts w:hint="eastAsia" w:ascii="仿宋_GB2312"/>
          <w:sz w:val="32"/>
          <w:szCs w:val="32"/>
          <w:lang w:val="en-US"/>
        </w:rPr>
        <w:t>②预算调整情况</w:t>
      </w:r>
    </w:p>
    <w:p>
      <w:pPr>
        <w:pStyle w:val="4"/>
        <w:spacing w:line="560" w:lineRule="exact"/>
        <w:ind w:firstLine="640"/>
        <w:rPr>
          <w:rFonts w:ascii="仿宋_GB2312"/>
          <w:sz w:val="32"/>
          <w:szCs w:val="32"/>
          <w:lang w:val="en-US"/>
        </w:rPr>
      </w:pPr>
      <w:r>
        <w:rPr>
          <w:rFonts w:hint="eastAsia" w:ascii="仿宋_GB2312"/>
          <w:sz w:val="32"/>
          <w:szCs w:val="32"/>
          <w:lang w:val="en-US"/>
        </w:rPr>
        <w:t>2020年市委政研室调剂使用相关招商经费等事项已履行相关审批程序。经抽查，预算执行中，市委政研室存在自行调剂预算用于办公用房维修改造的情况，得1.5分，少得1.5分。</w:t>
      </w:r>
    </w:p>
    <w:p>
      <w:pPr>
        <w:pStyle w:val="4"/>
        <w:spacing w:line="560" w:lineRule="exact"/>
        <w:ind w:firstLine="640"/>
        <w:rPr>
          <w:rFonts w:ascii="仿宋_GB2312"/>
          <w:sz w:val="32"/>
          <w:szCs w:val="32"/>
          <w:lang w:val="en-US"/>
        </w:rPr>
      </w:pPr>
      <w:r>
        <w:rPr>
          <w:rFonts w:hint="eastAsia" w:ascii="仿宋_GB2312"/>
          <w:sz w:val="32"/>
          <w:szCs w:val="32"/>
          <w:lang w:val="en-US"/>
        </w:rPr>
        <w:t>③支付进度情况</w:t>
      </w:r>
    </w:p>
    <w:p>
      <w:pPr>
        <w:pStyle w:val="4"/>
        <w:spacing w:line="560" w:lineRule="exact"/>
        <w:ind w:firstLine="640"/>
        <w:rPr>
          <w:rFonts w:ascii="仿宋_GB2312"/>
          <w:sz w:val="32"/>
          <w:szCs w:val="32"/>
          <w:lang w:val="en-US"/>
        </w:rPr>
      </w:pPr>
      <w:r>
        <w:rPr>
          <w:rFonts w:hint="eastAsia" w:ascii="仿宋_GB2312"/>
          <w:sz w:val="32"/>
          <w:szCs w:val="32"/>
          <w:lang w:val="en-US"/>
        </w:rPr>
        <w:t>政府采购合同能够按照财政支付流程支付；非政府采购按照合同约定及时支付，无欠款；工资性支出、日常费用报销经内部审批后及时报销，得3分。</w:t>
      </w:r>
    </w:p>
    <w:p>
      <w:pPr>
        <w:pStyle w:val="4"/>
        <w:spacing w:line="560" w:lineRule="exact"/>
        <w:ind w:firstLine="640"/>
        <w:rPr>
          <w:rFonts w:ascii="仿宋_GB2312"/>
          <w:sz w:val="32"/>
          <w:szCs w:val="32"/>
          <w:lang w:val="en-US"/>
        </w:rPr>
      </w:pPr>
      <w:r>
        <w:rPr>
          <w:rFonts w:hint="eastAsia" w:ascii="仿宋_GB2312"/>
          <w:sz w:val="32"/>
          <w:szCs w:val="32"/>
          <w:lang w:val="en-US"/>
        </w:rPr>
        <w:t>④“三公经费”变动情况</w:t>
      </w:r>
    </w:p>
    <w:p>
      <w:pPr>
        <w:pStyle w:val="4"/>
        <w:spacing w:line="560" w:lineRule="exact"/>
        <w:ind w:firstLine="640"/>
        <w:rPr>
          <w:rFonts w:ascii="仿宋_GB2312"/>
          <w:sz w:val="32"/>
          <w:szCs w:val="32"/>
          <w:lang w:val="en-US"/>
        </w:rPr>
      </w:pPr>
      <w:r>
        <w:rPr>
          <w:rFonts w:hint="eastAsia" w:ascii="仿宋_GB2312"/>
          <w:sz w:val="32"/>
          <w:szCs w:val="32"/>
          <w:lang w:val="en-US"/>
        </w:rPr>
        <w:t>2020年度“三公经费”预算金额分别为：因公出国（境）费5.25万元、公务接待费5万元、公务用车运行维护费9.69万元，合计19.94万元。</w:t>
      </w:r>
    </w:p>
    <w:p>
      <w:pPr>
        <w:pStyle w:val="4"/>
        <w:spacing w:line="560" w:lineRule="exact"/>
        <w:ind w:firstLine="640"/>
        <w:rPr>
          <w:rFonts w:ascii="仿宋_GB2312"/>
          <w:sz w:val="32"/>
          <w:szCs w:val="32"/>
          <w:lang w:val="en-US"/>
        </w:rPr>
      </w:pPr>
      <w:r>
        <w:rPr>
          <w:rFonts w:hint="eastAsia" w:ascii="仿宋_GB2312"/>
          <w:sz w:val="32"/>
          <w:szCs w:val="32"/>
          <w:lang w:val="en-US"/>
        </w:rPr>
        <w:t>2020年“三公经费”实际执行金额分别为：因公出国（境）费0元、公务接待费0.28万元、公务用车运行维护费4.64万元，合计4.92万元。</w:t>
      </w:r>
    </w:p>
    <w:p>
      <w:pPr>
        <w:pStyle w:val="4"/>
        <w:spacing w:line="560" w:lineRule="exact"/>
        <w:ind w:firstLine="640"/>
        <w:rPr>
          <w:rFonts w:ascii="仿宋_GB2312"/>
          <w:sz w:val="32"/>
          <w:szCs w:val="32"/>
          <w:lang w:val="en-US"/>
        </w:rPr>
      </w:pPr>
      <w:r>
        <w:rPr>
          <w:rFonts w:hint="eastAsia" w:ascii="仿宋_GB2312"/>
          <w:sz w:val="32"/>
          <w:szCs w:val="32"/>
          <w:lang w:val="en-US"/>
        </w:rPr>
        <w:t>2020年“三公经费”实际执行金额未超过预算金额。</w:t>
      </w:r>
    </w:p>
    <w:p>
      <w:pPr>
        <w:pStyle w:val="4"/>
        <w:spacing w:line="560" w:lineRule="exact"/>
        <w:ind w:firstLine="640"/>
        <w:rPr>
          <w:rFonts w:ascii="仿宋_GB2312"/>
          <w:sz w:val="32"/>
          <w:szCs w:val="32"/>
          <w:lang w:val="en-US"/>
        </w:rPr>
      </w:pPr>
      <w:r>
        <w:rPr>
          <w:rFonts w:hint="eastAsia" w:ascii="仿宋_GB2312"/>
          <w:sz w:val="32"/>
          <w:szCs w:val="32"/>
          <w:lang w:val="en-US"/>
        </w:rPr>
        <w:t>2019年“三公经费”实际执行金额分别为：因公出国（境）费5.90万元、公务接待费2.08万元、公务用车运行维护费9.14万元，合计17.12万元。</w:t>
      </w:r>
    </w:p>
    <w:p>
      <w:pPr>
        <w:pStyle w:val="4"/>
        <w:spacing w:line="560" w:lineRule="exact"/>
        <w:ind w:firstLine="640"/>
        <w:rPr>
          <w:rFonts w:ascii="仿宋_GB2312"/>
          <w:sz w:val="32"/>
          <w:szCs w:val="32"/>
          <w:lang w:val="en-US"/>
        </w:rPr>
      </w:pPr>
      <w:r>
        <w:rPr>
          <w:rFonts w:hint="eastAsia" w:ascii="仿宋_GB2312"/>
          <w:sz w:val="32"/>
          <w:szCs w:val="32"/>
          <w:lang w:val="en-US" w:eastAsia="zh-CN"/>
        </w:rPr>
        <w:t>2020</w:t>
      </w:r>
      <w:r>
        <w:rPr>
          <w:rFonts w:hint="eastAsia" w:ascii="仿宋_GB2312"/>
          <w:sz w:val="32"/>
          <w:szCs w:val="32"/>
          <w:lang w:val="en-US"/>
        </w:rPr>
        <w:t>年度“三公经费”</w:t>
      </w:r>
      <w:r>
        <w:rPr>
          <w:rFonts w:hint="eastAsia" w:ascii="仿宋_GB2312"/>
          <w:sz w:val="32"/>
          <w:szCs w:val="32"/>
          <w:lang w:val="en-US" w:eastAsia="zh-CN"/>
        </w:rPr>
        <w:t>执行</w:t>
      </w:r>
      <w:r>
        <w:rPr>
          <w:rFonts w:hint="eastAsia" w:ascii="仿宋_GB2312"/>
          <w:sz w:val="32"/>
          <w:szCs w:val="32"/>
          <w:lang w:val="en-US"/>
        </w:rPr>
        <w:t>总额</w:t>
      </w:r>
      <w:r>
        <w:rPr>
          <w:rFonts w:hint="eastAsia" w:ascii="仿宋_GB2312"/>
          <w:sz w:val="32"/>
          <w:szCs w:val="32"/>
          <w:lang w:val="en-US" w:eastAsia="zh-CN"/>
        </w:rPr>
        <w:t>较</w:t>
      </w:r>
      <w:r>
        <w:rPr>
          <w:rFonts w:hint="eastAsia" w:ascii="仿宋_GB2312"/>
          <w:sz w:val="32"/>
          <w:szCs w:val="32"/>
          <w:lang w:val="en-US"/>
        </w:rPr>
        <w:t>上年度“三公经费”总额</w:t>
      </w:r>
      <w:r>
        <w:rPr>
          <w:rFonts w:hint="eastAsia" w:ascii="仿宋_GB2312"/>
          <w:sz w:val="32"/>
          <w:szCs w:val="32"/>
          <w:lang w:val="en-US" w:eastAsia="zh-CN"/>
        </w:rPr>
        <w:t>减少30%</w:t>
      </w:r>
      <w:bookmarkStart w:id="63" w:name="_GoBack"/>
      <w:bookmarkEnd w:id="63"/>
      <w:r>
        <w:rPr>
          <w:rFonts w:hint="eastAsia" w:ascii="仿宋_GB2312"/>
          <w:sz w:val="32"/>
          <w:szCs w:val="32"/>
          <w:lang w:val="en-US" w:eastAsia="zh-CN"/>
        </w:rPr>
        <w:t>以上</w:t>
      </w:r>
      <w:r>
        <w:rPr>
          <w:rFonts w:hint="eastAsia" w:ascii="仿宋_GB2312"/>
          <w:sz w:val="32"/>
          <w:szCs w:val="32"/>
          <w:lang w:val="en-US"/>
        </w:rPr>
        <w:t>，得3分。</w:t>
      </w:r>
    </w:p>
    <w:p>
      <w:pPr>
        <w:pStyle w:val="4"/>
        <w:spacing w:line="560" w:lineRule="exact"/>
        <w:ind w:firstLine="640"/>
        <w:rPr>
          <w:rFonts w:ascii="仿宋_GB2312"/>
          <w:sz w:val="32"/>
          <w:szCs w:val="32"/>
          <w:lang w:val="en-US"/>
        </w:rPr>
      </w:pPr>
      <w:r>
        <w:rPr>
          <w:rFonts w:hint="eastAsia" w:ascii="仿宋_GB2312"/>
          <w:sz w:val="32"/>
          <w:szCs w:val="32"/>
          <w:lang w:val="en-US"/>
        </w:rPr>
        <w:t>⑤政府采购执行率</w:t>
      </w:r>
    </w:p>
    <w:p>
      <w:pPr>
        <w:pStyle w:val="4"/>
        <w:spacing w:line="560" w:lineRule="exact"/>
        <w:ind w:firstLine="640"/>
        <w:rPr>
          <w:rFonts w:ascii="仿宋_GB2312"/>
          <w:sz w:val="32"/>
          <w:szCs w:val="32"/>
          <w:lang w:val="en-US"/>
        </w:rPr>
      </w:pPr>
      <w:r>
        <w:rPr>
          <w:rFonts w:hint="eastAsia" w:ascii="仿宋_GB2312"/>
          <w:sz w:val="32"/>
          <w:szCs w:val="32"/>
          <w:lang w:val="en-US"/>
        </w:rPr>
        <w:t>2020年度政府采购预算金额95.05万元，实际执行73.06万元，政府采购执行率76.87%，政府采购执行率不高，政府采购预算的编制不够合理，且未根据需求及时调整政府采购预算，得2.46分，少得0.54分。</w:t>
      </w:r>
    </w:p>
    <w:p>
      <w:pPr>
        <w:pStyle w:val="4"/>
        <w:spacing w:line="560" w:lineRule="exact"/>
        <w:ind w:firstLine="640"/>
        <w:rPr>
          <w:rFonts w:ascii="仿宋_GB2312"/>
          <w:sz w:val="32"/>
          <w:szCs w:val="32"/>
          <w:lang w:val="en-US"/>
        </w:rPr>
      </w:pPr>
      <w:r>
        <w:rPr>
          <w:rFonts w:hint="eastAsia" w:ascii="仿宋_GB2312"/>
          <w:sz w:val="32"/>
          <w:szCs w:val="32"/>
          <w:lang w:val="en-US"/>
        </w:rPr>
        <w:t>（2）预算管理指标分析</w:t>
      </w:r>
    </w:p>
    <w:p>
      <w:pPr>
        <w:pStyle w:val="4"/>
        <w:spacing w:line="560" w:lineRule="exact"/>
        <w:ind w:firstLine="640"/>
        <w:rPr>
          <w:rFonts w:ascii="仿宋_GB2312"/>
          <w:sz w:val="32"/>
          <w:szCs w:val="32"/>
          <w:lang w:val="en-US"/>
        </w:rPr>
      </w:pPr>
      <w:r>
        <w:rPr>
          <w:rFonts w:hint="eastAsia" w:ascii="仿宋_GB2312"/>
          <w:sz w:val="32"/>
          <w:szCs w:val="32"/>
          <w:lang w:val="en-US"/>
        </w:rPr>
        <w:t>该项分值9分，评价得分9分，得分率100%，具体包括管理制度健全性、资金使用合规性、预决算信息公开性、基础信息完善性4个三级指标。</w:t>
      </w:r>
    </w:p>
    <w:p>
      <w:pPr>
        <w:pStyle w:val="4"/>
        <w:spacing w:line="560" w:lineRule="exact"/>
        <w:ind w:firstLine="640"/>
        <w:rPr>
          <w:rFonts w:ascii="仿宋_GB2312"/>
          <w:sz w:val="32"/>
          <w:szCs w:val="32"/>
          <w:lang w:val="en-US"/>
        </w:rPr>
      </w:pPr>
      <w:r>
        <w:rPr>
          <w:rFonts w:hint="eastAsia" w:ascii="仿宋_GB2312"/>
          <w:sz w:val="32"/>
          <w:szCs w:val="32"/>
          <w:lang w:val="en-US"/>
        </w:rPr>
        <w:t>①管理制度健全性</w:t>
      </w:r>
    </w:p>
    <w:p>
      <w:pPr>
        <w:pStyle w:val="4"/>
        <w:spacing w:line="560" w:lineRule="exact"/>
        <w:ind w:firstLine="640"/>
        <w:rPr>
          <w:rFonts w:ascii="仿宋_GB2312"/>
          <w:sz w:val="32"/>
          <w:szCs w:val="32"/>
          <w:lang w:val="en-US"/>
        </w:rPr>
      </w:pPr>
      <w:r>
        <w:rPr>
          <w:rFonts w:hint="eastAsia" w:ascii="仿宋_GB2312"/>
          <w:sz w:val="32"/>
          <w:szCs w:val="32"/>
          <w:lang w:val="en-US"/>
        </w:rPr>
        <w:t>市委政研室已制定《财务管理制度》《公务接待管理办法》《会议费管理办法》《培训费管理办法》《收支管理制度》《预算管理制度》等内控管理制度，内控管理制度合法、合规、完整，得3分。</w:t>
      </w:r>
    </w:p>
    <w:p>
      <w:pPr>
        <w:pStyle w:val="4"/>
        <w:spacing w:line="560" w:lineRule="exact"/>
        <w:ind w:firstLine="640"/>
        <w:rPr>
          <w:rFonts w:ascii="仿宋_GB2312"/>
          <w:sz w:val="32"/>
          <w:szCs w:val="32"/>
          <w:lang w:val="en-US"/>
        </w:rPr>
      </w:pPr>
      <w:r>
        <w:rPr>
          <w:rFonts w:hint="eastAsia" w:ascii="仿宋_GB2312"/>
          <w:sz w:val="32"/>
          <w:szCs w:val="32"/>
          <w:lang w:val="en-US"/>
        </w:rPr>
        <w:t>②资金使用合规性</w:t>
      </w:r>
    </w:p>
    <w:p>
      <w:pPr>
        <w:pStyle w:val="4"/>
        <w:spacing w:line="560" w:lineRule="exact"/>
        <w:ind w:firstLine="640"/>
        <w:rPr>
          <w:rFonts w:ascii="仿宋_GB2312"/>
          <w:sz w:val="32"/>
          <w:szCs w:val="32"/>
          <w:lang w:val="en-US"/>
        </w:rPr>
      </w:pPr>
      <w:r>
        <w:rPr>
          <w:rFonts w:hint="eastAsia" w:ascii="仿宋_GB2312"/>
          <w:sz w:val="32"/>
          <w:szCs w:val="32"/>
          <w:lang w:val="en-US"/>
        </w:rPr>
        <w:t>市委政研室整体支出符合制定的财务管理制度规定，资金的拨付有完整的审批程序和手续，符合项目预算批复或合同规定的用途，资金使用流程规范，资金未发生截留、挤占、挪用、虚列支出等违规使用情况，得3分。</w:t>
      </w:r>
    </w:p>
    <w:p>
      <w:pPr>
        <w:pStyle w:val="4"/>
        <w:spacing w:line="560" w:lineRule="exact"/>
        <w:ind w:firstLine="640"/>
        <w:rPr>
          <w:rFonts w:ascii="仿宋_GB2312"/>
          <w:sz w:val="32"/>
          <w:szCs w:val="32"/>
          <w:lang w:val="en-US"/>
        </w:rPr>
      </w:pPr>
      <w:r>
        <w:rPr>
          <w:rFonts w:hint="eastAsia" w:ascii="仿宋_GB2312"/>
          <w:sz w:val="32"/>
          <w:szCs w:val="32"/>
          <w:lang w:val="en-US"/>
        </w:rPr>
        <w:t>③预决算信息公开性</w:t>
      </w:r>
    </w:p>
    <w:p>
      <w:pPr>
        <w:pStyle w:val="4"/>
        <w:spacing w:line="560" w:lineRule="exact"/>
        <w:ind w:firstLine="640"/>
        <w:rPr>
          <w:rFonts w:ascii="仿宋_GB2312"/>
          <w:sz w:val="32"/>
          <w:szCs w:val="32"/>
          <w:lang w:val="en-US"/>
        </w:rPr>
      </w:pPr>
      <w:r>
        <w:rPr>
          <w:rFonts w:hint="eastAsia" w:ascii="仿宋_GB2312"/>
          <w:sz w:val="32"/>
          <w:szCs w:val="32"/>
          <w:lang w:val="en-US"/>
        </w:rPr>
        <w:t>2020年已按青办发〔2016〕24号文件规定，及时公开部门预决算、部门政府采购情况、“三公”经费预决算等相关信息，得1分。</w:t>
      </w:r>
    </w:p>
    <w:p>
      <w:pPr>
        <w:pStyle w:val="4"/>
        <w:spacing w:line="560" w:lineRule="exact"/>
        <w:ind w:firstLine="640"/>
        <w:rPr>
          <w:rFonts w:ascii="仿宋_GB2312"/>
          <w:sz w:val="32"/>
          <w:szCs w:val="32"/>
          <w:lang w:val="en-US"/>
        </w:rPr>
      </w:pPr>
      <w:r>
        <w:rPr>
          <w:rFonts w:hint="eastAsia" w:ascii="仿宋_GB2312"/>
          <w:sz w:val="32"/>
          <w:szCs w:val="32"/>
          <w:lang w:val="en-US"/>
        </w:rPr>
        <w:t>④基础信息完善性</w:t>
      </w:r>
    </w:p>
    <w:p>
      <w:pPr>
        <w:pStyle w:val="4"/>
        <w:spacing w:line="560" w:lineRule="exact"/>
        <w:ind w:firstLine="640"/>
        <w:rPr>
          <w:rFonts w:ascii="仿宋_GB2312"/>
          <w:sz w:val="32"/>
          <w:szCs w:val="32"/>
          <w:lang w:val="en-US"/>
        </w:rPr>
      </w:pPr>
      <w:r>
        <w:rPr>
          <w:rFonts w:hint="eastAsia" w:ascii="仿宋_GB2312"/>
          <w:sz w:val="32"/>
          <w:szCs w:val="32"/>
          <w:lang w:val="en-US"/>
        </w:rPr>
        <w:t>市委政研室2020年完成综合文稿1500多篇、市委市政府重要文件9个、调研报告46篇、典型案例54个等，以上基础数据信息整理形成调研报告篇1本、改革创新成果篇1本、工作总结篇1本、学习建言篇1本、文稿汇编4册等。具有较为完善的会计账簿、报表等会计信息资料。基础信息真实、完整、准确，得2分。</w:t>
      </w:r>
    </w:p>
    <w:p>
      <w:pPr>
        <w:pStyle w:val="4"/>
        <w:spacing w:line="560" w:lineRule="exact"/>
        <w:ind w:firstLine="640"/>
        <w:rPr>
          <w:rFonts w:ascii="仿宋_GB2312"/>
          <w:sz w:val="32"/>
          <w:szCs w:val="32"/>
          <w:lang w:val="en-US"/>
        </w:rPr>
      </w:pPr>
      <w:r>
        <w:rPr>
          <w:rFonts w:hint="eastAsia" w:ascii="仿宋_GB2312"/>
          <w:sz w:val="32"/>
          <w:szCs w:val="32"/>
          <w:lang w:val="en-US"/>
        </w:rPr>
        <w:t>（3）资产管理</w:t>
      </w:r>
    </w:p>
    <w:p>
      <w:pPr>
        <w:pStyle w:val="4"/>
        <w:spacing w:line="560" w:lineRule="exact"/>
        <w:ind w:firstLine="640"/>
        <w:rPr>
          <w:rFonts w:ascii="仿宋_GB2312"/>
          <w:sz w:val="32"/>
          <w:szCs w:val="32"/>
          <w:lang w:val="en-US"/>
        </w:rPr>
      </w:pPr>
      <w:r>
        <w:rPr>
          <w:rFonts w:hint="eastAsia" w:ascii="仿宋_GB2312"/>
          <w:sz w:val="32"/>
          <w:szCs w:val="32"/>
          <w:lang w:val="en-US"/>
        </w:rPr>
        <w:t>该项分值6分，评价得分6分，得分率100%，具体包括固定资产利用率、资产管理规范性2个三级指标。</w:t>
      </w:r>
    </w:p>
    <w:p>
      <w:pPr>
        <w:pStyle w:val="4"/>
        <w:spacing w:line="560" w:lineRule="exact"/>
        <w:ind w:firstLine="640"/>
        <w:rPr>
          <w:rFonts w:ascii="仿宋_GB2312"/>
          <w:sz w:val="32"/>
          <w:szCs w:val="32"/>
          <w:lang w:val="en-US"/>
        </w:rPr>
      </w:pPr>
      <w:r>
        <w:rPr>
          <w:rFonts w:hint="eastAsia" w:ascii="仿宋_GB2312"/>
          <w:sz w:val="32"/>
          <w:szCs w:val="32"/>
          <w:lang w:val="en-US"/>
        </w:rPr>
        <w:t>①固定资产利用率</w:t>
      </w:r>
    </w:p>
    <w:p>
      <w:pPr>
        <w:pStyle w:val="4"/>
        <w:spacing w:line="560" w:lineRule="exact"/>
        <w:ind w:firstLine="640"/>
        <w:rPr>
          <w:rFonts w:ascii="仿宋_GB2312"/>
          <w:sz w:val="32"/>
          <w:szCs w:val="32"/>
          <w:lang w:val="en-US"/>
        </w:rPr>
      </w:pPr>
      <w:r>
        <w:rPr>
          <w:rFonts w:hint="eastAsia" w:ascii="仿宋_GB2312"/>
          <w:sz w:val="32"/>
          <w:szCs w:val="32"/>
          <w:lang w:val="en-US"/>
        </w:rPr>
        <w:t>截至2020年底，市委政研室固定资产原值209.74万元，全部自用，无闲置、待处置（待报废、毁损等）资产，资产利用率100%，得3分。</w:t>
      </w:r>
    </w:p>
    <w:p>
      <w:pPr>
        <w:pStyle w:val="4"/>
        <w:spacing w:line="560" w:lineRule="exact"/>
        <w:ind w:firstLine="640"/>
        <w:rPr>
          <w:rFonts w:ascii="仿宋_GB2312"/>
          <w:sz w:val="32"/>
          <w:szCs w:val="32"/>
          <w:lang w:val="en-US"/>
        </w:rPr>
      </w:pPr>
      <w:r>
        <w:rPr>
          <w:rFonts w:hint="eastAsia" w:ascii="仿宋_GB2312"/>
          <w:sz w:val="32"/>
          <w:szCs w:val="32"/>
          <w:lang w:val="en-US"/>
        </w:rPr>
        <w:t>②资产管理规范性</w:t>
      </w:r>
    </w:p>
    <w:p>
      <w:pPr>
        <w:pStyle w:val="4"/>
        <w:spacing w:line="560" w:lineRule="exact"/>
        <w:ind w:firstLine="640"/>
        <w:rPr>
          <w:rFonts w:ascii="仿宋_GB2312"/>
          <w:sz w:val="32"/>
          <w:szCs w:val="32"/>
          <w:lang w:val="en-US"/>
        </w:rPr>
      </w:pPr>
      <w:r>
        <w:rPr>
          <w:rFonts w:hint="eastAsia" w:ascii="仿宋_GB2312"/>
          <w:sz w:val="32"/>
          <w:szCs w:val="32"/>
          <w:lang w:val="en-US"/>
        </w:rPr>
        <w:t>市委政研室已建立《市委政研室资产管理办法》，资产管理办法合法、合规、完整，资产管理制度得到有效执行，资产配置合理，符合资产配置标准，资产使用、处置规范，符合相关制度规定，得3分。</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3.产出情况</w:t>
      </w:r>
    </w:p>
    <w:p>
      <w:pPr>
        <w:pStyle w:val="4"/>
        <w:spacing w:line="560" w:lineRule="exact"/>
        <w:ind w:firstLine="640"/>
        <w:rPr>
          <w:rFonts w:ascii="仿宋_GB2312"/>
          <w:sz w:val="32"/>
          <w:szCs w:val="32"/>
          <w:lang w:val="en-US"/>
        </w:rPr>
      </w:pPr>
      <w:r>
        <w:rPr>
          <w:rFonts w:hint="eastAsia" w:ascii="仿宋_GB2312"/>
          <w:sz w:val="32"/>
          <w:szCs w:val="32"/>
          <w:lang w:val="en-US"/>
        </w:rPr>
        <w:t>（1）职责履行情况</w:t>
      </w:r>
    </w:p>
    <w:p>
      <w:pPr>
        <w:pStyle w:val="4"/>
        <w:spacing w:line="560" w:lineRule="exact"/>
        <w:ind w:firstLine="640"/>
        <w:rPr>
          <w:rFonts w:ascii="仿宋_GB2312"/>
          <w:sz w:val="32"/>
          <w:szCs w:val="32"/>
          <w:lang w:val="en-US"/>
        </w:rPr>
      </w:pPr>
      <w:r>
        <w:rPr>
          <w:rFonts w:hint="eastAsia" w:ascii="仿宋_GB2312"/>
          <w:sz w:val="32"/>
          <w:szCs w:val="32"/>
          <w:lang w:val="en-US"/>
        </w:rPr>
        <w:t>该项指标分值为30分，评价得分30分，得分率100%。具体包括实际完成率、完成及时率、质量达标率、重点工作办结率4个三级指标。</w:t>
      </w:r>
    </w:p>
    <w:p>
      <w:pPr>
        <w:pStyle w:val="4"/>
        <w:spacing w:line="560" w:lineRule="exact"/>
        <w:ind w:firstLine="640"/>
        <w:rPr>
          <w:rFonts w:ascii="仿宋_GB2312"/>
          <w:sz w:val="32"/>
          <w:szCs w:val="32"/>
          <w:lang w:val="en-US"/>
        </w:rPr>
      </w:pPr>
      <w:r>
        <w:rPr>
          <w:rFonts w:hint="eastAsia" w:ascii="仿宋_GB2312"/>
          <w:sz w:val="32"/>
          <w:szCs w:val="32"/>
          <w:lang w:val="en-US"/>
        </w:rPr>
        <w:t>①实际完成率</w:t>
      </w:r>
    </w:p>
    <w:p>
      <w:pPr>
        <w:pStyle w:val="4"/>
        <w:spacing w:line="560" w:lineRule="exact"/>
        <w:ind w:firstLine="640"/>
        <w:rPr>
          <w:rFonts w:ascii="仿宋_GB2312"/>
          <w:sz w:val="32"/>
          <w:szCs w:val="32"/>
          <w:lang w:val="en-US"/>
        </w:rPr>
      </w:pPr>
      <w:r>
        <w:rPr>
          <w:rFonts w:hint="eastAsia" w:ascii="仿宋_GB2312"/>
          <w:sz w:val="32"/>
          <w:szCs w:val="32"/>
          <w:lang w:val="en-US"/>
        </w:rPr>
        <w:t>a.调研报告完成率</w:t>
      </w:r>
    </w:p>
    <w:p>
      <w:pPr>
        <w:pStyle w:val="4"/>
        <w:spacing w:line="560" w:lineRule="exact"/>
        <w:ind w:firstLine="640"/>
        <w:rPr>
          <w:rFonts w:ascii="仿宋_GB2312"/>
          <w:sz w:val="32"/>
          <w:szCs w:val="32"/>
          <w:lang w:val="en-US"/>
        </w:rPr>
      </w:pPr>
      <w:r>
        <w:rPr>
          <w:rFonts w:hint="eastAsia" w:ascii="仿宋_GB2312"/>
          <w:sz w:val="32"/>
          <w:szCs w:val="32"/>
          <w:lang w:val="en-US"/>
        </w:rPr>
        <w:t>市委政研室起草调研报告数量年度指标值≥30，实际完成调研报告46篇，完成率大于100%，得3分。</w:t>
      </w:r>
    </w:p>
    <w:p>
      <w:pPr>
        <w:pStyle w:val="4"/>
        <w:spacing w:line="560" w:lineRule="exact"/>
        <w:ind w:firstLine="640"/>
        <w:rPr>
          <w:rFonts w:ascii="仿宋_GB2312"/>
          <w:sz w:val="32"/>
          <w:szCs w:val="32"/>
          <w:lang w:val="en-US"/>
        </w:rPr>
      </w:pPr>
      <w:r>
        <w:rPr>
          <w:rFonts w:hint="eastAsia" w:ascii="仿宋_GB2312"/>
          <w:sz w:val="32"/>
          <w:szCs w:val="32"/>
          <w:lang w:val="en-US"/>
        </w:rPr>
        <w:t>b.综合文稿完成率</w:t>
      </w:r>
    </w:p>
    <w:p>
      <w:pPr>
        <w:pStyle w:val="4"/>
        <w:spacing w:line="560" w:lineRule="exact"/>
        <w:ind w:firstLine="640"/>
        <w:rPr>
          <w:rFonts w:ascii="仿宋_GB2312"/>
          <w:sz w:val="32"/>
          <w:szCs w:val="32"/>
          <w:lang w:val="en-US"/>
        </w:rPr>
      </w:pPr>
      <w:r>
        <w:rPr>
          <w:rFonts w:hint="eastAsia" w:ascii="仿宋_GB2312"/>
          <w:sz w:val="32"/>
          <w:szCs w:val="32"/>
          <w:lang w:val="en-US"/>
        </w:rPr>
        <w:t>市委政研室起草综合文稿数量年度指标值≥1000，实际完成综合文稿1500多篇，完成率大于100%，得3分。</w:t>
      </w:r>
    </w:p>
    <w:p>
      <w:pPr>
        <w:pStyle w:val="4"/>
        <w:spacing w:line="560" w:lineRule="exact"/>
        <w:ind w:firstLine="640"/>
        <w:rPr>
          <w:rFonts w:ascii="仿宋_GB2312"/>
          <w:sz w:val="32"/>
          <w:szCs w:val="32"/>
          <w:lang w:val="en-US"/>
        </w:rPr>
      </w:pPr>
      <w:r>
        <w:rPr>
          <w:rFonts w:hint="eastAsia" w:ascii="仿宋_GB2312"/>
          <w:sz w:val="32"/>
          <w:szCs w:val="32"/>
          <w:lang w:val="en-US"/>
        </w:rPr>
        <w:t>c.《青岛通讯》期刊完成率</w:t>
      </w:r>
    </w:p>
    <w:p>
      <w:pPr>
        <w:pStyle w:val="4"/>
        <w:spacing w:line="560" w:lineRule="exact"/>
        <w:ind w:firstLine="640"/>
        <w:rPr>
          <w:rFonts w:ascii="仿宋_GB2312"/>
          <w:sz w:val="32"/>
          <w:szCs w:val="32"/>
          <w:lang w:val="en-US"/>
        </w:rPr>
      </w:pPr>
      <w:r>
        <w:rPr>
          <w:rFonts w:hint="eastAsia" w:ascii="仿宋_GB2312"/>
          <w:sz w:val="32"/>
          <w:szCs w:val="32"/>
          <w:lang w:val="en-US"/>
        </w:rPr>
        <w:t>市委政研室编辑《青岛通讯》期刊数量年度指标值≥12，实际完成《青岛通讯》12期，完成率100%，得2分。</w:t>
      </w:r>
    </w:p>
    <w:p>
      <w:pPr>
        <w:pStyle w:val="4"/>
        <w:spacing w:line="560" w:lineRule="exact"/>
        <w:ind w:firstLine="640"/>
        <w:rPr>
          <w:rFonts w:ascii="仿宋_GB2312"/>
          <w:sz w:val="32"/>
          <w:szCs w:val="32"/>
          <w:lang w:val="en-US"/>
        </w:rPr>
      </w:pPr>
      <w:r>
        <w:rPr>
          <w:rFonts w:hint="eastAsia" w:ascii="仿宋_GB2312"/>
          <w:sz w:val="32"/>
          <w:szCs w:val="32"/>
          <w:lang w:val="en-US"/>
        </w:rPr>
        <w:t>d.会议举办完成率</w:t>
      </w:r>
    </w:p>
    <w:p>
      <w:pPr>
        <w:pStyle w:val="4"/>
        <w:spacing w:line="560" w:lineRule="exact"/>
        <w:ind w:firstLine="640"/>
        <w:rPr>
          <w:rFonts w:ascii="仿宋_GB2312"/>
          <w:sz w:val="32"/>
          <w:szCs w:val="32"/>
          <w:lang w:val="en-US"/>
        </w:rPr>
      </w:pPr>
      <w:r>
        <w:rPr>
          <w:rFonts w:hint="eastAsia" w:ascii="仿宋_GB2312"/>
          <w:sz w:val="32"/>
          <w:szCs w:val="32"/>
          <w:lang w:val="en-US"/>
        </w:rPr>
        <w:t>市委政研室全市经济工作会议举办数量年度指标值≥1，实际承办1次，完成率100%；全市改革工作会议举办数量年度指标值≥2，实际承办市委全面深化改革委员会会议、改革专题会议、全市改革大会等相关会议4次以上，完成率大于100%，得2分。</w:t>
      </w:r>
    </w:p>
    <w:p>
      <w:pPr>
        <w:pStyle w:val="4"/>
        <w:spacing w:line="560" w:lineRule="exact"/>
        <w:ind w:firstLine="640"/>
        <w:rPr>
          <w:rFonts w:ascii="仿宋_GB2312"/>
          <w:sz w:val="32"/>
          <w:szCs w:val="32"/>
          <w:lang w:val="en-US"/>
        </w:rPr>
      </w:pPr>
      <w:r>
        <w:rPr>
          <w:rFonts w:hint="eastAsia" w:ascii="仿宋_GB2312"/>
          <w:sz w:val="32"/>
          <w:szCs w:val="32"/>
          <w:lang w:val="en-US"/>
        </w:rPr>
        <w:t>e.创建传播载体数量</w:t>
      </w:r>
    </w:p>
    <w:p>
      <w:pPr>
        <w:pStyle w:val="4"/>
        <w:spacing w:line="560" w:lineRule="exact"/>
        <w:ind w:firstLine="640"/>
        <w:rPr>
          <w:rFonts w:ascii="仿宋_GB2312"/>
          <w:sz w:val="32"/>
          <w:szCs w:val="32"/>
          <w:lang w:val="en-US"/>
        </w:rPr>
      </w:pPr>
      <w:r>
        <w:rPr>
          <w:rFonts w:hint="eastAsia" w:ascii="仿宋_GB2312"/>
          <w:sz w:val="32"/>
          <w:szCs w:val="32"/>
          <w:lang w:val="en-US"/>
        </w:rPr>
        <w:t>市委政研室创建传播载体年度指标值≥3，实际完成“青岛政研”微信公众号的创建、《内部参阅》的建立、《政研交流》、《信息动态》等内部学习共享平台的创办，完成率大于100%，得2分。</w:t>
      </w:r>
    </w:p>
    <w:p>
      <w:pPr>
        <w:pStyle w:val="4"/>
        <w:spacing w:line="560" w:lineRule="exact"/>
        <w:ind w:firstLine="640"/>
        <w:rPr>
          <w:rFonts w:ascii="仿宋_GB2312"/>
          <w:sz w:val="32"/>
          <w:szCs w:val="32"/>
          <w:lang w:val="en-US"/>
        </w:rPr>
      </w:pPr>
      <w:r>
        <w:rPr>
          <w:rFonts w:hint="eastAsia" w:ascii="仿宋_GB2312"/>
          <w:sz w:val="32"/>
          <w:szCs w:val="32"/>
          <w:lang w:val="en-US"/>
        </w:rPr>
        <w:t>②完成及时率</w:t>
      </w:r>
    </w:p>
    <w:p>
      <w:pPr>
        <w:pStyle w:val="4"/>
        <w:spacing w:line="560" w:lineRule="exact"/>
        <w:ind w:firstLine="640"/>
        <w:rPr>
          <w:rFonts w:ascii="仿宋_GB2312"/>
          <w:sz w:val="32"/>
          <w:szCs w:val="32"/>
          <w:lang w:val="en-US"/>
        </w:rPr>
      </w:pPr>
      <w:r>
        <w:rPr>
          <w:rFonts w:hint="eastAsia" w:ascii="仿宋_GB2312"/>
          <w:sz w:val="32"/>
          <w:szCs w:val="32"/>
          <w:lang w:val="en-US"/>
        </w:rPr>
        <w:t>2020年经济工作会议、改革工作会议均已按规定举办，完成及时率100%，得3分。</w:t>
      </w:r>
    </w:p>
    <w:p>
      <w:pPr>
        <w:pStyle w:val="4"/>
        <w:spacing w:line="560" w:lineRule="exact"/>
        <w:ind w:firstLine="640"/>
        <w:rPr>
          <w:rFonts w:ascii="仿宋_GB2312"/>
          <w:sz w:val="32"/>
          <w:szCs w:val="32"/>
          <w:lang w:val="en-US"/>
        </w:rPr>
      </w:pPr>
      <w:r>
        <w:rPr>
          <w:rFonts w:hint="eastAsia" w:ascii="仿宋_GB2312"/>
          <w:sz w:val="32"/>
          <w:szCs w:val="32"/>
          <w:lang w:val="en-US"/>
        </w:rPr>
        <w:t>③质量达标率</w:t>
      </w:r>
    </w:p>
    <w:p>
      <w:pPr>
        <w:pStyle w:val="4"/>
        <w:spacing w:line="560" w:lineRule="exact"/>
        <w:ind w:firstLine="640"/>
        <w:rPr>
          <w:rFonts w:ascii="仿宋_GB2312"/>
          <w:sz w:val="32"/>
          <w:szCs w:val="32"/>
          <w:lang w:val="en-US"/>
        </w:rPr>
      </w:pPr>
      <w:r>
        <w:rPr>
          <w:rFonts w:hint="eastAsia" w:ascii="仿宋_GB2312"/>
          <w:sz w:val="32"/>
          <w:szCs w:val="32"/>
          <w:lang w:val="en-US"/>
        </w:rPr>
        <w:t>2020年度市委政研室46篇调研报告全部通过评审，质量达标率100%，得3分。</w:t>
      </w:r>
    </w:p>
    <w:p>
      <w:pPr>
        <w:pStyle w:val="4"/>
        <w:spacing w:line="560" w:lineRule="exact"/>
        <w:ind w:firstLine="640"/>
        <w:rPr>
          <w:rFonts w:ascii="仿宋_GB2312"/>
          <w:sz w:val="32"/>
          <w:szCs w:val="32"/>
          <w:lang w:val="en-US"/>
        </w:rPr>
      </w:pPr>
      <w:r>
        <w:rPr>
          <w:rFonts w:hint="eastAsia" w:ascii="仿宋_GB2312"/>
          <w:sz w:val="32"/>
          <w:szCs w:val="32"/>
          <w:lang w:val="en-US"/>
        </w:rPr>
        <w:t>④重点工作办结率</w:t>
      </w:r>
    </w:p>
    <w:p>
      <w:pPr>
        <w:pStyle w:val="4"/>
        <w:spacing w:line="560" w:lineRule="exact"/>
        <w:ind w:firstLine="640"/>
        <w:rPr>
          <w:rFonts w:ascii="仿宋_GB2312"/>
          <w:sz w:val="32"/>
          <w:szCs w:val="32"/>
          <w:lang w:val="en-US"/>
        </w:rPr>
      </w:pPr>
      <w:r>
        <w:rPr>
          <w:rFonts w:hint="eastAsia" w:ascii="仿宋_GB2312"/>
          <w:sz w:val="32"/>
          <w:szCs w:val="32"/>
          <w:lang w:val="en-US"/>
        </w:rPr>
        <w:t>a.市委政研室已高质量完成市委重要会议讲话等综合文稿起草和审修工作，得4分。</w:t>
      </w:r>
    </w:p>
    <w:p>
      <w:pPr>
        <w:pStyle w:val="4"/>
        <w:spacing w:line="560" w:lineRule="exact"/>
        <w:ind w:firstLine="640"/>
        <w:rPr>
          <w:rFonts w:ascii="仿宋_GB2312"/>
          <w:sz w:val="32"/>
          <w:szCs w:val="32"/>
          <w:lang w:val="en-US"/>
        </w:rPr>
      </w:pPr>
      <w:r>
        <w:rPr>
          <w:rFonts w:hint="eastAsia" w:ascii="仿宋_GB2312"/>
          <w:sz w:val="32"/>
          <w:szCs w:val="32"/>
          <w:lang w:val="en-US"/>
        </w:rPr>
        <w:t>b.市委政研室已高质量完成对上综合汇报材料及市委市政府重要文件的起草和审修工作，得4分。</w:t>
      </w:r>
    </w:p>
    <w:p>
      <w:pPr>
        <w:pStyle w:val="4"/>
        <w:spacing w:line="560" w:lineRule="exact"/>
        <w:ind w:firstLine="640"/>
        <w:rPr>
          <w:rFonts w:ascii="仿宋_GB2312"/>
          <w:sz w:val="32"/>
          <w:szCs w:val="32"/>
          <w:lang w:val="en-US"/>
        </w:rPr>
      </w:pPr>
      <w:r>
        <w:rPr>
          <w:rFonts w:hint="eastAsia" w:ascii="仿宋_GB2312"/>
          <w:sz w:val="32"/>
          <w:szCs w:val="32"/>
          <w:lang w:val="en-US"/>
        </w:rPr>
        <w:t>c.市委政研室多层次、全方位、立体化开展调查研究，高质量服务市委科学决策，得4分。</w:t>
      </w:r>
    </w:p>
    <w:p>
      <w:pPr>
        <w:pStyle w:val="4"/>
        <w:spacing w:line="560" w:lineRule="exact"/>
        <w:ind w:firstLine="640"/>
        <w:rPr>
          <w:rFonts w:ascii="仿宋_GB2312"/>
          <w:sz w:val="32"/>
          <w:szCs w:val="32"/>
          <w:lang w:val="en-US"/>
        </w:rPr>
      </w:pPr>
      <w:r>
        <w:rPr>
          <w:rFonts w:hint="eastAsia" w:ascii="仿宋_GB2312"/>
          <w:sz w:val="32"/>
          <w:szCs w:val="32"/>
          <w:lang w:val="en-US"/>
        </w:rPr>
        <w:t>市委政研室重点工作办结率100%。</w:t>
      </w:r>
    </w:p>
    <w:p>
      <w:pPr>
        <w:pStyle w:val="7"/>
        <w:numPr>
          <w:ilvl w:val="2"/>
          <w:numId w:val="0"/>
        </w:numPr>
        <w:spacing w:before="0" w:after="0" w:line="560" w:lineRule="exact"/>
        <w:ind w:firstLine="643" w:firstLineChars="200"/>
        <w:rPr>
          <w:rFonts w:ascii="仿宋_GB2312" w:cs="Times New Roman"/>
          <w:sz w:val="32"/>
          <w:szCs w:val="32"/>
          <w:lang w:val="en-US"/>
        </w:rPr>
      </w:pPr>
      <w:r>
        <w:rPr>
          <w:rFonts w:hint="eastAsia" w:ascii="仿宋_GB2312" w:cs="Times New Roman"/>
          <w:sz w:val="32"/>
          <w:szCs w:val="32"/>
          <w:lang w:val="en-US"/>
        </w:rPr>
        <w:t>4.效益</w:t>
      </w:r>
      <w:r>
        <w:rPr>
          <w:rFonts w:hint="eastAsia" w:ascii="仿宋_GB2312" w:cs="Times New Roman"/>
          <w:sz w:val="32"/>
          <w:szCs w:val="32"/>
          <w:lang w:val="en-US" w:eastAsia="zh-CN"/>
        </w:rPr>
        <w:t>情况</w:t>
      </w:r>
    </w:p>
    <w:p>
      <w:pPr>
        <w:pStyle w:val="4"/>
        <w:spacing w:line="560" w:lineRule="exact"/>
        <w:ind w:firstLine="640"/>
        <w:rPr>
          <w:rFonts w:ascii="仿宋_GB2312"/>
          <w:sz w:val="32"/>
          <w:szCs w:val="32"/>
          <w:lang w:val="en-US"/>
        </w:rPr>
      </w:pPr>
      <w:r>
        <w:rPr>
          <w:rFonts w:hint="eastAsia" w:ascii="仿宋_GB2312"/>
          <w:sz w:val="32"/>
          <w:szCs w:val="32"/>
          <w:lang w:val="en-US"/>
        </w:rPr>
        <w:t>（1）效果</w:t>
      </w:r>
    </w:p>
    <w:p>
      <w:pPr>
        <w:pStyle w:val="4"/>
        <w:spacing w:line="560" w:lineRule="exact"/>
        <w:ind w:firstLine="640"/>
        <w:rPr>
          <w:rFonts w:ascii="仿宋_GB2312"/>
          <w:sz w:val="32"/>
          <w:szCs w:val="32"/>
          <w:lang w:val="en-US"/>
        </w:rPr>
      </w:pPr>
      <w:r>
        <w:rPr>
          <w:rFonts w:hint="eastAsia" w:ascii="仿宋_GB2312"/>
          <w:sz w:val="32"/>
          <w:szCs w:val="32"/>
          <w:lang w:val="en-US"/>
        </w:rPr>
        <w:t>该项指标分值为30分，评价得分30分，得分率100%。具体包括社会效益、行政效能、可持续效益和服务对象满意度4个三级指标。</w:t>
      </w:r>
    </w:p>
    <w:p>
      <w:pPr>
        <w:pStyle w:val="4"/>
        <w:spacing w:line="560" w:lineRule="exact"/>
        <w:ind w:firstLine="640"/>
        <w:rPr>
          <w:rFonts w:ascii="仿宋_GB2312"/>
          <w:sz w:val="32"/>
          <w:szCs w:val="32"/>
          <w:lang w:val="en-US"/>
        </w:rPr>
      </w:pPr>
      <w:r>
        <w:rPr>
          <w:rFonts w:hint="eastAsia" w:ascii="仿宋_GB2312"/>
          <w:sz w:val="32"/>
          <w:szCs w:val="32"/>
          <w:lang w:val="en-US"/>
        </w:rPr>
        <w:t>①社会效益</w:t>
      </w:r>
    </w:p>
    <w:p>
      <w:pPr>
        <w:pStyle w:val="4"/>
        <w:spacing w:line="560" w:lineRule="exact"/>
        <w:ind w:firstLine="640"/>
        <w:rPr>
          <w:rFonts w:ascii="仿宋_GB2312"/>
          <w:sz w:val="32"/>
          <w:szCs w:val="32"/>
          <w:lang w:val="en-US"/>
        </w:rPr>
      </w:pPr>
      <w:r>
        <w:rPr>
          <w:rFonts w:hint="eastAsia" w:ascii="仿宋_GB2312"/>
          <w:sz w:val="32"/>
          <w:szCs w:val="32"/>
          <w:lang w:val="en-US"/>
        </w:rPr>
        <w:t>a.调查研究结果采纳率</w:t>
      </w:r>
    </w:p>
    <w:p>
      <w:pPr>
        <w:pStyle w:val="4"/>
        <w:spacing w:line="560" w:lineRule="exact"/>
        <w:ind w:firstLine="640"/>
        <w:rPr>
          <w:rFonts w:ascii="仿宋_GB2312"/>
          <w:sz w:val="32"/>
          <w:szCs w:val="32"/>
          <w:lang w:val="en-US"/>
        </w:rPr>
      </w:pPr>
      <w:r>
        <w:rPr>
          <w:rFonts w:hint="eastAsia" w:ascii="仿宋_GB2312"/>
          <w:sz w:val="32"/>
          <w:szCs w:val="32"/>
          <w:lang w:val="en-US"/>
        </w:rPr>
        <w:t>2020年形成调研文稿46篇，市委主要领导批示37篇，进入决策率达80%，得4分。</w:t>
      </w:r>
    </w:p>
    <w:p>
      <w:pPr>
        <w:pStyle w:val="4"/>
        <w:spacing w:line="560" w:lineRule="exact"/>
        <w:ind w:firstLine="640"/>
        <w:rPr>
          <w:rFonts w:ascii="仿宋_GB2312"/>
          <w:sz w:val="32"/>
          <w:szCs w:val="32"/>
          <w:lang w:val="en-US"/>
        </w:rPr>
      </w:pPr>
      <w:r>
        <w:rPr>
          <w:rFonts w:hint="eastAsia" w:ascii="仿宋_GB2312"/>
          <w:sz w:val="32"/>
          <w:szCs w:val="32"/>
          <w:lang w:val="en-US"/>
        </w:rPr>
        <w:t>b.以文辅政作用</w:t>
      </w:r>
    </w:p>
    <w:p>
      <w:pPr>
        <w:pStyle w:val="4"/>
        <w:spacing w:line="560" w:lineRule="exact"/>
        <w:ind w:firstLine="640"/>
        <w:rPr>
          <w:rFonts w:ascii="仿宋_GB2312"/>
          <w:sz w:val="32"/>
          <w:szCs w:val="32"/>
          <w:lang w:val="en-US"/>
        </w:rPr>
      </w:pPr>
      <w:r>
        <w:rPr>
          <w:rFonts w:hint="eastAsia" w:ascii="仿宋_GB2312"/>
          <w:sz w:val="32"/>
          <w:szCs w:val="32"/>
          <w:lang w:val="en-US"/>
        </w:rPr>
        <w:t>市委政研室高质量完成各类文稿1500多篇，其中市委领导重要讲话363篇，致辞、署名文章和接受访谈79篇，新闻稿484篇，录音整理稿260篇，信函、谈参、纪要、青办通报等其他文稿247篇，采用率100%，得到市委领导肯定认可，发挥了以文辅政作用，得4分。</w:t>
      </w:r>
    </w:p>
    <w:p>
      <w:pPr>
        <w:pStyle w:val="4"/>
        <w:spacing w:line="560" w:lineRule="exact"/>
        <w:ind w:firstLine="640"/>
        <w:rPr>
          <w:rFonts w:ascii="仿宋_GB2312"/>
          <w:sz w:val="32"/>
          <w:szCs w:val="32"/>
          <w:lang w:val="en-US"/>
        </w:rPr>
      </w:pPr>
      <w:r>
        <w:rPr>
          <w:rFonts w:hint="eastAsia" w:ascii="仿宋_GB2312"/>
          <w:sz w:val="32"/>
          <w:szCs w:val="32"/>
          <w:lang w:val="en-US"/>
        </w:rPr>
        <w:t>②行政效能</w:t>
      </w:r>
    </w:p>
    <w:p>
      <w:pPr>
        <w:pStyle w:val="4"/>
        <w:spacing w:line="560" w:lineRule="exact"/>
        <w:ind w:firstLine="640"/>
        <w:rPr>
          <w:rFonts w:ascii="仿宋_GB2312"/>
          <w:sz w:val="32"/>
          <w:szCs w:val="32"/>
          <w:lang w:val="en-US"/>
        </w:rPr>
      </w:pPr>
      <w:r>
        <w:rPr>
          <w:rFonts w:hint="eastAsia" w:ascii="仿宋_GB2312"/>
          <w:sz w:val="32"/>
          <w:szCs w:val="32"/>
          <w:lang w:val="en-US"/>
        </w:rPr>
        <w:t>a.典型经验</w:t>
      </w:r>
    </w:p>
    <w:p>
      <w:pPr>
        <w:pStyle w:val="4"/>
        <w:spacing w:line="560" w:lineRule="exact"/>
        <w:ind w:firstLine="640"/>
        <w:rPr>
          <w:rFonts w:ascii="仿宋_GB2312"/>
          <w:sz w:val="32"/>
          <w:szCs w:val="32"/>
          <w:lang w:val="en-US"/>
        </w:rPr>
      </w:pPr>
      <w:r>
        <w:rPr>
          <w:rFonts w:hint="eastAsia" w:ascii="仿宋_GB2312"/>
          <w:sz w:val="32"/>
          <w:szCs w:val="32"/>
          <w:lang w:val="en-US"/>
        </w:rPr>
        <w:t>2020年市委政研室更加及时、主动地向国家、省上汇报青岛工作，争取上级支持认同，实施效果显著。推动出台一批全国全省重点改革举措，总结形成典型经验，其中《青岛市聚焦关键节点统筹推进功能区体制机制改革创新》等3篇典型材料在省委改革办《改革与制度创新》上刊发，《海尔集团以互联网国际化领航工业革命新时代》等改革案例被省上推荐中央改革办。得4分。</w:t>
      </w:r>
    </w:p>
    <w:p>
      <w:pPr>
        <w:pStyle w:val="4"/>
        <w:spacing w:line="560" w:lineRule="exact"/>
        <w:ind w:firstLine="640"/>
        <w:rPr>
          <w:rFonts w:ascii="仿宋_GB2312"/>
          <w:sz w:val="32"/>
          <w:szCs w:val="32"/>
          <w:lang w:val="en-US"/>
        </w:rPr>
      </w:pPr>
      <w:r>
        <w:rPr>
          <w:rFonts w:hint="eastAsia" w:ascii="仿宋_GB2312"/>
          <w:sz w:val="32"/>
          <w:szCs w:val="32"/>
          <w:lang w:val="en-US"/>
        </w:rPr>
        <w:t>b.上级部门考核</w:t>
      </w:r>
    </w:p>
    <w:p>
      <w:pPr>
        <w:pStyle w:val="4"/>
        <w:spacing w:line="560" w:lineRule="exact"/>
        <w:ind w:firstLine="640"/>
        <w:rPr>
          <w:rFonts w:ascii="仿宋_GB2312"/>
          <w:sz w:val="32"/>
          <w:szCs w:val="32"/>
          <w:lang w:val="en-US"/>
        </w:rPr>
      </w:pPr>
      <w:r>
        <w:rPr>
          <w:rFonts w:hint="eastAsia" w:ascii="仿宋_GB2312"/>
          <w:sz w:val="32"/>
          <w:szCs w:val="32"/>
          <w:lang w:val="en-US"/>
        </w:rPr>
        <w:t>2020年，市委政研室坚持以习近平新时代中国特色社会主义思想为指导，认真贯彻落实习近平总书记对山东、对青岛工作的重要指示要求，坚持稳中求进工作总基调，坚持新发展理念，获得2020年度经济社会发展综合考核优秀等次，得4分。</w:t>
      </w:r>
    </w:p>
    <w:p>
      <w:pPr>
        <w:pStyle w:val="4"/>
        <w:spacing w:line="560" w:lineRule="exact"/>
        <w:ind w:firstLine="640"/>
        <w:rPr>
          <w:rFonts w:ascii="仿宋_GB2312"/>
          <w:sz w:val="32"/>
          <w:szCs w:val="32"/>
          <w:lang w:val="en-US"/>
        </w:rPr>
      </w:pPr>
      <w:r>
        <w:rPr>
          <w:rFonts w:hint="eastAsia" w:ascii="仿宋_GB2312"/>
          <w:sz w:val="32"/>
          <w:szCs w:val="32"/>
          <w:lang w:val="en-US"/>
        </w:rPr>
        <w:t>③可持续效益</w:t>
      </w:r>
    </w:p>
    <w:p>
      <w:pPr>
        <w:pStyle w:val="4"/>
        <w:spacing w:line="560" w:lineRule="exact"/>
        <w:ind w:firstLine="640"/>
        <w:rPr>
          <w:rFonts w:ascii="仿宋_GB2312"/>
          <w:sz w:val="32"/>
          <w:szCs w:val="32"/>
          <w:lang w:val="en-US"/>
        </w:rPr>
      </w:pPr>
      <w:r>
        <w:rPr>
          <w:rFonts w:hint="eastAsia" w:ascii="仿宋_GB2312"/>
          <w:sz w:val="32"/>
          <w:szCs w:val="32"/>
          <w:lang w:val="en-US"/>
        </w:rPr>
        <w:t>a.材料审批流程的健全性</w:t>
      </w:r>
    </w:p>
    <w:p>
      <w:pPr>
        <w:pStyle w:val="4"/>
        <w:spacing w:line="560" w:lineRule="exact"/>
        <w:ind w:firstLine="640"/>
        <w:rPr>
          <w:rFonts w:ascii="仿宋_GB2312"/>
          <w:sz w:val="32"/>
          <w:szCs w:val="32"/>
          <w:lang w:val="en-US"/>
        </w:rPr>
      </w:pPr>
      <w:r>
        <w:rPr>
          <w:rFonts w:hint="eastAsia" w:ascii="仿宋_GB2312"/>
          <w:sz w:val="32"/>
          <w:szCs w:val="32"/>
          <w:lang w:val="en-US"/>
        </w:rPr>
        <w:t>为进一步规范文稿报送工作，充分发挥《内部参阅》《呈阅件》《改革专报》《青岛改革》服务市委决策、促进全面深化改革、推动财经工作的重要作用，市委政研室已制定《文稿报送制度》，根据文稿的种类、性质、内容、用途，规范版头形式和适用范围，得4分。</w:t>
      </w:r>
    </w:p>
    <w:p>
      <w:pPr>
        <w:pStyle w:val="4"/>
        <w:spacing w:line="560" w:lineRule="exact"/>
        <w:ind w:firstLine="640"/>
        <w:rPr>
          <w:rFonts w:ascii="仿宋_GB2312"/>
          <w:sz w:val="32"/>
          <w:szCs w:val="32"/>
          <w:lang w:val="en-US"/>
        </w:rPr>
      </w:pPr>
      <w:r>
        <w:rPr>
          <w:rFonts w:hint="eastAsia" w:ascii="仿宋_GB2312"/>
          <w:sz w:val="32"/>
          <w:szCs w:val="32"/>
          <w:lang w:val="en-US"/>
        </w:rPr>
        <w:t>④服务对象满意度</w:t>
      </w:r>
    </w:p>
    <w:p>
      <w:pPr>
        <w:pStyle w:val="4"/>
        <w:spacing w:line="560" w:lineRule="exact"/>
        <w:ind w:firstLine="640"/>
        <w:rPr>
          <w:rFonts w:ascii="仿宋_GB2312"/>
          <w:sz w:val="32"/>
          <w:szCs w:val="32"/>
          <w:lang w:val="en-US"/>
        </w:rPr>
      </w:pPr>
      <w:r>
        <w:rPr>
          <w:rFonts w:hint="eastAsia" w:ascii="仿宋_GB2312"/>
          <w:sz w:val="32"/>
          <w:szCs w:val="32"/>
          <w:lang w:val="en-US"/>
        </w:rPr>
        <w:t>a.部门满意度</w:t>
      </w:r>
    </w:p>
    <w:p>
      <w:pPr>
        <w:pStyle w:val="4"/>
        <w:spacing w:line="560" w:lineRule="exact"/>
        <w:ind w:firstLine="640"/>
        <w:rPr>
          <w:rFonts w:ascii="仿宋_GB2312"/>
          <w:sz w:val="32"/>
          <w:szCs w:val="32"/>
          <w:lang w:val="en-US"/>
        </w:rPr>
      </w:pPr>
      <w:r>
        <w:rPr>
          <w:rFonts w:hint="eastAsia" w:ascii="仿宋_GB2312"/>
          <w:sz w:val="32"/>
          <w:szCs w:val="32"/>
          <w:lang w:val="en-US"/>
        </w:rPr>
        <w:t>抽查20个被服务对象进行问卷调查，结果显示20个被服务对象对市委政研室的文稿起草工作、典型宣传情况、协同合作、调查研究工作、改革、财经等会议活动、内部学习共享平台、“青岛政研”微信公众号等8项事项的满意度均为满分，满意度100%，得10分。</w:t>
      </w:r>
    </w:p>
    <w:p>
      <w:pPr>
        <w:pStyle w:val="5"/>
        <w:keepNext w:val="0"/>
        <w:keepLines w:val="0"/>
        <w:numPr>
          <w:ilvl w:val="255"/>
          <w:numId w:val="0"/>
        </w:numPr>
        <w:spacing w:line="560" w:lineRule="exact"/>
        <w:ind w:firstLine="640" w:firstLineChars="200"/>
        <w:rPr>
          <w:rFonts w:ascii="仿宋_GB2312" w:cs="Times New Roman"/>
          <w:sz w:val="32"/>
          <w:lang w:val="en-US"/>
        </w:rPr>
      </w:pPr>
      <w:r>
        <w:rPr>
          <w:rFonts w:hint="eastAsia" w:ascii="楷体_GB2312" w:eastAsia="楷体_GB2312"/>
          <w:b w:val="0"/>
          <w:bCs w:val="0"/>
          <w:sz w:val="32"/>
          <w:lang w:val="en-US"/>
        </w:rPr>
        <w:t>（二）评价结论</w:t>
      </w:r>
    </w:p>
    <w:p>
      <w:pPr>
        <w:pStyle w:val="4"/>
        <w:spacing w:line="560" w:lineRule="exact"/>
        <w:ind w:firstLine="643"/>
        <w:rPr>
          <w:rFonts w:ascii="仿宋_GB2312"/>
          <w:b/>
          <w:bCs/>
          <w:sz w:val="32"/>
          <w:szCs w:val="32"/>
          <w:lang w:val="en-US"/>
        </w:rPr>
      </w:pPr>
      <w:r>
        <w:rPr>
          <w:rFonts w:hint="eastAsia" w:ascii="仿宋_GB2312"/>
          <w:b/>
          <w:bCs/>
          <w:sz w:val="32"/>
          <w:szCs w:val="32"/>
          <w:lang w:val="en-US"/>
        </w:rPr>
        <w:t>1.评价分数和等级</w:t>
      </w:r>
    </w:p>
    <w:p>
      <w:pPr>
        <w:pStyle w:val="4"/>
        <w:spacing w:line="560" w:lineRule="exact"/>
        <w:ind w:firstLine="640"/>
        <w:rPr>
          <w:rFonts w:ascii="仿宋_GB2312"/>
          <w:sz w:val="32"/>
          <w:szCs w:val="32"/>
          <w:lang w:val="en-US"/>
        </w:rPr>
      </w:pPr>
      <w:bookmarkStart w:id="61" w:name="_Toc12257"/>
      <w:r>
        <w:rPr>
          <w:rFonts w:hint="eastAsia" w:ascii="仿宋_GB2312"/>
          <w:sz w:val="32"/>
          <w:szCs w:val="32"/>
          <w:lang w:val="en-US"/>
        </w:rPr>
        <w:t>评价认为，市委政研室整体支出目标明确，管理执行较规范，各项支出基本按照预算执行，达到预定目标。市委政研室整体支出绩效评价最终评分为96.96分，综合评分为优秀。</w:t>
      </w:r>
      <w:bookmarkEnd w:id="61"/>
    </w:p>
    <w:p>
      <w:pPr>
        <w:pStyle w:val="4"/>
        <w:spacing w:line="560" w:lineRule="exact"/>
        <w:ind w:firstLine="643"/>
        <w:rPr>
          <w:rFonts w:ascii="仿宋_GB2312"/>
          <w:b/>
          <w:bCs/>
          <w:sz w:val="32"/>
          <w:szCs w:val="32"/>
          <w:lang w:val="en-US"/>
        </w:rPr>
      </w:pPr>
      <w:r>
        <w:rPr>
          <w:rFonts w:hint="eastAsia" w:ascii="仿宋_GB2312"/>
          <w:b/>
          <w:bCs/>
          <w:sz w:val="32"/>
          <w:szCs w:val="32"/>
          <w:lang w:val="en-US"/>
        </w:rPr>
        <w:t>2.工作成效</w:t>
      </w:r>
    </w:p>
    <w:p>
      <w:pPr>
        <w:pStyle w:val="4"/>
        <w:spacing w:line="560" w:lineRule="exact"/>
        <w:ind w:firstLine="640"/>
        <w:rPr>
          <w:rFonts w:ascii="仿宋_GB2312"/>
          <w:sz w:val="32"/>
          <w:szCs w:val="32"/>
          <w:lang w:val="en-US"/>
        </w:rPr>
      </w:pPr>
      <w:r>
        <w:rPr>
          <w:rFonts w:hint="eastAsia" w:ascii="仿宋_GB2312"/>
          <w:sz w:val="32"/>
          <w:szCs w:val="32"/>
          <w:lang w:val="en-US"/>
        </w:rPr>
        <w:t>（1）2020年工作开展过程，五条战线齐头并进、亮点纷呈。具体如下：</w:t>
      </w:r>
    </w:p>
    <w:p>
      <w:pPr>
        <w:pStyle w:val="4"/>
        <w:spacing w:line="560" w:lineRule="exact"/>
        <w:ind w:firstLine="640"/>
        <w:rPr>
          <w:rFonts w:ascii="仿宋_GB2312"/>
          <w:sz w:val="32"/>
          <w:szCs w:val="32"/>
          <w:lang w:val="en-US"/>
        </w:rPr>
      </w:pPr>
      <w:r>
        <w:rPr>
          <w:rFonts w:hint="eastAsia" w:ascii="仿宋_GB2312"/>
          <w:sz w:val="32"/>
          <w:szCs w:val="32"/>
          <w:lang w:val="en-US"/>
        </w:rPr>
        <w:t>①坚持想透说清干实做好综合文稿服务，全年完成综合文稿1500多篇，确保在市委全会、市委常委会以及市委重大活动中综合文稿服务始终围绕中心、服务大局。</w:t>
      </w:r>
    </w:p>
    <w:p>
      <w:pPr>
        <w:pStyle w:val="4"/>
        <w:spacing w:line="560" w:lineRule="exact"/>
        <w:ind w:firstLine="640"/>
        <w:rPr>
          <w:rFonts w:ascii="仿宋_GB2312"/>
          <w:sz w:val="32"/>
          <w:szCs w:val="32"/>
          <w:lang w:val="en-US"/>
        </w:rPr>
      </w:pPr>
      <w:r>
        <w:rPr>
          <w:rFonts w:hint="eastAsia" w:ascii="仿宋_GB2312"/>
          <w:sz w:val="32"/>
          <w:szCs w:val="32"/>
          <w:lang w:val="en-US"/>
        </w:rPr>
        <w:t>②坚持面上找问题、点上找答案深入调查研究，全年输出调研报告46篇，其中呈报的32篇《呈阅件》进决策率达到90%以上，为市委化危为机、乘势而上提供有效对策建议。</w:t>
      </w:r>
    </w:p>
    <w:p>
      <w:pPr>
        <w:pStyle w:val="4"/>
        <w:spacing w:line="560" w:lineRule="exact"/>
        <w:ind w:firstLine="640"/>
        <w:rPr>
          <w:rFonts w:hint="eastAsia" w:ascii="仿宋_GB2312"/>
          <w:sz w:val="32"/>
          <w:szCs w:val="32"/>
          <w:lang w:val="en-US"/>
        </w:rPr>
      </w:pPr>
      <w:r>
        <w:rPr>
          <w:rFonts w:hint="eastAsia" w:ascii="仿宋_GB2312"/>
          <w:sz w:val="32"/>
          <w:szCs w:val="32"/>
          <w:lang w:val="en-US"/>
        </w:rPr>
        <w:t>③坚持用改革“冲击钻”强化改革攻坚，超前谋划“十四五”改革规划，统筹推进九大改革攻坚和政策宣传。</w:t>
      </w:r>
    </w:p>
    <w:p>
      <w:pPr>
        <w:pStyle w:val="4"/>
        <w:spacing w:line="560" w:lineRule="exact"/>
        <w:ind w:firstLine="640"/>
        <w:rPr>
          <w:rFonts w:ascii="仿宋_GB2312"/>
          <w:sz w:val="32"/>
          <w:szCs w:val="32"/>
          <w:lang w:val="en-US"/>
        </w:rPr>
      </w:pPr>
      <w:r>
        <w:rPr>
          <w:rFonts w:hint="eastAsia" w:ascii="仿宋_GB2312"/>
          <w:sz w:val="32"/>
          <w:szCs w:val="32"/>
          <w:lang w:val="en-US"/>
        </w:rPr>
        <w:t>④坚持党对经济工作的集中统一领导强化财经统筹，高质量制定市委“十四五”规划建议和更高水平开放意见，建立财经工作落实推进机制，形成多篇情况报告，从省级层面提出对策建议，争取省上支持。</w:t>
      </w:r>
    </w:p>
    <w:p>
      <w:pPr>
        <w:pStyle w:val="4"/>
        <w:spacing w:line="560" w:lineRule="exact"/>
        <w:ind w:firstLine="640"/>
        <w:rPr>
          <w:rFonts w:ascii="仿宋_GB2312"/>
          <w:sz w:val="32"/>
          <w:szCs w:val="32"/>
          <w:lang w:val="en-US"/>
        </w:rPr>
      </w:pPr>
      <w:r>
        <w:rPr>
          <w:rFonts w:hint="eastAsia" w:ascii="仿宋_GB2312"/>
          <w:sz w:val="32"/>
          <w:szCs w:val="32"/>
          <w:lang w:val="en-US"/>
        </w:rPr>
        <w:t>⑤坚持典型引路稳阵地讲好青岛故事，围绕市委市政府决策部署，关注城市发展亮点特点，挖掘整理各类典型案例54个，助力入选2020最具幸福感城市。</w:t>
      </w:r>
    </w:p>
    <w:p>
      <w:pPr>
        <w:pStyle w:val="4"/>
        <w:spacing w:line="560" w:lineRule="exact"/>
        <w:ind w:firstLine="640"/>
        <w:rPr>
          <w:rFonts w:ascii="仿宋_GB2312"/>
          <w:sz w:val="32"/>
          <w:szCs w:val="32"/>
          <w:lang w:val="en-US"/>
        </w:rPr>
      </w:pPr>
      <w:r>
        <w:rPr>
          <w:rFonts w:hint="eastAsia" w:ascii="仿宋_GB2312"/>
          <w:sz w:val="32"/>
          <w:szCs w:val="32"/>
          <w:lang w:val="en-US"/>
        </w:rPr>
        <w:t>（2）积极探索队伍自身改革和能力建设，为完成各项目标任务和市委交办工作提供了强有力支撑保障。</w:t>
      </w:r>
    </w:p>
    <w:p>
      <w:pPr>
        <w:pStyle w:val="4"/>
        <w:spacing w:line="560" w:lineRule="exact"/>
        <w:ind w:firstLine="640"/>
        <w:rPr>
          <w:rFonts w:ascii="仿宋_GB2312"/>
          <w:sz w:val="32"/>
          <w:szCs w:val="32"/>
          <w:lang w:val="en-US"/>
        </w:rPr>
      </w:pPr>
      <w:r>
        <w:rPr>
          <w:rFonts w:hint="eastAsia" w:ascii="仿宋_GB2312"/>
          <w:sz w:val="32"/>
          <w:szCs w:val="32"/>
          <w:lang w:val="en-US"/>
        </w:rPr>
        <w:t>①优化职能流程再造，提升政研服务效能。全面修订“三定”规定，调整内设处室和职能；创新实行重大工作和紧急任务工作专班制度，打破领导分工和处室壁垒联合攻坚；落实流程规范，有力推动政研职能发挥。</w:t>
      </w:r>
    </w:p>
    <w:p>
      <w:pPr>
        <w:pStyle w:val="4"/>
        <w:spacing w:line="560" w:lineRule="exact"/>
        <w:ind w:firstLine="640"/>
        <w:rPr>
          <w:rFonts w:ascii="仿宋_GB2312"/>
          <w:sz w:val="32"/>
          <w:szCs w:val="32"/>
          <w:lang w:val="en-US"/>
        </w:rPr>
      </w:pPr>
      <w:r>
        <w:rPr>
          <w:rFonts w:hint="eastAsia" w:ascii="仿宋_GB2312"/>
          <w:sz w:val="32"/>
          <w:szCs w:val="32"/>
          <w:lang w:val="en-US"/>
        </w:rPr>
        <w:t>②突出专业化强内功挖潜力，充分激发干事创业活力。提出专业化意见建议，起草审修150多篇市委市政府专业领域报告；建立干部轮岗交流机制，优化干部队伍知识结构和年龄结构，专业能力和岗位需求更匹配；创立刊发《内部参阅》21期报送市级领导参阅，创办内部学习共享平台，推行文稿起草审改署名制度，极大激发了创意创新干事创业热情。</w:t>
      </w:r>
    </w:p>
    <w:p>
      <w:pPr>
        <w:pStyle w:val="4"/>
        <w:spacing w:line="560" w:lineRule="exact"/>
        <w:ind w:firstLine="640"/>
        <w:rPr>
          <w:rFonts w:ascii="仿宋_GB2312"/>
          <w:sz w:val="32"/>
          <w:szCs w:val="32"/>
          <w:lang w:val="en-US"/>
        </w:rPr>
      </w:pPr>
      <w:r>
        <w:rPr>
          <w:rFonts w:hint="eastAsia" w:ascii="仿宋_GB2312"/>
          <w:sz w:val="32"/>
          <w:szCs w:val="32"/>
          <w:lang w:val="en-US"/>
        </w:rPr>
        <w:t>③用好平台思维主动担当作为，推动市委决策落地落实。发挥政研室平台集聚优势，聚合专家学者和社会企业力量，为市委提供含金量高的对策建议和重要文件；建立常态化联系机制，积极服务胶东经济圈一体化发展。创新路数打法，同步推进线上、线下办公和活动。用好改革方法论，统筹改革任务；整合内外渠道征集改革创新建议，累计收集各类建议1441条，转办112条，督导推动建议纳入决策。</w:t>
      </w:r>
    </w:p>
    <w:p>
      <w:pPr>
        <w:pStyle w:val="4"/>
        <w:spacing w:line="560" w:lineRule="exact"/>
        <w:ind w:firstLine="640"/>
        <w:rPr>
          <w:rFonts w:ascii="仿宋_GB2312"/>
          <w:sz w:val="32"/>
          <w:szCs w:val="32"/>
          <w:lang w:val="en-US"/>
        </w:rPr>
      </w:pPr>
      <w:r>
        <w:rPr>
          <w:rFonts w:hint="eastAsia" w:ascii="仿宋_GB2312"/>
          <w:sz w:val="32"/>
          <w:szCs w:val="32"/>
          <w:lang w:val="en-US"/>
        </w:rPr>
        <w:t>④充分发挥党建统领作用，锻造一支高素质政研队伍。创造性开展多形式的党内政治生活，定期交流思想沟通情况探讨问题。组织选派同志参加实训、代训、专题培训22人次，2名同志分别入选市派“第一书记”、市派“乡村振兴”工作队。举办培训班、研修班，开展多种主题活动，展现出活力政研的良好精神风貌，有力提升了政研室干部队伍战斗力。</w:t>
      </w:r>
    </w:p>
    <w:bookmarkEnd w:id="52"/>
    <w:p>
      <w:pPr>
        <w:pStyle w:val="4"/>
        <w:spacing w:line="560" w:lineRule="exact"/>
        <w:ind w:firstLine="643"/>
        <w:rPr>
          <w:rFonts w:ascii="仿宋_GB2312"/>
          <w:b/>
          <w:bCs/>
          <w:sz w:val="32"/>
          <w:szCs w:val="32"/>
        </w:rPr>
      </w:pPr>
      <w:bookmarkStart w:id="62" w:name="_Toc26964745"/>
      <w:r>
        <w:rPr>
          <w:rFonts w:hint="eastAsia" w:ascii="仿宋_GB2312"/>
          <w:b/>
          <w:bCs/>
          <w:sz w:val="32"/>
          <w:szCs w:val="32"/>
          <w:lang w:val="en-US"/>
        </w:rPr>
        <w:t>3.</w:t>
      </w:r>
      <w:r>
        <w:rPr>
          <w:rFonts w:hint="eastAsia" w:ascii="仿宋_GB2312"/>
          <w:b/>
          <w:bCs/>
          <w:sz w:val="32"/>
          <w:szCs w:val="32"/>
        </w:rPr>
        <w:t>主要问题</w:t>
      </w:r>
      <w:r>
        <w:rPr>
          <w:rFonts w:hint="eastAsia" w:ascii="仿宋_GB2312"/>
          <w:b/>
          <w:bCs/>
          <w:sz w:val="32"/>
          <w:szCs w:val="32"/>
          <w:lang w:val="en-US"/>
        </w:rPr>
        <w:t>和相关建议</w:t>
      </w:r>
    </w:p>
    <w:p>
      <w:pPr>
        <w:pStyle w:val="4"/>
        <w:spacing w:line="560" w:lineRule="exact"/>
        <w:ind w:firstLine="640"/>
        <w:rPr>
          <w:rFonts w:ascii="仿宋_GB2312"/>
          <w:sz w:val="32"/>
          <w:szCs w:val="32"/>
          <w:lang w:val="en-US"/>
        </w:rPr>
      </w:pPr>
      <w:r>
        <w:rPr>
          <w:rFonts w:hint="eastAsia" w:ascii="仿宋_GB2312"/>
          <w:sz w:val="32"/>
          <w:szCs w:val="32"/>
          <w:lang w:val="en-US"/>
        </w:rPr>
        <w:t>（1）投入方面：</w:t>
      </w:r>
    </w:p>
    <w:p>
      <w:pPr>
        <w:pStyle w:val="4"/>
        <w:spacing w:line="560" w:lineRule="exact"/>
        <w:ind w:firstLine="640"/>
        <w:rPr>
          <w:rFonts w:ascii="仿宋_GB2312"/>
          <w:sz w:val="32"/>
          <w:szCs w:val="32"/>
          <w:lang w:val="en-US"/>
        </w:rPr>
      </w:pPr>
      <w:r>
        <w:rPr>
          <w:rFonts w:hint="eastAsia" w:ascii="仿宋_GB2312"/>
          <w:sz w:val="32"/>
          <w:szCs w:val="32"/>
          <w:lang w:val="en-US"/>
        </w:rPr>
        <w:t>预算事项编制不完备。有的实际支出事项未在预算编报中反映。建议市委政研室加强预算编制的全面性，强化内部统筹协调，对支出事项在预算编报中全面反映。</w:t>
      </w:r>
    </w:p>
    <w:p>
      <w:pPr>
        <w:pStyle w:val="4"/>
        <w:spacing w:line="560" w:lineRule="exact"/>
        <w:ind w:firstLine="640"/>
        <w:rPr>
          <w:rFonts w:ascii="仿宋_GB2312"/>
          <w:sz w:val="32"/>
          <w:szCs w:val="32"/>
          <w:lang w:val="en-US"/>
        </w:rPr>
      </w:pPr>
      <w:r>
        <w:rPr>
          <w:rFonts w:hint="eastAsia" w:ascii="仿宋_GB2312"/>
          <w:sz w:val="32"/>
          <w:szCs w:val="32"/>
          <w:lang w:val="en-US"/>
        </w:rPr>
        <w:t>（2）过程方面：</w:t>
      </w:r>
    </w:p>
    <w:p>
      <w:pPr>
        <w:pStyle w:val="4"/>
        <w:spacing w:line="560" w:lineRule="exact"/>
        <w:ind w:firstLine="640"/>
        <w:rPr>
          <w:rFonts w:ascii="仿宋_GB2312"/>
          <w:sz w:val="32"/>
          <w:szCs w:val="32"/>
          <w:lang w:val="en-US"/>
        </w:rPr>
      </w:pPr>
      <w:r>
        <w:rPr>
          <w:rFonts w:hint="eastAsia" w:ascii="仿宋_GB2312"/>
          <w:sz w:val="32"/>
          <w:szCs w:val="32"/>
          <w:lang w:val="en-US"/>
        </w:rPr>
        <w:t>自行调剂预算用于办公用房维修改造。《关于批复2020年市级部门预算的通知》中规定，除危房外不再安排办公用房维修改造支出。市委政研室2020年无固定资产改造支出预算，但抽查发现支付会议室维修改造费91002.01元。建议市委政研室在预算执行过程中，应严格执行相关文件规定，严格控制预算经费使用范围。</w:t>
      </w:r>
    </w:p>
    <w:p>
      <w:pPr>
        <w:pStyle w:val="4"/>
        <w:spacing w:line="560" w:lineRule="exact"/>
        <w:ind w:firstLine="640"/>
        <w:rPr>
          <w:rFonts w:ascii="仿宋_GB2312"/>
          <w:sz w:val="32"/>
          <w:szCs w:val="32"/>
          <w:lang w:val="en-US"/>
        </w:rPr>
      </w:pPr>
      <w:r>
        <w:rPr>
          <w:rFonts w:hint="eastAsia" w:ascii="仿宋_GB2312"/>
          <w:sz w:val="32"/>
          <w:szCs w:val="32"/>
          <w:lang w:val="en-US"/>
        </w:rPr>
        <w:t>政府采购执行率不高。2020年度政府采购预算金额95.05万元，实际执行73.06万元，政府采购执行率76.87%。建议市委政研室进一步优化政府采购预算，规范政府采购行为，加强财政支出管理，提高财政资金使用效益。</w:t>
      </w:r>
    </w:p>
    <w:p>
      <w:pPr>
        <w:pStyle w:val="3"/>
        <w:numPr>
          <w:ilvl w:val="0"/>
          <w:numId w:val="0"/>
        </w:numPr>
        <w:spacing w:before="0" w:after="0" w:line="560" w:lineRule="exact"/>
        <w:ind w:firstLine="640" w:firstLineChars="200"/>
        <w:rPr>
          <w:rFonts w:ascii="黑体" w:hAnsi="黑体" w:cs="黑体"/>
          <w:bCs w:val="0"/>
          <w:kern w:val="0"/>
          <w:szCs w:val="32"/>
          <w:lang w:val="en-US"/>
        </w:rPr>
      </w:pPr>
      <w:r>
        <w:rPr>
          <w:rFonts w:hint="eastAsia" w:ascii="黑体" w:hAnsi="黑体" w:cs="黑体"/>
          <w:bCs w:val="0"/>
          <w:kern w:val="0"/>
          <w:szCs w:val="32"/>
          <w:lang w:val="en-US"/>
        </w:rPr>
        <w:t>四、评价单位盖章</w:t>
      </w:r>
      <w:bookmarkEnd w:id="62"/>
    </w:p>
    <w:sectPr>
      <w:footerReference r:id="rId5" w:type="default"/>
      <w:footnotePr>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方正小标宋_GBK">
    <w:panose1 w:val="03000509000000000000"/>
    <w:charset w:val="86"/>
    <w:family w:val="script"/>
    <w:pitch w:val="default"/>
    <w:sig w:usb0="00000001" w:usb1="080E0000" w:usb2="00000000" w:usb3="00000000" w:csb0="00040000" w:csb1="00000000"/>
  </w:font>
  <w:font w:name="文星简黑体">
    <w:altName w:val="黑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D50QQL&#10;tAEAAFwDAAAOAAAAAAAAAAEAIAAAAB4BAABkcnMvZTJvRG9jLnhtbFBLBQYAAAAABgAGAFkBAABE&#10;BQAAAAA=&#10;">
          <v:path/>
          <v:fill on="f" focussize="0,0"/>
          <v:stroke on="f" joinstyle="miter"/>
          <v:imagedata o:title=""/>
          <o:lock v:ext="edit"/>
          <v:textbox inset="0mm,0mm,0mm,0mm" style="mso-fit-shape-to-text:t;">
            <w:txbxContent>
              <w:p>
                <w:pPr>
                  <w:pStyle w:val="15"/>
                  <w:rPr>
                    <w:sz w:val="21"/>
                  </w:rPr>
                </w:pPr>
                <w:r>
                  <w:rPr>
                    <w:sz w:val="21"/>
                  </w:rPr>
                  <w:fldChar w:fldCharType="begin"/>
                </w:r>
                <w:r>
                  <w:rPr>
                    <w:sz w:val="21"/>
                  </w:rPr>
                  <w:instrText xml:space="preserve"> PAGE  \* MERGEFORMAT </w:instrText>
                </w:r>
                <w:r>
                  <w:rPr>
                    <w:sz w:val="21"/>
                  </w:rPr>
                  <w:fldChar w:fldCharType="separate"/>
                </w:r>
                <w:r>
                  <w:rPr>
                    <w:sz w:val="21"/>
                  </w:rPr>
                  <w:t>20</w:t>
                </w:r>
                <w:r>
                  <w:rPr>
                    <w:sz w:val="21"/>
                  </w:rPr>
                  <w:fldChar w:fldCharType="end"/>
                </w:r>
              </w:p>
            </w:txbxContent>
          </v:textbox>
        </v:shape>
      </w:pict>
    </w:r>
    <w:sdt>
      <w:sdtPr>
        <w:id w:val="-234936245"/>
        <w:showingPlcHdr/>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671B8"/>
    <w:multiLevelType w:val="multilevel"/>
    <w:tmpl w:val="610671B8"/>
    <w:lvl w:ilvl="0" w:tentative="0">
      <w:start w:val="1"/>
      <w:numFmt w:val="chineseCountingThousand"/>
      <w:pStyle w:val="3"/>
      <w:suff w:val="nothing"/>
      <w:lvlText w:val="%1、"/>
      <w:lvlJc w:val="left"/>
      <w:pPr>
        <w:ind w:left="4253" w:hanging="425"/>
      </w:pPr>
      <w:rPr>
        <w:rFonts w:hint="eastAsia"/>
      </w:rPr>
    </w:lvl>
    <w:lvl w:ilvl="1" w:tentative="0">
      <w:start w:val="1"/>
      <w:numFmt w:val="chineseCountingThousand"/>
      <w:pStyle w:val="5"/>
      <w:suff w:val="nothing"/>
      <w:lvlText w:val="（%2）"/>
      <w:lvlJc w:val="left"/>
      <w:pPr>
        <w:ind w:left="699" w:hanging="567"/>
      </w:pPr>
      <w:rPr>
        <w:rFonts w:hint="eastAsia"/>
      </w:rPr>
    </w:lvl>
    <w:lvl w:ilvl="2" w:tentative="0">
      <w:start w:val="1"/>
      <w:numFmt w:val="decimal"/>
      <w:pStyle w:val="6"/>
      <w:suff w:val="nothing"/>
      <w:lvlText w:val="%3. "/>
      <w:lvlJc w:val="left"/>
      <w:pPr>
        <w:ind w:left="426" w:hanging="567"/>
      </w:pPr>
      <w:rPr>
        <w:rFonts w:hint="eastAsia"/>
      </w:rPr>
    </w:lvl>
    <w:lvl w:ilvl="3" w:tentative="0">
      <w:start w:val="1"/>
      <w:numFmt w:val="decimal"/>
      <w:pStyle w:val="7"/>
      <w:suff w:val="nothing"/>
      <w:lvlText w:val="（%4）"/>
      <w:lvlJc w:val="left"/>
      <w:pPr>
        <w:ind w:left="1134" w:hanging="425"/>
      </w:pPr>
      <w:rPr>
        <w:rFonts w:hint="eastAsia"/>
      </w:rPr>
    </w:lvl>
    <w:lvl w:ilvl="4" w:tentative="0">
      <w:start w:val="1"/>
      <w:numFmt w:val="decimal"/>
      <w:pStyle w:val="8"/>
      <w:suff w:val="nothing"/>
      <w:lvlText w:val="%5）"/>
      <w:lvlJc w:val="left"/>
      <w:pPr>
        <w:ind w:left="709" w:hanging="113"/>
      </w:pPr>
      <w:rPr>
        <w:rFonts w:hint="eastAsia"/>
      </w:rPr>
    </w:lvl>
    <w:lvl w:ilvl="5" w:tentative="0">
      <w:start w:val="1"/>
      <w:numFmt w:val="decimal"/>
      <w:pStyle w:val="53"/>
      <w:suff w:val="nothing"/>
      <w:lvlText w:val="附件%6 "/>
      <w:lvlJc w:val="left"/>
      <w:pPr>
        <w:ind w:left="-283" w:firstLine="0"/>
      </w:pPr>
      <w:rPr>
        <w:rFonts w:hint="eastAsia"/>
      </w:rPr>
    </w:lvl>
    <w:lvl w:ilvl="6" w:tentative="0">
      <w:start w:val="1"/>
      <w:numFmt w:val="chineseCountingThousand"/>
      <w:suff w:val="nothing"/>
      <w:lvlText w:val="%7、"/>
      <w:lvlJc w:val="left"/>
      <w:pPr>
        <w:ind w:left="709" w:hanging="567"/>
      </w:pPr>
      <w:rPr>
        <w:rFonts w:hint="eastAsia"/>
      </w:rPr>
    </w:lvl>
    <w:lvl w:ilvl="7" w:tentative="0">
      <w:start w:val="1"/>
      <w:numFmt w:val="chineseCountingThousand"/>
      <w:suff w:val="nothing"/>
      <w:lvlText w:val="（%8）"/>
      <w:lvlJc w:val="left"/>
      <w:pPr>
        <w:ind w:left="709" w:hanging="567"/>
      </w:pPr>
      <w:rPr>
        <w:rFonts w:hint="eastAsia"/>
      </w:rPr>
    </w:lvl>
    <w:lvl w:ilvl="8" w:tentative="0">
      <w:start w:val="1"/>
      <w:numFmt w:val="decimal"/>
      <w:suff w:val="nothing"/>
      <w:lvlText w:val="%9. "/>
      <w:lvlJc w:val="left"/>
      <w:pPr>
        <w:ind w:left="709"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44724D"/>
    <w:rsid w:val="000103F6"/>
    <w:rsid w:val="00015FD7"/>
    <w:rsid w:val="00017425"/>
    <w:rsid w:val="000215FD"/>
    <w:rsid w:val="00025E1A"/>
    <w:rsid w:val="00035C58"/>
    <w:rsid w:val="00044534"/>
    <w:rsid w:val="00045368"/>
    <w:rsid w:val="0005304B"/>
    <w:rsid w:val="00053EAD"/>
    <w:rsid w:val="0005634B"/>
    <w:rsid w:val="00065703"/>
    <w:rsid w:val="00066C9A"/>
    <w:rsid w:val="00067C35"/>
    <w:rsid w:val="00071965"/>
    <w:rsid w:val="00072084"/>
    <w:rsid w:val="00075EB7"/>
    <w:rsid w:val="000760DA"/>
    <w:rsid w:val="00083FCC"/>
    <w:rsid w:val="00086675"/>
    <w:rsid w:val="00091146"/>
    <w:rsid w:val="000930F8"/>
    <w:rsid w:val="000962ED"/>
    <w:rsid w:val="000A261F"/>
    <w:rsid w:val="000A612E"/>
    <w:rsid w:val="000C0DDB"/>
    <w:rsid w:val="000C277D"/>
    <w:rsid w:val="000D04E1"/>
    <w:rsid w:val="000E5EFC"/>
    <w:rsid w:val="000E7309"/>
    <w:rsid w:val="000F2B10"/>
    <w:rsid w:val="000F58AF"/>
    <w:rsid w:val="000F73D4"/>
    <w:rsid w:val="000F7747"/>
    <w:rsid w:val="00102E6B"/>
    <w:rsid w:val="00104628"/>
    <w:rsid w:val="00107BD6"/>
    <w:rsid w:val="00110233"/>
    <w:rsid w:val="00110F1D"/>
    <w:rsid w:val="001124FB"/>
    <w:rsid w:val="001130E9"/>
    <w:rsid w:val="00114DEE"/>
    <w:rsid w:val="001171EA"/>
    <w:rsid w:val="00121E22"/>
    <w:rsid w:val="00131C8C"/>
    <w:rsid w:val="00132A28"/>
    <w:rsid w:val="00147239"/>
    <w:rsid w:val="00147A7E"/>
    <w:rsid w:val="00152D39"/>
    <w:rsid w:val="001555BF"/>
    <w:rsid w:val="00162F82"/>
    <w:rsid w:val="00163A98"/>
    <w:rsid w:val="00172053"/>
    <w:rsid w:val="00173F46"/>
    <w:rsid w:val="001807D4"/>
    <w:rsid w:val="00181230"/>
    <w:rsid w:val="00184ABA"/>
    <w:rsid w:val="00192F0D"/>
    <w:rsid w:val="0019781C"/>
    <w:rsid w:val="00197D2B"/>
    <w:rsid w:val="001A05A0"/>
    <w:rsid w:val="001A7797"/>
    <w:rsid w:val="001B1EA4"/>
    <w:rsid w:val="001B24EE"/>
    <w:rsid w:val="001B486E"/>
    <w:rsid w:val="001C60B0"/>
    <w:rsid w:val="001D2018"/>
    <w:rsid w:val="001E4440"/>
    <w:rsid w:val="00204B59"/>
    <w:rsid w:val="00205309"/>
    <w:rsid w:val="002068C4"/>
    <w:rsid w:val="00216BF3"/>
    <w:rsid w:val="002173D5"/>
    <w:rsid w:val="00221726"/>
    <w:rsid w:val="00222A88"/>
    <w:rsid w:val="0022387E"/>
    <w:rsid w:val="00233597"/>
    <w:rsid w:val="0023442A"/>
    <w:rsid w:val="00237C0D"/>
    <w:rsid w:val="0026269B"/>
    <w:rsid w:val="00266BD2"/>
    <w:rsid w:val="00270EA4"/>
    <w:rsid w:val="00270F7F"/>
    <w:rsid w:val="00272D30"/>
    <w:rsid w:val="00274941"/>
    <w:rsid w:val="00277770"/>
    <w:rsid w:val="00281D6F"/>
    <w:rsid w:val="00295624"/>
    <w:rsid w:val="00297B42"/>
    <w:rsid w:val="002A429E"/>
    <w:rsid w:val="002A44DB"/>
    <w:rsid w:val="002B01E4"/>
    <w:rsid w:val="002B4447"/>
    <w:rsid w:val="002C3232"/>
    <w:rsid w:val="002C46C0"/>
    <w:rsid w:val="002D28F8"/>
    <w:rsid w:val="002D58DE"/>
    <w:rsid w:val="002D6186"/>
    <w:rsid w:val="002E3092"/>
    <w:rsid w:val="002F0BBF"/>
    <w:rsid w:val="00304B83"/>
    <w:rsid w:val="00306A50"/>
    <w:rsid w:val="00306E74"/>
    <w:rsid w:val="00331217"/>
    <w:rsid w:val="003328F6"/>
    <w:rsid w:val="0033302E"/>
    <w:rsid w:val="0034355A"/>
    <w:rsid w:val="003453B8"/>
    <w:rsid w:val="00345EF3"/>
    <w:rsid w:val="0035699D"/>
    <w:rsid w:val="00356FCE"/>
    <w:rsid w:val="003727B2"/>
    <w:rsid w:val="003809D5"/>
    <w:rsid w:val="00383CBD"/>
    <w:rsid w:val="00390FDC"/>
    <w:rsid w:val="003957CB"/>
    <w:rsid w:val="0039624B"/>
    <w:rsid w:val="00397DBF"/>
    <w:rsid w:val="003A14CB"/>
    <w:rsid w:val="003A6EB1"/>
    <w:rsid w:val="003B427B"/>
    <w:rsid w:val="003B6F61"/>
    <w:rsid w:val="003C3014"/>
    <w:rsid w:val="003D3060"/>
    <w:rsid w:val="003D428A"/>
    <w:rsid w:val="003D61E8"/>
    <w:rsid w:val="003F45CF"/>
    <w:rsid w:val="0041326E"/>
    <w:rsid w:val="00421805"/>
    <w:rsid w:val="00421A3F"/>
    <w:rsid w:val="0043483F"/>
    <w:rsid w:val="004408E8"/>
    <w:rsid w:val="00444700"/>
    <w:rsid w:val="00444B4E"/>
    <w:rsid w:val="0044724D"/>
    <w:rsid w:val="004531F9"/>
    <w:rsid w:val="004542E0"/>
    <w:rsid w:val="00461869"/>
    <w:rsid w:val="00466115"/>
    <w:rsid w:val="00477F73"/>
    <w:rsid w:val="00481171"/>
    <w:rsid w:val="004876E7"/>
    <w:rsid w:val="00493152"/>
    <w:rsid w:val="00493F68"/>
    <w:rsid w:val="004A3A8E"/>
    <w:rsid w:val="004A5E40"/>
    <w:rsid w:val="004B3569"/>
    <w:rsid w:val="004C7754"/>
    <w:rsid w:val="004D40CF"/>
    <w:rsid w:val="004D5BB2"/>
    <w:rsid w:val="004F0717"/>
    <w:rsid w:val="00502945"/>
    <w:rsid w:val="0050520B"/>
    <w:rsid w:val="00546D71"/>
    <w:rsid w:val="00550A75"/>
    <w:rsid w:val="005602DA"/>
    <w:rsid w:val="00560DED"/>
    <w:rsid w:val="00584B70"/>
    <w:rsid w:val="005946B1"/>
    <w:rsid w:val="005954FF"/>
    <w:rsid w:val="005B41A4"/>
    <w:rsid w:val="005B429E"/>
    <w:rsid w:val="005B4DBE"/>
    <w:rsid w:val="005B5F1D"/>
    <w:rsid w:val="005C4184"/>
    <w:rsid w:val="005C7243"/>
    <w:rsid w:val="005D1E3E"/>
    <w:rsid w:val="005E16C6"/>
    <w:rsid w:val="005E54C2"/>
    <w:rsid w:val="005E5FE8"/>
    <w:rsid w:val="005F2B0E"/>
    <w:rsid w:val="00604CEA"/>
    <w:rsid w:val="00607F4F"/>
    <w:rsid w:val="00610C44"/>
    <w:rsid w:val="00642A61"/>
    <w:rsid w:val="00653671"/>
    <w:rsid w:val="00656492"/>
    <w:rsid w:val="00670309"/>
    <w:rsid w:val="0067195C"/>
    <w:rsid w:val="00671F28"/>
    <w:rsid w:val="00672BF2"/>
    <w:rsid w:val="00676082"/>
    <w:rsid w:val="00681991"/>
    <w:rsid w:val="00684679"/>
    <w:rsid w:val="00690D70"/>
    <w:rsid w:val="00697F95"/>
    <w:rsid w:val="006B25EE"/>
    <w:rsid w:val="006B5747"/>
    <w:rsid w:val="006B6D34"/>
    <w:rsid w:val="006C0552"/>
    <w:rsid w:val="006C56E6"/>
    <w:rsid w:val="006D2AA1"/>
    <w:rsid w:val="006D3289"/>
    <w:rsid w:val="006D38B2"/>
    <w:rsid w:val="006D7260"/>
    <w:rsid w:val="006E058D"/>
    <w:rsid w:val="006E3C10"/>
    <w:rsid w:val="006E7F29"/>
    <w:rsid w:val="006F2868"/>
    <w:rsid w:val="0070312D"/>
    <w:rsid w:val="00741C00"/>
    <w:rsid w:val="00744A5A"/>
    <w:rsid w:val="00744BAE"/>
    <w:rsid w:val="00756CD2"/>
    <w:rsid w:val="00760396"/>
    <w:rsid w:val="00762408"/>
    <w:rsid w:val="00763364"/>
    <w:rsid w:val="007665DB"/>
    <w:rsid w:val="00785D66"/>
    <w:rsid w:val="0079506D"/>
    <w:rsid w:val="007B5552"/>
    <w:rsid w:val="007C1028"/>
    <w:rsid w:val="007C5DBA"/>
    <w:rsid w:val="007E6C44"/>
    <w:rsid w:val="007E7712"/>
    <w:rsid w:val="007F6F59"/>
    <w:rsid w:val="007F72B7"/>
    <w:rsid w:val="00800141"/>
    <w:rsid w:val="008014EA"/>
    <w:rsid w:val="00803146"/>
    <w:rsid w:val="0080626D"/>
    <w:rsid w:val="00813462"/>
    <w:rsid w:val="0082340E"/>
    <w:rsid w:val="00825915"/>
    <w:rsid w:val="008362C0"/>
    <w:rsid w:val="00836DC7"/>
    <w:rsid w:val="0084030D"/>
    <w:rsid w:val="00844EAF"/>
    <w:rsid w:val="008461D5"/>
    <w:rsid w:val="008554F8"/>
    <w:rsid w:val="0086271D"/>
    <w:rsid w:val="00864A6F"/>
    <w:rsid w:val="008656D4"/>
    <w:rsid w:val="008719CF"/>
    <w:rsid w:val="00876338"/>
    <w:rsid w:val="00876C42"/>
    <w:rsid w:val="008822AB"/>
    <w:rsid w:val="00887AFB"/>
    <w:rsid w:val="008909AF"/>
    <w:rsid w:val="008A2A9A"/>
    <w:rsid w:val="008A4DAC"/>
    <w:rsid w:val="008A5B63"/>
    <w:rsid w:val="008A618D"/>
    <w:rsid w:val="008B56B2"/>
    <w:rsid w:val="008B68F7"/>
    <w:rsid w:val="008F0B0F"/>
    <w:rsid w:val="008F6E48"/>
    <w:rsid w:val="0090373E"/>
    <w:rsid w:val="00910FBE"/>
    <w:rsid w:val="00914E55"/>
    <w:rsid w:val="009204FB"/>
    <w:rsid w:val="0093120B"/>
    <w:rsid w:val="00935273"/>
    <w:rsid w:val="00944FA3"/>
    <w:rsid w:val="009463CC"/>
    <w:rsid w:val="00951537"/>
    <w:rsid w:val="009535A2"/>
    <w:rsid w:val="0096155B"/>
    <w:rsid w:val="00966568"/>
    <w:rsid w:val="009747AF"/>
    <w:rsid w:val="00996D6E"/>
    <w:rsid w:val="009A3904"/>
    <w:rsid w:val="009A6EC2"/>
    <w:rsid w:val="009B506F"/>
    <w:rsid w:val="009B5C0F"/>
    <w:rsid w:val="009B6902"/>
    <w:rsid w:val="009B6DDE"/>
    <w:rsid w:val="009C7496"/>
    <w:rsid w:val="009E3D55"/>
    <w:rsid w:val="009E5B2A"/>
    <w:rsid w:val="009E7A87"/>
    <w:rsid w:val="009F08D9"/>
    <w:rsid w:val="009F49F2"/>
    <w:rsid w:val="009F536F"/>
    <w:rsid w:val="00A00F28"/>
    <w:rsid w:val="00A00F93"/>
    <w:rsid w:val="00A05231"/>
    <w:rsid w:val="00A058BE"/>
    <w:rsid w:val="00A134E9"/>
    <w:rsid w:val="00A274CE"/>
    <w:rsid w:val="00A36DCE"/>
    <w:rsid w:val="00A4278A"/>
    <w:rsid w:val="00A42809"/>
    <w:rsid w:val="00A42ACC"/>
    <w:rsid w:val="00A44B4D"/>
    <w:rsid w:val="00A558DE"/>
    <w:rsid w:val="00A6197A"/>
    <w:rsid w:val="00A62A4F"/>
    <w:rsid w:val="00A72299"/>
    <w:rsid w:val="00A7645B"/>
    <w:rsid w:val="00A76C7F"/>
    <w:rsid w:val="00A948AA"/>
    <w:rsid w:val="00AA1D28"/>
    <w:rsid w:val="00AA2ECD"/>
    <w:rsid w:val="00AA3DE6"/>
    <w:rsid w:val="00AA53AE"/>
    <w:rsid w:val="00AA6DFA"/>
    <w:rsid w:val="00AA7BD8"/>
    <w:rsid w:val="00AB2DA1"/>
    <w:rsid w:val="00AB308A"/>
    <w:rsid w:val="00AC022B"/>
    <w:rsid w:val="00AC41A9"/>
    <w:rsid w:val="00AD214E"/>
    <w:rsid w:val="00AD253A"/>
    <w:rsid w:val="00AD596D"/>
    <w:rsid w:val="00AD6D5C"/>
    <w:rsid w:val="00AF56B4"/>
    <w:rsid w:val="00AF6C81"/>
    <w:rsid w:val="00B2173E"/>
    <w:rsid w:val="00B242E6"/>
    <w:rsid w:val="00B2518F"/>
    <w:rsid w:val="00B274E4"/>
    <w:rsid w:val="00B3140B"/>
    <w:rsid w:val="00B40888"/>
    <w:rsid w:val="00B4122F"/>
    <w:rsid w:val="00B46BED"/>
    <w:rsid w:val="00B574A4"/>
    <w:rsid w:val="00B66A60"/>
    <w:rsid w:val="00B76B39"/>
    <w:rsid w:val="00B77990"/>
    <w:rsid w:val="00B82711"/>
    <w:rsid w:val="00B87DFC"/>
    <w:rsid w:val="00B9004E"/>
    <w:rsid w:val="00B906E1"/>
    <w:rsid w:val="00B932F3"/>
    <w:rsid w:val="00B934BC"/>
    <w:rsid w:val="00BA0039"/>
    <w:rsid w:val="00BA2655"/>
    <w:rsid w:val="00BB20D8"/>
    <w:rsid w:val="00BB212B"/>
    <w:rsid w:val="00BB6D6E"/>
    <w:rsid w:val="00BC35A7"/>
    <w:rsid w:val="00BC37D0"/>
    <w:rsid w:val="00BC45D7"/>
    <w:rsid w:val="00BC6E4B"/>
    <w:rsid w:val="00BD7587"/>
    <w:rsid w:val="00BE3FF4"/>
    <w:rsid w:val="00BE7743"/>
    <w:rsid w:val="00BF15A7"/>
    <w:rsid w:val="00BF5B0B"/>
    <w:rsid w:val="00C03D9D"/>
    <w:rsid w:val="00C051ED"/>
    <w:rsid w:val="00C06151"/>
    <w:rsid w:val="00C11F1D"/>
    <w:rsid w:val="00C14179"/>
    <w:rsid w:val="00C149BF"/>
    <w:rsid w:val="00C20481"/>
    <w:rsid w:val="00C233CE"/>
    <w:rsid w:val="00C266B9"/>
    <w:rsid w:val="00C47486"/>
    <w:rsid w:val="00C515BC"/>
    <w:rsid w:val="00C5307E"/>
    <w:rsid w:val="00C54DD6"/>
    <w:rsid w:val="00C672D2"/>
    <w:rsid w:val="00C705E2"/>
    <w:rsid w:val="00C71C8D"/>
    <w:rsid w:val="00C7785A"/>
    <w:rsid w:val="00C95D24"/>
    <w:rsid w:val="00CA0E49"/>
    <w:rsid w:val="00CA53E1"/>
    <w:rsid w:val="00CA7294"/>
    <w:rsid w:val="00CB3D5E"/>
    <w:rsid w:val="00CB4DCD"/>
    <w:rsid w:val="00CB636D"/>
    <w:rsid w:val="00CC1849"/>
    <w:rsid w:val="00CC2F11"/>
    <w:rsid w:val="00CC3A35"/>
    <w:rsid w:val="00CD5214"/>
    <w:rsid w:val="00CE7600"/>
    <w:rsid w:val="00D1642C"/>
    <w:rsid w:val="00D2613E"/>
    <w:rsid w:val="00D26C53"/>
    <w:rsid w:val="00D26E14"/>
    <w:rsid w:val="00D3096C"/>
    <w:rsid w:val="00D32DBF"/>
    <w:rsid w:val="00D348EA"/>
    <w:rsid w:val="00D54A94"/>
    <w:rsid w:val="00D54FCF"/>
    <w:rsid w:val="00D612A9"/>
    <w:rsid w:val="00D73E02"/>
    <w:rsid w:val="00D74E79"/>
    <w:rsid w:val="00D8113E"/>
    <w:rsid w:val="00D84754"/>
    <w:rsid w:val="00D91CAD"/>
    <w:rsid w:val="00DA134B"/>
    <w:rsid w:val="00DA79D1"/>
    <w:rsid w:val="00DB521B"/>
    <w:rsid w:val="00DE254C"/>
    <w:rsid w:val="00DF454E"/>
    <w:rsid w:val="00E04113"/>
    <w:rsid w:val="00E041C3"/>
    <w:rsid w:val="00E048E8"/>
    <w:rsid w:val="00E160F7"/>
    <w:rsid w:val="00E20797"/>
    <w:rsid w:val="00E228E6"/>
    <w:rsid w:val="00E34DC0"/>
    <w:rsid w:val="00E427DD"/>
    <w:rsid w:val="00E4320E"/>
    <w:rsid w:val="00E4321C"/>
    <w:rsid w:val="00E449A7"/>
    <w:rsid w:val="00E46200"/>
    <w:rsid w:val="00E51F53"/>
    <w:rsid w:val="00E57492"/>
    <w:rsid w:val="00E61B30"/>
    <w:rsid w:val="00E67B38"/>
    <w:rsid w:val="00E70CB5"/>
    <w:rsid w:val="00E81226"/>
    <w:rsid w:val="00E82DCF"/>
    <w:rsid w:val="00E917E4"/>
    <w:rsid w:val="00E95F7F"/>
    <w:rsid w:val="00EA177C"/>
    <w:rsid w:val="00EB723A"/>
    <w:rsid w:val="00EC1253"/>
    <w:rsid w:val="00EC42B2"/>
    <w:rsid w:val="00EC569D"/>
    <w:rsid w:val="00ED1F81"/>
    <w:rsid w:val="00ED379F"/>
    <w:rsid w:val="00ED5703"/>
    <w:rsid w:val="00ED7C2E"/>
    <w:rsid w:val="00EE244A"/>
    <w:rsid w:val="00EE28C6"/>
    <w:rsid w:val="00EE684D"/>
    <w:rsid w:val="00EF1D4A"/>
    <w:rsid w:val="00EF1FA9"/>
    <w:rsid w:val="00F01138"/>
    <w:rsid w:val="00F03034"/>
    <w:rsid w:val="00F117A5"/>
    <w:rsid w:val="00F14EA6"/>
    <w:rsid w:val="00F1584C"/>
    <w:rsid w:val="00F24ACB"/>
    <w:rsid w:val="00F2542E"/>
    <w:rsid w:val="00F270BD"/>
    <w:rsid w:val="00F27FC0"/>
    <w:rsid w:val="00F35308"/>
    <w:rsid w:val="00F36FD9"/>
    <w:rsid w:val="00F522F4"/>
    <w:rsid w:val="00F65ACD"/>
    <w:rsid w:val="00F76F9A"/>
    <w:rsid w:val="00F80EB6"/>
    <w:rsid w:val="00F8405D"/>
    <w:rsid w:val="00F92352"/>
    <w:rsid w:val="00F95D73"/>
    <w:rsid w:val="00FC36AB"/>
    <w:rsid w:val="00FC4671"/>
    <w:rsid w:val="00FE14F7"/>
    <w:rsid w:val="00FE2104"/>
    <w:rsid w:val="00FF2845"/>
    <w:rsid w:val="00FF42FB"/>
    <w:rsid w:val="00FF4B3C"/>
    <w:rsid w:val="01025AB4"/>
    <w:rsid w:val="011501C6"/>
    <w:rsid w:val="013815A0"/>
    <w:rsid w:val="0151075A"/>
    <w:rsid w:val="01800C68"/>
    <w:rsid w:val="018053FD"/>
    <w:rsid w:val="0186650D"/>
    <w:rsid w:val="01A967AF"/>
    <w:rsid w:val="01BB11E6"/>
    <w:rsid w:val="01D54293"/>
    <w:rsid w:val="021A3F13"/>
    <w:rsid w:val="021A577D"/>
    <w:rsid w:val="02510ABD"/>
    <w:rsid w:val="02541979"/>
    <w:rsid w:val="02594055"/>
    <w:rsid w:val="02876747"/>
    <w:rsid w:val="02B265AE"/>
    <w:rsid w:val="02F31677"/>
    <w:rsid w:val="03126EC1"/>
    <w:rsid w:val="03233336"/>
    <w:rsid w:val="03517B9C"/>
    <w:rsid w:val="03862E27"/>
    <w:rsid w:val="03903BE9"/>
    <w:rsid w:val="03AB7A7D"/>
    <w:rsid w:val="03FD71EE"/>
    <w:rsid w:val="04072D2A"/>
    <w:rsid w:val="042F22C1"/>
    <w:rsid w:val="044E2F82"/>
    <w:rsid w:val="046E26C7"/>
    <w:rsid w:val="0483784B"/>
    <w:rsid w:val="04A83965"/>
    <w:rsid w:val="04A86090"/>
    <w:rsid w:val="04F874F9"/>
    <w:rsid w:val="05297F81"/>
    <w:rsid w:val="05543D11"/>
    <w:rsid w:val="055B6DCA"/>
    <w:rsid w:val="056C2322"/>
    <w:rsid w:val="05950945"/>
    <w:rsid w:val="059C632B"/>
    <w:rsid w:val="059C7817"/>
    <w:rsid w:val="05FD25CD"/>
    <w:rsid w:val="0604155C"/>
    <w:rsid w:val="062279E7"/>
    <w:rsid w:val="06231C89"/>
    <w:rsid w:val="062457E9"/>
    <w:rsid w:val="0631609B"/>
    <w:rsid w:val="063C20C4"/>
    <w:rsid w:val="063F7FA9"/>
    <w:rsid w:val="067F6E2F"/>
    <w:rsid w:val="06D74C18"/>
    <w:rsid w:val="06E43BDE"/>
    <w:rsid w:val="06EC3693"/>
    <w:rsid w:val="06FC47C2"/>
    <w:rsid w:val="06FF5805"/>
    <w:rsid w:val="071E2A0C"/>
    <w:rsid w:val="075955E0"/>
    <w:rsid w:val="07850D93"/>
    <w:rsid w:val="07A61820"/>
    <w:rsid w:val="07EE12F3"/>
    <w:rsid w:val="081F3D1A"/>
    <w:rsid w:val="08287797"/>
    <w:rsid w:val="08401CB5"/>
    <w:rsid w:val="08707677"/>
    <w:rsid w:val="088548FC"/>
    <w:rsid w:val="088C69AC"/>
    <w:rsid w:val="088D0BB9"/>
    <w:rsid w:val="08D75481"/>
    <w:rsid w:val="090B149B"/>
    <w:rsid w:val="09164E43"/>
    <w:rsid w:val="09254D02"/>
    <w:rsid w:val="092B229A"/>
    <w:rsid w:val="092F7F4A"/>
    <w:rsid w:val="09772DDF"/>
    <w:rsid w:val="098E77E1"/>
    <w:rsid w:val="099D79FD"/>
    <w:rsid w:val="09D033F7"/>
    <w:rsid w:val="09D31E6E"/>
    <w:rsid w:val="09D55E8B"/>
    <w:rsid w:val="09E761FF"/>
    <w:rsid w:val="0A05782B"/>
    <w:rsid w:val="0A253850"/>
    <w:rsid w:val="0A4F7DD4"/>
    <w:rsid w:val="0A6A222F"/>
    <w:rsid w:val="0A7C203C"/>
    <w:rsid w:val="0A8D3AF6"/>
    <w:rsid w:val="0A983C42"/>
    <w:rsid w:val="0A9A1339"/>
    <w:rsid w:val="0ABD7A22"/>
    <w:rsid w:val="0AE51120"/>
    <w:rsid w:val="0B1F6652"/>
    <w:rsid w:val="0B3F3DC1"/>
    <w:rsid w:val="0B4C3FBC"/>
    <w:rsid w:val="0B706983"/>
    <w:rsid w:val="0B806808"/>
    <w:rsid w:val="0B882F33"/>
    <w:rsid w:val="0B960AC0"/>
    <w:rsid w:val="0BD178DF"/>
    <w:rsid w:val="0BDE3E4B"/>
    <w:rsid w:val="0BF2333D"/>
    <w:rsid w:val="0C1739C3"/>
    <w:rsid w:val="0C2C3DF7"/>
    <w:rsid w:val="0C581708"/>
    <w:rsid w:val="0C605DB8"/>
    <w:rsid w:val="0C7166E2"/>
    <w:rsid w:val="0C9702F8"/>
    <w:rsid w:val="0CC230D3"/>
    <w:rsid w:val="0CC675DE"/>
    <w:rsid w:val="0CCF315E"/>
    <w:rsid w:val="0CD80BFC"/>
    <w:rsid w:val="0CE334A0"/>
    <w:rsid w:val="0D1B08C8"/>
    <w:rsid w:val="0D262E6F"/>
    <w:rsid w:val="0D7830F1"/>
    <w:rsid w:val="0D7E6747"/>
    <w:rsid w:val="0D8537A3"/>
    <w:rsid w:val="0D997BB8"/>
    <w:rsid w:val="0DA2216B"/>
    <w:rsid w:val="0DC972B1"/>
    <w:rsid w:val="0DEA3FED"/>
    <w:rsid w:val="0DF17730"/>
    <w:rsid w:val="0E3934E3"/>
    <w:rsid w:val="0E6070D1"/>
    <w:rsid w:val="0E6A0BB1"/>
    <w:rsid w:val="0E9624D5"/>
    <w:rsid w:val="0EA847DD"/>
    <w:rsid w:val="0EA950D8"/>
    <w:rsid w:val="0EB46E2C"/>
    <w:rsid w:val="0EC54A08"/>
    <w:rsid w:val="0EE31112"/>
    <w:rsid w:val="0F3B088E"/>
    <w:rsid w:val="0F425E51"/>
    <w:rsid w:val="0F870E43"/>
    <w:rsid w:val="0F991F46"/>
    <w:rsid w:val="0FC516A5"/>
    <w:rsid w:val="10052F91"/>
    <w:rsid w:val="101026C7"/>
    <w:rsid w:val="10261A66"/>
    <w:rsid w:val="102C7C50"/>
    <w:rsid w:val="10317EEC"/>
    <w:rsid w:val="104C70C3"/>
    <w:rsid w:val="10E93B13"/>
    <w:rsid w:val="10F503D2"/>
    <w:rsid w:val="111D1728"/>
    <w:rsid w:val="11385DD4"/>
    <w:rsid w:val="11466603"/>
    <w:rsid w:val="116B35AB"/>
    <w:rsid w:val="11840E93"/>
    <w:rsid w:val="11B60EEA"/>
    <w:rsid w:val="11EE6FAF"/>
    <w:rsid w:val="11F0396B"/>
    <w:rsid w:val="123408AF"/>
    <w:rsid w:val="123B58F9"/>
    <w:rsid w:val="125D67F5"/>
    <w:rsid w:val="126A2B0F"/>
    <w:rsid w:val="12D60D94"/>
    <w:rsid w:val="12E405C4"/>
    <w:rsid w:val="12FD2C3B"/>
    <w:rsid w:val="130A092B"/>
    <w:rsid w:val="131B4300"/>
    <w:rsid w:val="132D429A"/>
    <w:rsid w:val="13542B72"/>
    <w:rsid w:val="137246D8"/>
    <w:rsid w:val="13BE0FAA"/>
    <w:rsid w:val="13F9034C"/>
    <w:rsid w:val="140211E0"/>
    <w:rsid w:val="14106CFE"/>
    <w:rsid w:val="14197BAB"/>
    <w:rsid w:val="143C0DC4"/>
    <w:rsid w:val="143F62F6"/>
    <w:rsid w:val="14414539"/>
    <w:rsid w:val="146424FA"/>
    <w:rsid w:val="14982DBF"/>
    <w:rsid w:val="14A47003"/>
    <w:rsid w:val="14B32525"/>
    <w:rsid w:val="14D0308D"/>
    <w:rsid w:val="14E23B65"/>
    <w:rsid w:val="14F36673"/>
    <w:rsid w:val="150953D6"/>
    <w:rsid w:val="150C0F65"/>
    <w:rsid w:val="15494CB1"/>
    <w:rsid w:val="1572680A"/>
    <w:rsid w:val="15790EE9"/>
    <w:rsid w:val="157938F7"/>
    <w:rsid w:val="159A12DB"/>
    <w:rsid w:val="15AF76D7"/>
    <w:rsid w:val="15C64603"/>
    <w:rsid w:val="15F95F09"/>
    <w:rsid w:val="15FF56DB"/>
    <w:rsid w:val="16472E7A"/>
    <w:rsid w:val="164D4175"/>
    <w:rsid w:val="1675214B"/>
    <w:rsid w:val="16890158"/>
    <w:rsid w:val="168D0B02"/>
    <w:rsid w:val="169F2075"/>
    <w:rsid w:val="16A6707D"/>
    <w:rsid w:val="16C148C0"/>
    <w:rsid w:val="16D91C55"/>
    <w:rsid w:val="16ED1999"/>
    <w:rsid w:val="16ED3B7B"/>
    <w:rsid w:val="17015302"/>
    <w:rsid w:val="171E6D18"/>
    <w:rsid w:val="174E54EB"/>
    <w:rsid w:val="176C07F8"/>
    <w:rsid w:val="17882F1C"/>
    <w:rsid w:val="178E1B8B"/>
    <w:rsid w:val="17BA2172"/>
    <w:rsid w:val="17BB4520"/>
    <w:rsid w:val="17DB2F96"/>
    <w:rsid w:val="18012D72"/>
    <w:rsid w:val="182F58A4"/>
    <w:rsid w:val="185E217B"/>
    <w:rsid w:val="187A1FDE"/>
    <w:rsid w:val="18D4026E"/>
    <w:rsid w:val="18D76E94"/>
    <w:rsid w:val="19004A63"/>
    <w:rsid w:val="190B3FB2"/>
    <w:rsid w:val="19B676DE"/>
    <w:rsid w:val="1A2C36EF"/>
    <w:rsid w:val="1A48129A"/>
    <w:rsid w:val="1A4B59AF"/>
    <w:rsid w:val="1A8E2308"/>
    <w:rsid w:val="1A9324FC"/>
    <w:rsid w:val="1AF97F06"/>
    <w:rsid w:val="1B115D48"/>
    <w:rsid w:val="1B323354"/>
    <w:rsid w:val="1B787098"/>
    <w:rsid w:val="1BE20604"/>
    <w:rsid w:val="1C23198F"/>
    <w:rsid w:val="1C6C15D5"/>
    <w:rsid w:val="1C6C404B"/>
    <w:rsid w:val="1C7977B6"/>
    <w:rsid w:val="1C9705AD"/>
    <w:rsid w:val="1CB40050"/>
    <w:rsid w:val="1CDF5A29"/>
    <w:rsid w:val="1CF617BB"/>
    <w:rsid w:val="1D1218BF"/>
    <w:rsid w:val="1D1B1BF4"/>
    <w:rsid w:val="1DD66E4F"/>
    <w:rsid w:val="1DDE004C"/>
    <w:rsid w:val="1DE40779"/>
    <w:rsid w:val="1E144EC7"/>
    <w:rsid w:val="1E646C8E"/>
    <w:rsid w:val="1E7950C2"/>
    <w:rsid w:val="1EAD579F"/>
    <w:rsid w:val="1EB24808"/>
    <w:rsid w:val="1ECA3A6A"/>
    <w:rsid w:val="1F2D1D98"/>
    <w:rsid w:val="1F3D5E02"/>
    <w:rsid w:val="1F615873"/>
    <w:rsid w:val="1F626740"/>
    <w:rsid w:val="1F673B9B"/>
    <w:rsid w:val="1F707C29"/>
    <w:rsid w:val="1F8E315B"/>
    <w:rsid w:val="1F90322D"/>
    <w:rsid w:val="20380AC3"/>
    <w:rsid w:val="206F091B"/>
    <w:rsid w:val="20B04BD0"/>
    <w:rsid w:val="20BB3967"/>
    <w:rsid w:val="20DF130B"/>
    <w:rsid w:val="20DF57BA"/>
    <w:rsid w:val="20FC1BAE"/>
    <w:rsid w:val="210D0976"/>
    <w:rsid w:val="2110420C"/>
    <w:rsid w:val="211816BD"/>
    <w:rsid w:val="211902FC"/>
    <w:rsid w:val="21280DB4"/>
    <w:rsid w:val="21436843"/>
    <w:rsid w:val="21900F3E"/>
    <w:rsid w:val="21964FA9"/>
    <w:rsid w:val="21B43F61"/>
    <w:rsid w:val="21CF531B"/>
    <w:rsid w:val="21E372BE"/>
    <w:rsid w:val="21EC1E8C"/>
    <w:rsid w:val="22027B61"/>
    <w:rsid w:val="220B439B"/>
    <w:rsid w:val="227A5129"/>
    <w:rsid w:val="22992D68"/>
    <w:rsid w:val="22C53110"/>
    <w:rsid w:val="22C70AEE"/>
    <w:rsid w:val="22F30BBF"/>
    <w:rsid w:val="22F463F7"/>
    <w:rsid w:val="23265177"/>
    <w:rsid w:val="23AA5A41"/>
    <w:rsid w:val="23BB581A"/>
    <w:rsid w:val="23DC6597"/>
    <w:rsid w:val="23E30D7D"/>
    <w:rsid w:val="24010961"/>
    <w:rsid w:val="24076DC4"/>
    <w:rsid w:val="241854CB"/>
    <w:rsid w:val="242A24A6"/>
    <w:rsid w:val="24507532"/>
    <w:rsid w:val="24631A08"/>
    <w:rsid w:val="24664CEB"/>
    <w:rsid w:val="2473155A"/>
    <w:rsid w:val="247F5F40"/>
    <w:rsid w:val="24BB600D"/>
    <w:rsid w:val="24C60652"/>
    <w:rsid w:val="24D904BA"/>
    <w:rsid w:val="24E37578"/>
    <w:rsid w:val="24F76F78"/>
    <w:rsid w:val="251225CC"/>
    <w:rsid w:val="251A6DD9"/>
    <w:rsid w:val="25255A65"/>
    <w:rsid w:val="252A678B"/>
    <w:rsid w:val="253D7C03"/>
    <w:rsid w:val="254D027F"/>
    <w:rsid w:val="255B3F8B"/>
    <w:rsid w:val="259D3016"/>
    <w:rsid w:val="25AC3210"/>
    <w:rsid w:val="25B43E05"/>
    <w:rsid w:val="25D35613"/>
    <w:rsid w:val="25D37354"/>
    <w:rsid w:val="26413ED0"/>
    <w:rsid w:val="264F5A4E"/>
    <w:rsid w:val="2661725C"/>
    <w:rsid w:val="267E560C"/>
    <w:rsid w:val="26812672"/>
    <w:rsid w:val="26A05574"/>
    <w:rsid w:val="26D60594"/>
    <w:rsid w:val="26FB4ED3"/>
    <w:rsid w:val="26FF76AB"/>
    <w:rsid w:val="272B7FFB"/>
    <w:rsid w:val="27397FE9"/>
    <w:rsid w:val="27494FC8"/>
    <w:rsid w:val="27EE1AAA"/>
    <w:rsid w:val="27FE773C"/>
    <w:rsid w:val="280A1221"/>
    <w:rsid w:val="280B79D5"/>
    <w:rsid w:val="28461FD0"/>
    <w:rsid w:val="28476713"/>
    <w:rsid w:val="28485C84"/>
    <w:rsid w:val="284D4B75"/>
    <w:rsid w:val="28612E7C"/>
    <w:rsid w:val="289042EB"/>
    <w:rsid w:val="28BC162D"/>
    <w:rsid w:val="28D61B20"/>
    <w:rsid w:val="294722A9"/>
    <w:rsid w:val="297835E8"/>
    <w:rsid w:val="29841210"/>
    <w:rsid w:val="29856ABB"/>
    <w:rsid w:val="29C82D9B"/>
    <w:rsid w:val="29E211E9"/>
    <w:rsid w:val="29ED3895"/>
    <w:rsid w:val="2A216A1E"/>
    <w:rsid w:val="2A425022"/>
    <w:rsid w:val="2A761E39"/>
    <w:rsid w:val="2AB6262D"/>
    <w:rsid w:val="2AB837BA"/>
    <w:rsid w:val="2B3233AE"/>
    <w:rsid w:val="2B4168B1"/>
    <w:rsid w:val="2B6B4505"/>
    <w:rsid w:val="2BBF0F52"/>
    <w:rsid w:val="2BCA563C"/>
    <w:rsid w:val="2C3E50C4"/>
    <w:rsid w:val="2CA6334B"/>
    <w:rsid w:val="2CAE3A03"/>
    <w:rsid w:val="2CDD2E20"/>
    <w:rsid w:val="2D20338D"/>
    <w:rsid w:val="2D584D5C"/>
    <w:rsid w:val="2D743621"/>
    <w:rsid w:val="2D9348A3"/>
    <w:rsid w:val="2DA52BA3"/>
    <w:rsid w:val="2DDB53FE"/>
    <w:rsid w:val="2DDF3ADB"/>
    <w:rsid w:val="2DEF0BCA"/>
    <w:rsid w:val="2DFB6718"/>
    <w:rsid w:val="2E0633DD"/>
    <w:rsid w:val="2E073433"/>
    <w:rsid w:val="2E0A7169"/>
    <w:rsid w:val="2E0D3724"/>
    <w:rsid w:val="2E4C13B5"/>
    <w:rsid w:val="2EB701BE"/>
    <w:rsid w:val="2EDB2307"/>
    <w:rsid w:val="2EFB5C25"/>
    <w:rsid w:val="2F04401A"/>
    <w:rsid w:val="2F0A3E88"/>
    <w:rsid w:val="2F257582"/>
    <w:rsid w:val="2F885E82"/>
    <w:rsid w:val="2F992B3C"/>
    <w:rsid w:val="2FF555C0"/>
    <w:rsid w:val="300212CE"/>
    <w:rsid w:val="300C4E4D"/>
    <w:rsid w:val="302922E1"/>
    <w:rsid w:val="3046066A"/>
    <w:rsid w:val="304E1484"/>
    <w:rsid w:val="304E4515"/>
    <w:rsid w:val="30FB2C7F"/>
    <w:rsid w:val="31125F8E"/>
    <w:rsid w:val="31216EAC"/>
    <w:rsid w:val="31250EB6"/>
    <w:rsid w:val="3136513D"/>
    <w:rsid w:val="314736CE"/>
    <w:rsid w:val="31780F73"/>
    <w:rsid w:val="31817BB3"/>
    <w:rsid w:val="31B171C6"/>
    <w:rsid w:val="31C06DEE"/>
    <w:rsid w:val="31D800EA"/>
    <w:rsid w:val="31E015EC"/>
    <w:rsid w:val="32050D68"/>
    <w:rsid w:val="323C1035"/>
    <w:rsid w:val="3258523D"/>
    <w:rsid w:val="3264661C"/>
    <w:rsid w:val="327614A7"/>
    <w:rsid w:val="32762B66"/>
    <w:rsid w:val="32AE4ED1"/>
    <w:rsid w:val="32D538E8"/>
    <w:rsid w:val="32D86604"/>
    <w:rsid w:val="33085011"/>
    <w:rsid w:val="3351073B"/>
    <w:rsid w:val="33A43CA9"/>
    <w:rsid w:val="33D724B5"/>
    <w:rsid w:val="33EA5F61"/>
    <w:rsid w:val="3450660D"/>
    <w:rsid w:val="34D95CA3"/>
    <w:rsid w:val="34E514E7"/>
    <w:rsid w:val="352D6FAB"/>
    <w:rsid w:val="356D532D"/>
    <w:rsid w:val="35970C14"/>
    <w:rsid w:val="35CC3847"/>
    <w:rsid w:val="35F24869"/>
    <w:rsid w:val="36067213"/>
    <w:rsid w:val="364626E1"/>
    <w:rsid w:val="369304CA"/>
    <w:rsid w:val="369B0B0B"/>
    <w:rsid w:val="36E86943"/>
    <w:rsid w:val="37403E4B"/>
    <w:rsid w:val="37D526DE"/>
    <w:rsid w:val="37FB1DAC"/>
    <w:rsid w:val="384C7110"/>
    <w:rsid w:val="387D14FA"/>
    <w:rsid w:val="38C960B5"/>
    <w:rsid w:val="39093968"/>
    <w:rsid w:val="39166C54"/>
    <w:rsid w:val="3917422F"/>
    <w:rsid w:val="392B617B"/>
    <w:rsid w:val="393F01FA"/>
    <w:rsid w:val="395057FB"/>
    <w:rsid w:val="39562773"/>
    <w:rsid w:val="397D11D8"/>
    <w:rsid w:val="39B45272"/>
    <w:rsid w:val="3A0353FF"/>
    <w:rsid w:val="3A1404DE"/>
    <w:rsid w:val="3A90004E"/>
    <w:rsid w:val="3AED45AA"/>
    <w:rsid w:val="3B182863"/>
    <w:rsid w:val="3B2B2C92"/>
    <w:rsid w:val="3B4233FB"/>
    <w:rsid w:val="3B944B5D"/>
    <w:rsid w:val="3BC16B8A"/>
    <w:rsid w:val="3C0637A7"/>
    <w:rsid w:val="3C0C76C2"/>
    <w:rsid w:val="3C15468A"/>
    <w:rsid w:val="3C4C613C"/>
    <w:rsid w:val="3C6C4D85"/>
    <w:rsid w:val="3C6E0053"/>
    <w:rsid w:val="3C765E4B"/>
    <w:rsid w:val="3C8043B5"/>
    <w:rsid w:val="3C9308BD"/>
    <w:rsid w:val="3CB304DF"/>
    <w:rsid w:val="3CFA1DE9"/>
    <w:rsid w:val="3D3E04D7"/>
    <w:rsid w:val="3D5E2859"/>
    <w:rsid w:val="3D976BBB"/>
    <w:rsid w:val="3DB11AA0"/>
    <w:rsid w:val="3DFD2373"/>
    <w:rsid w:val="3E1D1729"/>
    <w:rsid w:val="3E2B74C3"/>
    <w:rsid w:val="3E727F75"/>
    <w:rsid w:val="3EAC70AA"/>
    <w:rsid w:val="3EE22EDF"/>
    <w:rsid w:val="3EFE3487"/>
    <w:rsid w:val="3F161599"/>
    <w:rsid w:val="3F2F59D3"/>
    <w:rsid w:val="3F495F6E"/>
    <w:rsid w:val="3F4C6D0E"/>
    <w:rsid w:val="3F751638"/>
    <w:rsid w:val="3F7B7E16"/>
    <w:rsid w:val="3FC77118"/>
    <w:rsid w:val="3FDA42AE"/>
    <w:rsid w:val="3FF269A8"/>
    <w:rsid w:val="400475BF"/>
    <w:rsid w:val="400C34F0"/>
    <w:rsid w:val="404F4DF9"/>
    <w:rsid w:val="40903DCD"/>
    <w:rsid w:val="409F6149"/>
    <w:rsid w:val="40CD616F"/>
    <w:rsid w:val="40D703A1"/>
    <w:rsid w:val="40DC6602"/>
    <w:rsid w:val="413364A4"/>
    <w:rsid w:val="413F412C"/>
    <w:rsid w:val="414430F9"/>
    <w:rsid w:val="417758F4"/>
    <w:rsid w:val="41790AAA"/>
    <w:rsid w:val="41956816"/>
    <w:rsid w:val="41AA1E5E"/>
    <w:rsid w:val="41D8157D"/>
    <w:rsid w:val="42292CE6"/>
    <w:rsid w:val="42955455"/>
    <w:rsid w:val="42B12BD1"/>
    <w:rsid w:val="42E8457E"/>
    <w:rsid w:val="43006A7E"/>
    <w:rsid w:val="432E7BE2"/>
    <w:rsid w:val="433657DE"/>
    <w:rsid w:val="433A7205"/>
    <w:rsid w:val="43D07A94"/>
    <w:rsid w:val="440D2D32"/>
    <w:rsid w:val="444B7AE8"/>
    <w:rsid w:val="446B07F4"/>
    <w:rsid w:val="44DC6BCC"/>
    <w:rsid w:val="44DF5433"/>
    <w:rsid w:val="4507440F"/>
    <w:rsid w:val="450870A5"/>
    <w:rsid w:val="45260FA0"/>
    <w:rsid w:val="455B634D"/>
    <w:rsid w:val="455F38C9"/>
    <w:rsid w:val="4592346D"/>
    <w:rsid w:val="45EB0F23"/>
    <w:rsid w:val="45EE0C53"/>
    <w:rsid w:val="45F14FB7"/>
    <w:rsid w:val="45F44589"/>
    <w:rsid w:val="46095369"/>
    <w:rsid w:val="46152CF9"/>
    <w:rsid w:val="461817D8"/>
    <w:rsid w:val="46407F98"/>
    <w:rsid w:val="46635137"/>
    <w:rsid w:val="466B5CBC"/>
    <w:rsid w:val="46786983"/>
    <w:rsid w:val="469E43E1"/>
    <w:rsid w:val="46AD7C69"/>
    <w:rsid w:val="47215791"/>
    <w:rsid w:val="47260B99"/>
    <w:rsid w:val="472A4BDE"/>
    <w:rsid w:val="473D4956"/>
    <w:rsid w:val="4748199C"/>
    <w:rsid w:val="476C7BAA"/>
    <w:rsid w:val="47B946A3"/>
    <w:rsid w:val="482F597E"/>
    <w:rsid w:val="484D4DEA"/>
    <w:rsid w:val="48AA398A"/>
    <w:rsid w:val="48C858BA"/>
    <w:rsid w:val="48E37433"/>
    <w:rsid w:val="49020E8D"/>
    <w:rsid w:val="491671AC"/>
    <w:rsid w:val="492563CF"/>
    <w:rsid w:val="497F018D"/>
    <w:rsid w:val="49A04420"/>
    <w:rsid w:val="4A0C7A01"/>
    <w:rsid w:val="4A2847C8"/>
    <w:rsid w:val="4A297AF7"/>
    <w:rsid w:val="4A5D5FDD"/>
    <w:rsid w:val="4A970D7F"/>
    <w:rsid w:val="4AD33D68"/>
    <w:rsid w:val="4AD9180D"/>
    <w:rsid w:val="4AE52896"/>
    <w:rsid w:val="4B2A0442"/>
    <w:rsid w:val="4B4B1C12"/>
    <w:rsid w:val="4B63562F"/>
    <w:rsid w:val="4B7A0D67"/>
    <w:rsid w:val="4BA601D1"/>
    <w:rsid w:val="4BC954D9"/>
    <w:rsid w:val="4BD0240C"/>
    <w:rsid w:val="4C133FE8"/>
    <w:rsid w:val="4C7F0211"/>
    <w:rsid w:val="4C81405A"/>
    <w:rsid w:val="4C86458D"/>
    <w:rsid w:val="4C947A24"/>
    <w:rsid w:val="4CA5054B"/>
    <w:rsid w:val="4D0B0B01"/>
    <w:rsid w:val="4D6D2FBA"/>
    <w:rsid w:val="4D7A491D"/>
    <w:rsid w:val="4D8814FC"/>
    <w:rsid w:val="4DC306F0"/>
    <w:rsid w:val="4DFF628A"/>
    <w:rsid w:val="4E4C6068"/>
    <w:rsid w:val="4E537FC5"/>
    <w:rsid w:val="4E6D4BEE"/>
    <w:rsid w:val="4E8209FE"/>
    <w:rsid w:val="4EF24012"/>
    <w:rsid w:val="4F2D5BC8"/>
    <w:rsid w:val="4F661D99"/>
    <w:rsid w:val="4F695D8D"/>
    <w:rsid w:val="4F9021F0"/>
    <w:rsid w:val="4FB26410"/>
    <w:rsid w:val="50173CD4"/>
    <w:rsid w:val="505660BD"/>
    <w:rsid w:val="50BE75B5"/>
    <w:rsid w:val="50DA7327"/>
    <w:rsid w:val="50E53F24"/>
    <w:rsid w:val="510136A3"/>
    <w:rsid w:val="51155AB3"/>
    <w:rsid w:val="512F723F"/>
    <w:rsid w:val="51333D4A"/>
    <w:rsid w:val="5133595A"/>
    <w:rsid w:val="516B7631"/>
    <w:rsid w:val="51CD379C"/>
    <w:rsid w:val="51D34418"/>
    <w:rsid w:val="51D40307"/>
    <w:rsid w:val="523A612D"/>
    <w:rsid w:val="52531AFC"/>
    <w:rsid w:val="529A52A1"/>
    <w:rsid w:val="52A9191A"/>
    <w:rsid w:val="52B261A5"/>
    <w:rsid w:val="52B66117"/>
    <w:rsid w:val="52BD4EE4"/>
    <w:rsid w:val="52C0476E"/>
    <w:rsid w:val="53001490"/>
    <w:rsid w:val="531462BB"/>
    <w:rsid w:val="53237944"/>
    <w:rsid w:val="53790A68"/>
    <w:rsid w:val="53BA19A8"/>
    <w:rsid w:val="53D37869"/>
    <w:rsid w:val="53F70E7D"/>
    <w:rsid w:val="54125315"/>
    <w:rsid w:val="543C0FB7"/>
    <w:rsid w:val="54874CCC"/>
    <w:rsid w:val="54963A62"/>
    <w:rsid w:val="549F0103"/>
    <w:rsid w:val="54A35DDF"/>
    <w:rsid w:val="54EF630A"/>
    <w:rsid w:val="550145AD"/>
    <w:rsid w:val="556721F3"/>
    <w:rsid w:val="55686929"/>
    <w:rsid w:val="55796A0E"/>
    <w:rsid w:val="55864B75"/>
    <w:rsid w:val="558734D4"/>
    <w:rsid w:val="55BC7883"/>
    <w:rsid w:val="55D2325D"/>
    <w:rsid w:val="55D75A96"/>
    <w:rsid w:val="55F27B2B"/>
    <w:rsid w:val="564D62FE"/>
    <w:rsid w:val="56647C7F"/>
    <w:rsid w:val="56720BE1"/>
    <w:rsid w:val="567C2BA4"/>
    <w:rsid w:val="5686352D"/>
    <w:rsid w:val="56E22394"/>
    <w:rsid w:val="56F3368B"/>
    <w:rsid w:val="57495FF1"/>
    <w:rsid w:val="574A6F94"/>
    <w:rsid w:val="574C006B"/>
    <w:rsid w:val="57773433"/>
    <w:rsid w:val="57A33B96"/>
    <w:rsid w:val="57AF74F5"/>
    <w:rsid w:val="57C73EE6"/>
    <w:rsid w:val="57F2360A"/>
    <w:rsid w:val="57F4291C"/>
    <w:rsid w:val="58147555"/>
    <w:rsid w:val="58207EAE"/>
    <w:rsid w:val="585E4DC7"/>
    <w:rsid w:val="586910D7"/>
    <w:rsid w:val="589B0F9A"/>
    <w:rsid w:val="58D464FA"/>
    <w:rsid w:val="59043B45"/>
    <w:rsid w:val="5909216D"/>
    <w:rsid w:val="59174782"/>
    <w:rsid w:val="592F282F"/>
    <w:rsid w:val="59984B49"/>
    <w:rsid w:val="59DA6D6A"/>
    <w:rsid w:val="59E0268E"/>
    <w:rsid w:val="59E933AB"/>
    <w:rsid w:val="5A041E09"/>
    <w:rsid w:val="5A3C3239"/>
    <w:rsid w:val="5A7B05A7"/>
    <w:rsid w:val="5AA76C84"/>
    <w:rsid w:val="5AAC5C94"/>
    <w:rsid w:val="5AE857DC"/>
    <w:rsid w:val="5B026471"/>
    <w:rsid w:val="5B172C0C"/>
    <w:rsid w:val="5B4000FF"/>
    <w:rsid w:val="5B4D28F3"/>
    <w:rsid w:val="5B515B4D"/>
    <w:rsid w:val="5B5E3117"/>
    <w:rsid w:val="5BAE0263"/>
    <w:rsid w:val="5BF152A0"/>
    <w:rsid w:val="5BF60EAD"/>
    <w:rsid w:val="5BF6707C"/>
    <w:rsid w:val="5C015EBC"/>
    <w:rsid w:val="5C1F259E"/>
    <w:rsid w:val="5C3227E0"/>
    <w:rsid w:val="5C3C2FD0"/>
    <w:rsid w:val="5C5C36F9"/>
    <w:rsid w:val="5CD75E3A"/>
    <w:rsid w:val="5CE20A04"/>
    <w:rsid w:val="5CEA725B"/>
    <w:rsid w:val="5CF50934"/>
    <w:rsid w:val="5D013220"/>
    <w:rsid w:val="5D0F1335"/>
    <w:rsid w:val="5D450FB9"/>
    <w:rsid w:val="5D6B57C2"/>
    <w:rsid w:val="5D9554A2"/>
    <w:rsid w:val="5DB57D7F"/>
    <w:rsid w:val="5DCD6442"/>
    <w:rsid w:val="5DEF0B24"/>
    <w:rsid w:val="5E560E07"/>
    <w:rsid w:val="5E677488"/>
    <w:rsid w:val="5ED21E0F"/>
    <w:rsid w:val="5F6E4CCA"/>
    <w:rsid w:val="5F7269E5"/>
    <w:rsid w:val="5F980D79"/>
    <w:rsid w:val="5FBE0DDB"/>
    <w:rsid w:val="5FE16213"/>
    <w:rsid w:val="5FF844B1"/>
    <w:rsid w:val="5FFF216D"/>
    <w:rsid w:val="600266FF"/>
    <w:rsid w:val="600F42BA"/>
    <w:rsid w:val="601109F2"/>
    <w:rsid w:val="60282707"/>
    <w:rsid w:val="60986A5E"/>
    <w:rsid w:val="609C1D68"/>
    <w:rsid w:val="60C7109F"/>
    <w:rsid w:val="610C03AB"/>
    <w:rsid w:val="61201E1B"/>
    <w:rsid w:val="61303F63"/>
    <w:rsid w:val="613A5780"/>
    <w:rsid w:val="614B65E7"/>
    <w:rsid w:val="61857571"/>
    <w:rsid w:val="61C509EF"/>
    <w:rsid w:val="622A5374"/>
    <w:rsid w:val="626553E2"/>
    <w:rsid w:val="62677AEB"/>
    <w:rsid w:val="62724F8A"/>
    <w:rsid w:val="628B522D"/>
    <w:rsid w:val="62AC2F86"/>
    <w:rsid w:val="62AC3137"/>
    <w:rsid w:val="62B41C14"/>
    <w:rsid w:val="630B23B3"/>
    <w:rsid w:val="6311718D"/>
    <w:rsid w:val="634D4732"/>
    <w:rsid w:val="63755BAF"/>
    <w:rsid w:val="63833AFA"/>
    <w:rsid w:val="639D7DDE"/>
    <w:rsid w:val="63BA00F0"/>
    <w:rsid w:val="642B1E1A"/>
    <w:rsid w:val="644B4FDE"/>
    <w:rsid w:val="64761AC6"/>
    <w:rsid w:val="64965B27"/>
    <w:rsid w:val="65546AC5"/>
    <w:rsid w:val="65683A20"/>
    <w:rsid w:val="657D73AE"/>
    <w:rsid w:val="658F7567"/>
    <w:rsid w:val="65B37FCB"/>
    <w:rsid w:val="65C2367C"/>
    <w:rsid w:val="65CF193F"/>
    <w:rsid w:val="66242C59"/>
    <w:rsid w:val="666B01E2"/>
    <w:rsid w:val="66722503"/>
    <w:rsid w:val="67112798"/>
    <w:rsid w:val="672745AB"/>
    <w:rsid w:val="67294DBC"/>
    <w:rsid w:val="67396254"/>
    <w:rsid w:val="6740622C"/>
    <w:rsid w:val="67654B79"/>
    <w:rsid w:val="67BB2629"/>
    <w:rsid w:val="67E13BE7"/>
    <w:rsid w:val="67F166FC"/>
    <w:rsid w:val="68113DB7"/>
    <w:rsid w:val="68274FC0"/>
    <w:rsid w:val="684033F3"/>
    <w:rsid w:val="68407BAD"/>
    <w:rsid w:val="68573EF1"/>
    <w:rsid w:val="685D0847"/>
    <w:rsid w:val="689214AD"/>
    <w:rsid w:val="689D0E3D"/>
    <w:rsid w:val="68A905B2"/>
    <w:rsid w:val="68B20870"/>
    <w:rsid w:val="68C87022"/>
    <w:rsid w:val="68D952E0"/>
    <w:rsid w:val="68ED63F5"/>
    <w:rsid w:val="690D4A43"/>
    <w:rsid w:val="691356CA"/>
    <w:rsid w:val="695A1777"/>
    <w:rsid w:val="69A33F4A"/>
    <w:rsid w:val="69D005A4"/>
    <w:rsid w:val="69F957F7"/>
    <w:rsid w:val="6A037A12"/>
    <w:rsid w:val="6A1939FA"/>
    <w:rsid w:val="6A231A54"/>
    <w:rsid w:val="6A2857C4"/>
    <w:rsid w:val="6A3E62BD"/>
    <w:rsid w:val="6A6E54BD"/>
    <w:rsid w:val="6A76342F"/>
    <w:rsid w:val="6AA1047E"/>
    <w:rsid w:val="6AEB67B5"/>
    <w:rsid w:val="6BA92F59"/>
    <w:rsid w:val="6C021A04"/>
    <w:rsid w:val="6C181891"/>
    <w:rsid w:val="6C2B0AB3"/>
    <w:rsid w:val="6C3921A1"/>
    <w:rsid w:val="6C9F40A6"/>
    <w:rsid w:val="6CA80E12"/>
    <w:rsid w:val="6CA94545"/>
    <w:rsid w:val="6CAD7FCB"/>
    <w:rsid w:val="6CCA0E51"/>
    <w:rsid w:val="6CE016B3"/>
    <w:rsid w:val="6CF27A15"/>
    <w:rsid w:val="6D1E3AB9"/>
    <w:rsid w:val="6D2803B7"/>
    <w:rsid w:val="6D397C8A"/>
    <w:rsid w:val="6D665CD8"/>
    <w:rsid w:val="6D9A0C63"/>
    <w:rsid w:val="6DA45FC4"/>
    <w:rsid w:val="6DA84B4A"/>
    <w:rsid w:val="6DEB442E"/>
    <w:rsid w:val="6DEC3A21"/>
    <w:rsid w:val="6E3D49FF"/>
    <w:rsid w:val="6E9462FA"/>
    <w:rsid w:val="6EA65260"/>
    <w:rsid w:val="6EE31630"/>
    <w:rsid w:val="6EF1517D"/>
    <w:rsid w:val="6F120D08"/>
    <w:rsid w:val="6F1760FC"/>
    <w:rsid w:val="6F2D2A57"/>
    <w:rsid w:val="6F3F32A5"/>
    <w:rsid w:val="6FAF2B62"/>
    <w:rsid w:val="6FBB713D"/>
    <w:rsid w:val="702C6ECC"/>
    <w:rsid w:val="705930A0"/>
    <w:rsid w:val="70C27399"/>
    <w:rsid w:val="70D64CCE"/>
    <w:rsid w:val="70E615F8"/>
    <w:rsid w:val="70E82034"/>
    <w:rsid w:val="71016495"/>
    <w:rsid w:val="71136C75"/>
    <w:rsid w:val="71186A5E"/>
    <w:rsid w:val="711D0B33"/>
    <w:rsid w:val="712063D2"/>
    <w:rsid w:val="71663046"/>
    <w:rsid w:val="716704D0"/>
    <w:rsid w:val="71694A7F"/>
    <w:rsid w:val="71A9269C"/>
    <w:rsid w:val="71BA4B1B"/>
    <w:rsid w:val="71D535B4"/>
    <w:rsid w:val="71DA18DE"/>
    <w:rsid w:val="71ED392C"/>
    <w:rsid w:val="72207646"/>
    <w:rsid w:val="724463A9"/>
    <w:rsid w:val="726F4D8C"/>
    <w:rsid w:val="72A25444"/>
    <w:rsid w:val="72C808B8"/>
    <w:rsid w:val="7307042D"/>
    <w:rsid w:val="73073A5C"/>
    <w:rsid w:val="73135945"/>
    <w:rsid w:val="734E350C"/>
    <w:rsid w:val="735C0031"/>
    <w:rsid w:val="735D3481"/>
    <w:rsid w:val="73801492"/>
    <w:rsid w:val="73A74C51"/>
    <w:rsid w:val="73EC1932"/>
    <w:rsid w:val="73FE46D8"/>
    <w:rsid w:val="743A20A3"/>
    <w:rsid w:val="744F754B"/>
    <w:rsid w:val="74553079"/>
    <w:rsid w:val="74606DFD"/>
    <w:rsid w:val="74665964"/>
    <w:rsid w:val="747307E6"/>
    <w:rsid w:val="749A25DA"/>
    <w:rsid w:val="74AC158A"/>
    <w:rsid w:val="758E556E"/>
    <w:rsid w:val="75B96F65"/>
    <w:rsid w:val="75C5490E"/>
    <w:rsid w:val="75CA0D8E"/>
    <w:rsid w:val="75CD416C"/>
    <w:rsid w:val="76066AFC"/>
    <w:rsid w:val="76436589"/>
    <w:rsid w:val="76550898"/>
    <w:rsid w:val="766125ED"/>
    <w:rsid w:val="769675B3"/>
    <w:rsid w:val="76AC0F4A"/>
    <w:rsid w:val="76C45AD4"/>
    <w:rsid w:val="76D03941"/>
    <w:rsid w:val="76EA340A"/>
    <w:rsid w:val="77430B54"/>
    <w:rsid w:val="77453F2A"/>
    <w:rsid w:val="77493DBF"/>
    <w:rsid w:val="776F142F"/>
    <w:rsid w:val="7775373C"/>
    <w:rsid w:val="77764453"/>
    <w:rsid w:val="778077AC"/>
    <w:rsid w:val="77A4145A"/>
    <w:rsid w:val="77BA3ED8"/>
    <w:rsid w:val="780D2B1E"/>
    <w:rsid w:val="78264626"/>
    <w:rsid w:val="78465E6B"/>
    <w:rsid w:val="784B739A"/>
    <w:rsid w:val="784F5DC3"/>
    <w:rsid w:val="7866334B"/>
    <w:rsid w:val="786A26F5"/>
    <w:rsid w:val="78862C04"/>
    <w:rsid w:val="78B06CD4"/>
    <w:rsid w:val="78D07586"/>
    <w:rsid w:val="78E8555A"/>
    <w:rsid w:val="78F34D92"/>
    <w:rsid w:val="790B33ED"/>
    <w:rsid w:val="793E2360"/>
    <w:rsid w:val="794A0FB9"/>
    <w:rsid w:val="794C3C2F"/>
    <w:rsid w:val="79555989"/>
    <w:rsid w:val="79707F54"/>
    <w:rsid w:val="79FE3DF4"/>
    <w:rsid w:val="7A027349"/>
    <w:rsid w:val="7A187168"/>
    <w:rsid w:val="7A271DB5"/>
    <w:rsid w:val="7A8613D0"/>
    <w:rsid w:val="7AA5191B"/>
    <w:rsid w:val="7AB12543"/>
    <w:rsid w:val="7AE52AA5"/>
    <w:rsid w:val="7B096F3C"/>
    <w:rsid w:val="7B154737"/>
    <w:rsid w:val="7B162B54"/>
    <w:rsid w:val="7B4879D0"/>
    <w:rsid w:val="7B565CFE"/>
    <w:rsid w:val="7B587545"/>
    <w:rsid w:val="7B6A560A"/>
    <w:rsid w:val="7B8D565B"/>
    <w:rsid w:val="7BD40DE4"/>
    <w:rsid w:val="7BF0668B"/>
    <w:rsid w:val="7BF3423C"/>
    <w:rsid w:val="7C1054D5"/>
    <w:rsid w:val="7C190E18"/>
    <w:rsid w:val="7C2050B5"/>
    <w:rsid w:val="7C46227D"/>
    <w:rsid w:val="7C782AA3"/>
    <w:rsid w:val="7C9D1C2F"/>
    <w:rsid w:val="7CC737C3"/>
    <w:rsid w:val="7CF428ED"/>
    <w:rsid w:val="7D1018A5"/>
    <w:rsid w:val="7DB65A85"/>
    <w:rsid w:val="7DB7769D"/>
    <w:rsid w:val="7DD76212"/>
    <w:rsid w:val="7DE2624F"/>
    <w:rsid w:val="7DFB44D3"/>
    <w:rsid w:val="7E586B81"/>
    <w:rsid w:val="7E6E3473"/>
    <w:rsid w:val="7E74636F"/>
    <w:rsid w:val="7EB56DF2"/>
    <w:rsid w:val="7EB67193"/>
    <w:rsid w:val="7EC76AA6"/>
    <w:rsid w:val="7F522CD5"/>
    <w:rsid w:val="7F9A730C"/>
    <w:rsid w:val="7FCA0733"/>
    <w:rsid w:val="7FDF0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3">
    <w:name w:val="heading 1"/>
    <w:basedOn w:val="4"/>
    <w:next w:val="4"/>
    <w:link w:val="31"/>
    <w:qFormat/>
    <w:uiPriority w:val="0"/>
    <w:pPr>
      <w:numPr>
        <w:ilvl w:val="0"/>
        <w:numId w:val="1"/>
      </w:numPr>
      <w:spacing w:before="120" w:after="60"/>
      <w:ind w:left="0" w:firstLine="200"/>
      <w:jc w:val="left"/>
      <w:outlineLvl w:val="0"/>
    </w:pPr>
    <w:rPr>
      <w:rFonts w:eastAsia="黑体"/>
      <w:bCs/>
      <w:kern w:val="44"/>
      <w:sz w:val="32"/>
      <w:szCs w:val="44"/>
    </w:rPr>
  </w:style>
  <w:style w:type="paragraph" w:styleId="5">
    <w:name w:val="heading 2"/>
    <w:basedOn w:val="4"/>
    <w:next w:val="4"/>
    <w:link w:val="32"/>
    <w:qFormat/>
    <w:uiPriority w:val="1"/>
    <w:pPr>
      <w:keepNext/>
      <w:keepLines/>
      <w:numPr>
        <w:ilvl w:val="1"/>
        <w:numId w:val="1"/>
      </w:numPr>
      <w:spacing w:before="120" w:after="60"/>
      <w:ind w:left="0" w:firstLine="200"/>
      <w:outlineLvl w:val="1"/>
    </w:pPr>
    <w:rPr>
      <w:rFonts w:cstheme="majorBidi"/>
      <w:b/>
      <w:bCs/>
      <w:szCs w:val="32"/>
    </w:rPr>
  </w:style>
  <w:style w:type="paragraph" w:styleId="6">
    <w:name w:val="heading 3"/>
    <w:basedOn w:val="1"/>
    <w:next w:val="1"/>
    <w:link w:val="33"/>
    <w:qFormat/>
    <w:uiPriority w:val="2"/>
    <w:pPr>
      <w:keepNext/>
      <w:keepLines/>
      <w:numPr>
        <w:ilvl w:val="2"/>
        <w:numId w:val="1"/>
      </w:numPr>
      <w:spacing w:before="120" w:after="60"/>
      <w:ind w:left="0" w:firstLine="200"/>
      <w:outlineLvl w:val="2"/>
    </w:pPr>
    <w:rPr>
      <w:b/>
      <w:bCs/>
      <w:szCs w:val="32"/>
    </w:rPr>
  </w:style>
  <w:style w:type="paragraph" w:styleId="7">
    <w:name w:val="heading 4"/>
    <w:basedOn w:val="4"/>
    <w:next w:val="1"/>
    <w:link w:val="34"/>
    <w:qFormat/>
    <w:uiPriority w:val="3"/>
    <w:pPr>
      <w:keepNext/>
      <w:keepLines/>
      <w:numPr>
        <w:ilvl w:val="3"/>
        <w:numId w:val="1"/>
      </w:numPr>
      <w:spacing w:before="120" w:after="60"/>
      <w:ind w:left="0" w:firstLine="200"/>
      <w:outlineLvl w:val="3"/>
    </w:pPr>
    <w:rPr>
      <w:rFonts w:cstheme="majorBidi"/>
      <w:b/>
      <w:bCs/>
    </w:rPr>
  </w:style>
  <w:style w:type="paragraph" w:styleId="8">
    <w:name w:val="heading 5"/>
    <w:basedOn w:val="4"/>
    <w:next w:val="4"/>
    <w:link w:val="35"/>
    <w:unhideWhenUsed/>
    <w:qFormat/>
    <w:uiPriority w:val="9"/>
    <w:pPr>
      <w:keepNext/>
      <w:keepLines/>
      <w:numPr>
        <w:ilvl w:val="4"/>
        <w:numId w:val="1"/>
      </w:numPr>
      <w:spacing w:before="120" w:after="60"/>
      <w:ind w:firstLine="0" w:firstLineChars="0"/>
      <w:outlineLvl w:val="4"/>
    </w:pPr>
    <w:rPr>
      <w:b/>
      <w:bCs/>
    </w:rPr>
  </w:style>
  <w:style w:type="character" w:default="1" w:styleId="21">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 w:type="paragraph" w:customStyle="1" w:styleId="4">
    <w:name w:val="闻政正文"/>
    <w:basedOn w:val="1"/>
    <w:link w:val="30"/>
    <w:qFormat/>
    <w:uiPriority w:val="0"/>
    <w:pPr>
      <w:spacing w:line="500" w:lineRule="exact"/>
      <w:ind w:firstLine="200" w:firstLineChars="200"/>
    </w:pPr>
    <w:rPr>
      <w:rFonts w:ascii="Times New Roman" w:hAnsi="Times New Roman" w:eastAsia="仿宋_GB2312" w:cs="Times New Roman"/>
      <w:kern w:val="0"/>
      <w:sz w:val="28"/>
      <w:szCs w:val="28"/>
      <w:lang w:val="zh-CN"/>
    </w:rPr>
  </w:style>
  <w:style w:type="paragraph" w:styleId="9">
    <w:name w:val="annotation subject"/>
    <w:basedOn w:val="10"/>
    <w:next w:val="10"/>
    <w:link w:val="41"/>
    <w:unhideWhenUsed/>
    <w:qFormat/>
    <w:uiPriority w:val="99"/>
    <w:rPr>
      <w:b/>
      <w:bCs/>
    </w:rPr>
  </w:style>
  <w:style w:type="paragraph" w:styleId="10">
    <w:name w:val="annotation text"/>
    <w:basedOn w:val="1"/>
    <w:link w:val="36"/>
    <w:unhideWhenUsed/>
    <w:qFormat/>
    <w:uiPriority w:val="99"/>
    <w:pPr>
      <w:jc w:val="left"/>
    </w:p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Body Text"/>
    <w:basedOn w:val="1"/>
    <w:link w:val="29"/>
    <w:unhideWhenUsed/>
    <w:qFormat/>
    <w:uiPriority w:val="99"/>
    <w:pPr>
      <w:tabs>
        <w:tab w:val="left" w:pos="0"/>
      </w:tabs>
    </w:pPr>
    <w:rPr>
      <w:rFonts w:ascii="宋体" w:hAnsi="宋体" w:eastAsia="仿宋_GB2312"/>
      <w:color w:val="000000"/>
      <w:sz w:val="24"/>
    </w:rPr>
  </w:style>
  <w:style w:type="paragraph" w:styleId="13">
    <w:name w:val="toc 3"/>
    <w:basedOn w:val="1"/>
    <w:next w:val="1"/>
    <w:unhideWhenUsed/>
    <w:qFormat/>
    <w:uiPriority w:val="39"/>
    <w:pPr>
      <w:ind w:left="840" w:leftChars="400"/>
    </w:p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spacing w:line="460" w:lineRule="exact"/>
    </w:pPr>
    <w:rPr>
      <w:b/>
    </w:rPr>
  </w:style>
  <w:style w:type="paragraph" w:styleId="18">
    <w:name w:val="footnote text"/>
    <w:basedOn w:val="1"/>
    <w:link w:val="40"/>
    <w:qFormat/>
    <w:uiPriority w:val="0"/>
    <w:pPr>
      <w:snapToGrid w:val="0"/>
      <w:jc w:val="left"/>
    </w:pPr>
    <w:rPr>
      <w:rFonts w:ascii="Times New Roman" w:hAnsi="Times New Roman" w:eastAsia="仿宋_GB2312"/>
      <w:sz w:val="18"/>
      <w:szCs w:val="18"/>
    </w:rPr>
  </w:style>
  <w:style w:type="paragraph" w:styleId="19">
    <w:name w:val="toc 2"/>
    <w:basedOn w:val="4"/>
    <w:next w:val="4"/>
    <w:unhideWhenUsed/>
    <w:qFormat/>
    <w:uiPriority w:val="39"/>
    <w:pPr>
      <w:tabs>
        <w:tab w:val="right" w:leader="dot" w:pos="8296"/>
      </w:tabs>
      <w:spacing w:line="460" w:lineRule="exact"/>
      <w:ind w:left="200" w:leftChars="200" w:firstLine="0" w:firstLineChars="0"/>
    </w:pPr>
  </w:style>
  <w:style w:type="paragraph" w:styleId="20">
    <w:name w:val="Normal (Web)"/>
    <w:basedOn w:val="1"/>
    <w:qFormat/>
    <w:uiPriority w:val="99"/>
    <w:rPr>
      <w:rFonts w:ascii="Calibri" w:hAnsi="Calibri" w:eastAsia="宋体"/>
      <w:sz w:val="24"/>
      <w:szCs w:val="22"/>
    </w:r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basedOn w:val="21"/>
    <w:unhideWhenUsed/>
    <w:qFormat/>
    <w:uiPriority w:val="99"/>
    <w:rPr>
      <w:color w:val="0563C1" w:themeColor="hyperlink"/>
      <w:u w:val="single"/>
    </w:rPr>
  </w:style>
  <w:style w:type="character" w:styleId="25">
    <w:name w:val="annotation reference"/>
    <w:basedOn w:val="21"/>
    <w:unhideWhenUsed/>
    <w:qFormat/>
    <w:uiPriority w:val="99"/>
    <w:rPr>
      <w:sz w:val="21"/>
      <w:szCs w:val="21"/>
    </w:rPr>
  </w:style>
  <w:style w:type="character" w:styleId="26">
    <w:name w:val="footnote reference"/>
    <w:qFormat/>
    <w:uiPriority w:val="0"/>
    <w:rPr>
      <w:vertAlign w:val="superscript"/>
    </w:rPr>
  </w:style>
  <w:style w:type="table" w:styleId="28">
    <w:name w:val="Table Grid"/>
    <w:basedOn w:val="27"/>
    <w:qFormat/>
    <w:uiPriority w:val="3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tblHeader/>
    </w:trPr>
    <w:tcPr>
      <w:vAlign w:val="center"/>
    </w:tcPr>
  </w:style>
  <w:style w:type="character" w:customStyle="1" w:styleId="29">
    <w:name w:val="正文文本 Char"/>
    <w:basedOn w:val="21"/>
    <w:link w:val="12"/>
    <w:qFormat/>
    <w:uiPriority w:val="99"/>
    <w:rPr>
      <w:rFonts w:ascii="宋体" w:hAnsi="宋体" w:eastAsia="仿宋_GB2312"/>
      <w:color w:val="000000"/>
      <w:kern w:val="2"/>
      <w:sz w:val="24"/>
      <w:szCs w:val="21"/>
    </w:rPr>
  </w:style>
  <w:style w:type="character" w:customStyle="1" w:styleId="30">
    <w:name w:val="闻政正文 Char"/>
    <w:link w:val="4"/>
    <w:qFormat/>
    <w:uiPriority w:val="0"/>
    <w:rPr>
      <w:rFonts w:ascii="Times New Roman" w:hAnsi="Times New Roman" w:eastAsia="仿宋_GB2312" w:cs="Times New Roman"/>
      <w:kern w:val="0"/>
      <w:sz w:val="28"/>
      <w:szCs w:val="28"/>
      <w:lang w:val="zh-CN" w:eastAsia="zh-CN"/>
    </w:rPr>
  </w:style>
  <w:style w:type="character" w:customStyle="1" w:styleId="31">
    <w:name w:val="标题 1 Char"/>
    <w:basedOn w:val="21"/>
    <w:link w:val="3"/>
    <w:qFormat/>
    <w:uiPriority w:val="0"/>
    <w:rPr>
      <w:rFonts w:ascii="Times New Roman" w:hAnsi="Times New Roman" w:eastAsia="黑体" w:cs="Times New Roman"/>
      <w:bCs/>
      <w:kern w:val="44"/>
      <w:sz w:val="32"/>
      <w:szCs w:val="44"/>
      <w:lang w:val="zh-CN" w:eastAsia="zh-CN"/>
    </w:rPr>
  </w:style>
  <w:style w:type="character" w:customStyle="1" w:styleId="32">
    <w:name w:val="标题 2 Char"/>
    <w:basedOn w:val="21"/>
    <w:link w:val="5"/>
    <w:qFormat/>
    <w:uiPriority w:val="1"/>
    <w:rPr>
      <w:rFonts w:ascii="Times New Roman" w:hAnsi="Times New Roman" w:eastAsia="仿宋_GB2312" w:cstheme="majorBidi"/>
      <w:b/>
      <w:bCs/>
      <w:kern w:val="0"/>
      <w:sz w:val="28"/>
      <w:szCs w:val="32"/>
      <w:lang w:val="zh-CN" w:eastAsia="zh-CN"/>
    </w:rPr>
  </w:style>
  <w:style w:type="character" w:customStyle="1" w:styleId="33">
    <w:name w:val="标题 3 Char"/>
    <w:basedOn w:val="21"/>
    <w:link w:val="6"/>
    <w:qFormat/>
    <w:uiPriority w:val="2"/>
    <w:rPr>
      <w:rFonts w:ascii="Times New Roman" w:hAnsi="Times New Roman" w:eastAsia="仿宋_GB2312" w:cs="Times New Roman"/>
      <w:b/>
      <w:bCs/>
      <w:kern w:val="0"/>
      <w:sz w:val="28"/>
      <w:szCs w:val="32"/>
      <w:lang w:val="zh-CN" w:eastAsia="zh-CN"/>
    </w:rPr>
  </w:style>
  <w:style w:type="character" w:customStyle="1" w:styleId="34">
    <w:name w:val="标题 4 Char"/>
    <w:basedOn w:val="21"/>
    <w:link w:val="7"/>
    <w:qFormat/>
    <w:uiPriority w:val="3"/>
    <w:rPr>
      <w:rFonts w:ascii="Times New Roman" w:hAnsi="Times New Roman" w:eastAsia="仿宋_GB2312" w:cstheme="majorBidi"/>
      <w:b/>
      <w:bCs/>
      <w:kern w:val="0"/>
      <w:sz w:val="28"/>
      <w:szCs w:val="28"/>
      <w:lang w:val="zh-CN" w:eastAsia="zh-CN"/>
    </w:rPr>
  </w:style>
  <w:style w:type="character" w:customStyle="1" w:styleId="35">
    <w:name w:val="标题 5 Char"/>
    <w:basedOn w:val="21"/>
    <w:link w:val="8"/>
    <w:qFormat/>
    <w:uiPriority w:val="9"/>
    <w:rPr>
      <w:rFonts w:ascii="Times New Roman" w:hAnsi="Times New Roman" w:eastAsia="仿宋_GB2312" w:cs="Times New Roman"/>
      <w:b/>
      <w:bCs/>
      <w:kern w:val="0"/>
      <w:sz w:val="28"/>
      <w:szCs w:val="28"/>
      <w:lang w:val="zh-CN" w:eastAsia="zh-CN"/>
    </w:rPr>
  </w:style>
  <w:style w:type="character" w:customStyle="1" w:styleId="36">
    <w:name w:val="批注文字 Char"/>
    <w:basedOn w:val="21"/>
    <w:link w:val="10"/>
    <w:qFormat/>
    <w:uiPriority w:val="99"/>
  </w:style>
  <w:style w:type="character" w:customStyle="1" w:styleId="37">
    <w:name w:val="批注框文本 Char"/>
    <w:basedOn w:val="21"/>
    <w:link w:val="14"/>
    <w:semiHidden/>
    <w:qFormat/>
    <w:uiPriority w:val="99"/>
    <w:rPr>
      <w:sz w:val="18"/>
      <w:szCs w:val="18"/>
    </w:rPr>
  </w:style>
  <w:style w:type="character" w:customStyle="1" w:styleId="38">
    <w:name w:val="页脚 Char"/>
    <w:basedOn w:val="21"/>
    <w:link w:val="15"/>
    <w:qFormat/>
    <w:uiPriority w:val="99"/>
    <w:rPr>
      <w:rFonts w:ascii="Calibri" w:hAnsi="Calibri" w:eastAsia="宋体" w:cs="Times New Roman"/>
      <w:sz w:val="18"/>
      <w:szCs w:val="18"/>
    </w:rPr>
  </w:style>
  <w:style w:type="character" w:customStyle="1" w:styleId="39">
    <w:name w:val="页眉 Char"/>
    <w:basedOn w:val="21"/>
    <w:link w:val="16"/>
    <w:qFormat/>
    <w:uiPriority w:val="99"/>
    <w:rPr>
      <w:sz w:val="18"/>
      <w:szCs w:val="18"/>
    </w:rPr>
  </w:style>
  <w:style w:type="character" w:customStyle="1" w:styleId="40">
    <w:name w:val="脚注文本 Char"/>
    <w:basedOn w:val="21"/>
    <w:link w:val="18"/>
    <w:qFormat/>
    <w:uiPriority w:val="0"/>
    <w:rPr>
      <w:rFonts w:ascii="Times New Roman" w:hAnsi="Times New Roman" w:eastAsia="仿宋_GB2312"/>
      <w:sz w:val="18"/>
      <w:szCs w:val="18"/>
    </w:rPr>
  </w:style>
  <w:style w:type="character" w:customStyle="1" w:styleId="41">
    <w:name w:val="批注主题 Char"/>
    <w:basedOn w:val="36"/>
    <w:link w:val="9"/>
    <w:semiHidden/>
    <w:qFormat/>
    <w:uiPriority w:val="99"/>
    <w:rPr>
      <w:b/>
      <w:bCs/>
    </w:rPr>
  </w:style>
  <w:style w:type="paragraph" w:customStyle="1" w:styleId="42">
    <w:name w:val="TOC 标题1"/>
    <w:basedOn w:val="3"/>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bCs w:val="0"/>
      <w:color w:val="2F5496" w:themeColor="accent1" w:themeShade="BF"/>
      <w:kern w:val="0"/>
      <w:szCs w:val="32"/>
    </w:rPr>
  </w:style>
  <w:style w:type="paragraph" w:customStyle="1" w:styleId="43">
    <w:name w:val="闻政封面标题"/>
    <w:basedOn w:val="1"/>
    <w:next w:val="44"/>
    <w:qFormat/>
    <w:uiPriority w:val="0"/>
    <w:pPr>
      <w:spacing w:before="480" w:after="360"/>
      <w:jc w:val="center"/>
    </w:pPr>
    <w:rPr>
      <w:rFonts w:ascii="Times New Roman" w:hAnsi="Times New Roman" w:eastAsia="黑体" w:cs="Times New Roman"/>
      <w:b/>
      <w:snapToGrid w:val="0"/>
      <w:sz w:val="32"/>
      <w:szCs w:val="24"/>
    </w:rPr>
  </w:style>
  <w:style w:type="paragraph" w:customStyle="1" w:styleId="44">
    <w:name w:val="闻政封面项目信息"/>
    <w:basedOn w:val="1"/>
    <w:next w:val="45"/>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45">
    <w:name w:val="闻政封面完成时间"/>
    <w:basedOn w:val="44"/>
    <w:qFormat/>
    <w:uiPriority w:val="0"/>
    <w:pPr>
      <w:ind w:left="0" w:leftChars="0"/>
      <w:jc w:val="center"/>
    </w:pPr>
    <w:rPr>
      <w:b/>
    </w:rPr>
  </w:style>
  <w:style w:type="paragraph" w:customStyle="1" w:styleId="46">
    <w:name w:val="闻政页码"/>
    <w:qFormat/>
    <w:uiPriority w:val="6"/>
    <w:pPr>
      <w:jc w:val="center"/>
    </w:pPr>
    <w:rPr>
      <w:rFonts w:ascii="Times New Roman" w:hAnsi="Times New Roman" w:eastAsia="Times New Roman" w:cs="Times New Roman"/>
      <w:sz w:val="21"/>
      <w:szCs w:val="28"/>
      <w:lang w:val="en-US" w:eastAsia="zh-CN" w:bidi="ar-SA"/>
    </w:rPr>
  </w:style>
  <w:style w:type="paragraph" w:customStyle="1" w:styleId="47">
    <w:name w:val="闻政摘要标题"/>
    <w:basedOn w:val="1"/>
    <w:qFormat/>
    <w:uiPriority w:val="2"/>
    <w:pPr>
      <w:spacing w:before="480" w:after="360"/>
      <w:jc w:val="center"/>
      <w:outlineLvl w:val="0"/>
    </w:pPr>
    <w:rPr>
      <w:rFonts w:ascii="Times New Roman" w:hAnsi="Times New Roman" w:eastAsia="黑体" w:cs="Times New Roman"/>
      <w:b/>
      <w:snapToGrid w:val="0"/>
      <w:sz w:val="32"/>
      <w:szCs w:val="24"/>
    </w:rPr>
  </w:style>
  <w:style w:type="paragraph" w:customStyle="1" w:styleId="48">
    <w:name w:val="闻政图（表）注"/>
    <w:basedOn w:val="1"/>
    <w:link w:val="49"/>
    <w:qFormat/>
    <w:uiPriority w:val="5"/>
    <w:pPr>
      <w:spacing w:before="120"/>
    </w:pPr>
    <w:rPr>
      <w:rFonts w:ascii="Times New Roman" w:hAnsi="Times New Roman" w:eastAsia="仿宋_GB2312" w:cs="Arial"/>
      <w:kern w:val="0"/>
    </w:rPr>
  </w:style>
  <w:style w:type="character" w:customStyle="1" w:styleId="49">
    <w:name w:val="闻政图（表）注 Char"/>
    <w:link w:val="48"/>
    <w:qFormat/>
    <w:uiPriority w:val="5"/>
    <w:rPr>
      <w:rFonts w:ascii="Times New Roman" w:hAnsi="Times New Roman" w:eastAsia="仿宋_GB2312" w:cs="Arial"/>
      <w:kern w:val="0"/>
    </w:rPr>
  </w:style>
  <w:style w:type="paragraph" w:customStyle="1" w:styleId="50">
    <w:name w:val="闻政图表名"/>
    <w:basedOn w:val="1"/>
    <w:link w:val="51"/>
    <w:qFormat/>
    <w:uiPriority w:val="4"/>
    <w:pPr>
      <w:spacing w:before="60" w:after="60"/>
      <w:jc w:val="center"/>
    </w:pPr>
    <w:rPr>
      <w:rFonts w:ascii="Times New Roman" w:hAnsi="Times New Roman" w:eastAsia="仿宋_GB2312" w:cs="Times New Roman"/>
      <w:b/>
      <w:kern w:val="0"/>
      <w:sz w:val="24"/>
      <w:szCs w:val="28"/>
    </w:rPr>
  </w:style>
  <w:style w:type="character" w:customStyle="1" w:styleId="51">
    <w:name w:val="闻政图表名 字符"/>
    <w:link w:val="50"/>
    <w:qFormat/>
    <w:uiPriority w:val="4"/>
    <w:rPr>
      <w:rFonts w:ascii="Times New Roman" w:hAnsi="Times New Roman" w:eastAsia="仿宋_GB2312" w:cs="Times New Roman"/>
      <w:b/>
      <w:kern w:val="0"/>
      <w:sz w:val="24"/>
      <w:szCs w:val="28"/>
    </w:rPr>
  </w:style>
  <w:style w:type="paragraph" w:customStyle="1" w:styleId="52">
    <w:name w:val="闻政备注类"/>
    <w:basedOn w:val="4"/>
    <w:qFormat/>
    <w:uiPriority w:val="5"/>
    <w:pPr>
      <w:spacing w:line="240" w:lineRule="auto"/>
      <w:jc w:val="left"/>
    </w:pPr>
    <w:rPr>
      <w:rFonts w:cs="宋体"/>
      <w:sz w:val="21"/>
    </w:rPr>
  </w:style>
  <w:style w:type="paragraph" w:customStyle="1" w:styleId="53">
    <w:name w:val="闻政附件标题"/>
    <w:basedOn w:val="4"/>
    <w:qFormat/>
    <w:uiPriority w:val="5"/>
    <w:pPr>
      <w:numPr>
        <w:ilvl w:val="5"/>
        <w:numId w:val="1"/>
      </w:numPr>
      <w:spacing w:before="120" w:after="60" w:line="240" w:lineRule="auto"/>
      <w:ind w:firstLineChars="0"/>
      <w:outlineLvl w:val="0"/>
    </w:pPr>
    <w:rPr>
      <w:rFonts w:eastAsia="黑体"/>
      <w:b/>
      <w:sz w:val="32"/>
    </w:rPr>
  </w:style>
  <w:style w:type="paragraph" w:customStyle="1" w:styleId="54">
    <w:name w:val="闻政附件正文"/>
    <w:basedOn w:val="4"/>
    <w:qFormat/>
    <w:uiPriority w:val="99"/>
    <w:rPr>
      <w:sz w:val="24"/>
    </w:rPr>
  </w:style>
  <w:style w:type="paragraph" w:customStyle="1" w:styleId="55">
    <w:name w:val="闻政附件报告名"/>
    <w:basedOn w:val="4"/>
    <w:qFormat/>
    <w:uiPriority w:val="9"/>
    <w:pPr>
      <w:spacing w:before="120" w:after="60"/>
      <w:ind w:firstLine="0" w:firstLineChars="0"/>
      <w:jc w:val="center"/>
    </w:pPr>
    <w:rPr>
      <w:b/>
    </w:rPr>
  </w:style>
  <w:style w:type="paragraph" w:customStyle="1" w:styleId="56">
    <w:name w:val="闻政附件一级标题"/>
    <w:basedOn w:val="55"/>
    <w:next w:val="54"/>
    <w:qFormat/>
    <w:uiPriority w:val="6"/>
    <w:pPr>
      <w:ind w:firstLine="200" w:firstLineChars="200"/>
      <w:jc w:val="left"/>
    </w:pPr>
    <w:rPr>
      <w:rFonts w:cs="宋体"/>
    </w:rPr>
  </w:style>
  <w:style w:type="paragraph" w:customStyle="1" w:styleId="57">
    <w:name w:val="闻政附件二级标题"/>
    <w:basedOn w:val="56"/>
    <w:qFormat/>
    <w:uiPriority w:val="8"/>
    <w:rPr>
      <w:rFonts w:ascii="宋体" w:hAnsi="宋体" w:eastAsia="宋体"/>
    </w:rPr>
  </w:style>
  <w:style w:type="paragraph" w:customStyle="1" w:styleId="58">
    <w:name w:val="闻政附件三级标题"/>
    <w:basedOn w:val="57"/>
    <w:qFormat/>
    <w:uiPriority w:val="8"/>
    <w:rPr>
      <w:rFonts w:ascii="Times New Roman" w:hAnsi="Times New Roman" w:eastAsia="仿宋_GB2312"/>
    </w:rPr>
  </w:style>
  <w:style w:type="paragraph" w:customStyle="1" w:styleId="59">
    <w:name w:val="闻政附件四级标题"/>
    <w:basedOn w:val="58"/>
    <w:qFormat/>
    <w:uiPriority w:val="9"/>
    <w:pPr>
      <w:spacing w:before="0" w:after="0"/>
    </w:pPr>
  </w:style>
  <w:style w:type="paragraph" w:customStyle="1" w:styleId="60">
    <w:name w:val="闻政脚注"/>
    <w:basedOn w:val="4"/>
    <w:qFormat/>
    <w:uiPriority w:val="9"/>
    <w:pPr>
      <w:spacing w:line="400" w:lineRule="exact"/>
      <w:ind w:firstLine="0" w:firstLineChars="0"/>
    </w:pPr>
    <w:rPr>
      <w:sz w:val="18"/>
    </w:rPr>
  </w:style>
  <w:style w:type="paragraph" w:customStyle="1" w:styleId="61">
    <w:name w:val="闻政目录标题"/>
    <w:basedOn w:val="43"/>
    <w:qFormat/>
    <w:uiPriority w:val="1"/>
  </w:style>
  <w:style w:type="table" w:customStyle="1" w:styleId="62">
    <w:name w:val="网格型浅色1"/>
    <w:basedOn w:val="27"/>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63">
    <w:name w:val="无格式表格 11"/>
    <w:basedOn w:val="2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64">
    <w:name w:val="闻政表文字"/>
    <w:basedOn w:val="4"/>
    <w:link w:val="65"/>
    <w:qFormat/>
    <w:uiPriority w:val="5"/>
    <w:pPr>
      <w:widowControl/>
      <w:spacing w:line="320" w:lineRule="exact"/>
      <w:ind w:firstLine="0" w:firstLineChars="0"/>
      <w:jc w:val="center"/>
    </w:pPr>
    <w:rPr>
      <w:rFonts w:cs="宋体"/>
      <w:bCs/>
      <w:color w:val="000000"/>
      <w:sz w:val="22"/>
      <w:szCs w:val="22"/>
    </w:rPr>
  </w:style>
  <w:style w:type="character" w:customStyle="1" w:styleId="65">
    <w:name w:val="闻政表文字 字符"/>
    <w:basedOn w:val="30"/>
    <w:link w:val="64"/>
    <w:qFormat/>
    <w:uiPriority w:val="5"/>
    <w:rPr>
      <w:rFonts w:ascii="Times New Roman" w:hAnsi="Times New Roman" w:eastAsia="仿宋_GB2312" w:cs="宋体"/>
      <w:bCs/>
      <w:color w:val="000000"/>
      <w:kern w:val="0"/>
      <w:sz w:val="22"/>
      <w:szCs w:val="22"/>
      <w:lang w:val="zh-CN" w:eastAsia="zh-CN"/>
    </w:rPr>
  </w:style>
  <w:style w:type="paragraph" w:customStyle="1" w:styleId="66">
    <w:name w:val="正文-闻政"/>
    <w:link w:val="67"/>
    <w:qFormat/>
    <w:uiPriority w:val="0"/>
    <w:pPr>
      <w:spacing w:line="500" w:lineRule="exact"/>
      <w:ind w:firstLine="200" w:firstLineChars="200"/>
      <w:jc w:val="both"/>
    </w:pPr>
    <w:rPr>
      <w:rFonts w:ascii="Times New Roman" w:hAnsi="Times New Roman" w:eastAsia="仿宋_GB2312" w:cs="Times New Roman"/>
      <w:kern w:val="2"/>
      <w:sz w:val="28"/>
      <w:szCs w:val="22"/>
      <w:lang w:val="en-US" w:eastAsia="zh-CN" w:bidi="ar-SA"/>
    </w:rPr>
  </w:style>
  <w:style w:type="character" w:customStyle="1" w:styleId="67">
    <w:name w:val="正文-闻政 Char"/>
    <w:link w:val="66"/>
    <w:qFormat/>
    <w:uiPriority w:val="0"/>
    <w:rPr>
      <w:rFonts w:ascii="Times New Roman" w:hAnsi="Times New Roman" w:eastAsia="仿宋_GB2312" w:cs="Times New Roman"/>
      <w:kern w:val="2"/>
      <w:sz w:val="28"/>
      <w:szCs w:val="22"/>
      <w:lang w:val="en-US" w:eastAsia="zh-CN" w:bidi="ar-SA"/>
    </w:rPr>
  </w:style>
  <w:style w:type="paragraph" w:customStyle="1" w:styleId="68">
    <w:name w:val="闻政表"/>
    <w:basedOn w:val="1"/>
    <w:link w:val="69"/>
    <w:qFormat/>
    <w:uiPriority w:val="0"/>
    <w:pPr>
      <w:spacing w:before="60" w:after="60"/>
      <w:jc w:val="center"/>
    </w:pPr>
    <w:rPr>
      <w:rFonts w:eastAsia="仿宋_GB2312"/>
      <w:b/>
      <w:sz w:val="24"/>
      <w:szCs w:val="28"/>
    </w:rPr>
  </w:style>
  <w:style w:type="character" w:customStyle="1" w:styleId="69">
    <w:name w:val="闻政表 Char"/>
    <w:link w:val="68"/>
    <w:qFormat/>
    <w:uiPriority w:val="0"/>
    <w:rPr>
      <w:rFonts w:eastAsia="仿宋_GB2312"/>
      <w:b/>
      <w:kern w:val="2"/>
      <w:sz w:val="24"/>
      <w:szCs w:val="28"/>
    </w:rPr>
  </w:style>
  <w:style w:type="paragraph" w:customStyle="1" w:styleId="70">
    <w:name w:val="列出段落2"/>
    <w:basedOn w:val="1"/>
    <w:qFormat/>
    <w:uiPriority w:val="99"/>
    <w:pPr>
      <w:ind w:firstLine="420" w:firstLineChars="200"/>
    </w:pPr>
  </w:style>
  <w:style w:type="paragraph" w:customStyle="1" w:styleId="71">
    <w:name w:val="Char1"/>
    <w:basedOn w:val="1"/>
    <w:qFormat/>
    <w:uiPriority w:val="0"/>
    <w:pPr>
      <w:widowControl/>
      <w:spacing w:after="160" w:line="240" w:lineRule="exact"/>
      <w:jc w:val="left"/>
    </w:pPr>
    <w:rPr>
      <w:rFonts w:ascii="Times New Roman" w:hAnsi="Times New Roman" w:eastAsia="宋体" w:cs="Times New Roman"/>
      <w:sz w:val="32"/>
      <w:szCs w:val="20"/>
    </w:rPr>
  </w:style>
  <w:style w:type="paragraph" w:customStyle="1" w:styleId="72">
    <w:name w:val="p0"/>
    <w:basedOn w:val="1"/>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04-&#38395;&#25919;-&#26684;&#24335;&#27169;&#26495;-20190219-&#26356;&#26032;-v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3B3FE-9A15-4C20-ADA0-0E64F6FD659E}">
  <ds:schemaRefs/>
</ds:datastoreItem>
</file>

<file path=docProps/app.xml><?xml version="1.0" encoding="utf-8"?>
<Properties xmlns="http://schemas.openxmlformats.org/officeDocument/2006/extended-properties" xmlns:vt="http://schemas.openxmlformats.org/officeDocument/2006/docPropsVTypes">
  <Template>04-闻政-格式模板-20190219-更新-v3.dotm</Template>
  <Company>Lenovo</Company>
  <Pages>21</Pages>
  <Words>1533</Words>
  <Characters>8742</Characters>
  <Lines>72</Lines>
  <Paragraphs>20</Paragraphs>
  <ScaleCrop>false</ScaleCrop>
  <LinksUpToDate>false</LinksUpToDate>
  <CharactersWithSpaces>10255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2021-07-28T03:32:00Z</dcterms:created>
  <dc:creator>张恩华</dc:creator>
  <cp:lastModifiedBy>hp</cp:lastModifiedBy>
  <cp:lastPrinted>2021-07-28T08:12:00Z</cp:lastPrinted>
  <dcterms:modified xsi:type="dcterms:W3CDTF">2021-07-28T10:12:10Z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6BAAC251DCB04F6EB25EC413C4D4B689</vt:lpwstr>
  </property>
</Properties>
</file>