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pacing w:line="520" w:lineRule="exact"/>
        <w:rPr>
          <w:rFonts w:hint="default" w:ascii="Times New Roman" w:hAnsi="Times New Roman" w:eastAsia="宋体" w:cs="Times New Roman"/>
          <w:color w:val="auto"/>
          <w:highlight w:val="none"/>
        </w:rPr>
      </w:pPr>
    </w:p>
    <w:p>
      <w:pPr>
        <w:pStyle w:val="48"/>
        <w:spacing w:line="520" w:lineRule="exact"/>
        <w:rPr>
          <w:rFonts w:hint="default" w:ascii="Times New Roman" w:hAnsi="Times New Roman" w:eastAsia="宋体" w:cs="Times New Roman"/>
          <w:color w:val="auto"/>
          <w:highlight w:val="none"/>
        </w:rPr>
      </w:pPr>
    </w:p>
    <w:p>
      <w:pPr>
        <w:pStyle w:val="48"/>
        <w:spacing w:line="520" w:lineRule="exact"/>
        <w:rPr>
          <w:rFonts w:hint="default" w:ascii="Times New Roman" w:hAnsi="Times New Roman" w:eastAsia="宋体" w:cs="Times New Roman"/>
          <w:color w:val="auto"/>
          <w:highlight w:val="none"/>
        </w:rPr>
      </w:pPr>
    </w:p>
    <w:p>
      <w:pPr>
        <w:pStyle w:val="48"/>
        <w:spacing w:line="520" w:lineRule="exact"/>
        <w:rPr>
          <w:rFonts w:hint="default" w:ascii="Times New Roman" w:hAnsi="Times New Roman" w:eastAsia="宋体" w:cs="Times New Roman"/>
          <w:color w:val="auto"/>
          <w:highlight w:val="none"/>
        </w:rPr>
      </w:pPr>
    </w:p>
    <w:p>
      <w:pPr>
        <w:pStyle w:val="48"/>
        <w:spacing w:line="520" w:lineRule="exact"/>
        <w:rPr>
          <w:rFonts w:hint="default" w:ascii="Times New Roman" w:hAnsi="Times New Roman" w:eastAsia="宋体" w:cs="Times New Roman"/>
          <w:color w:val="auto"/>
          <w:highlight w:val="none"/>
        </w:rPr>
      </w:pPr>
    </w:p>
    <w:p>
      <w:pPr>
        <w:pStyle w:val="48"/>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宋体" w:cs="Times New Roman"/>
          <w:color w:val="auto"/>
          <w:highlight w:val="none"/>
        </w:rPr>
      </w:pPr>
    </w:p>
    <w:p>
      <w:pPr>
        <w:keepNext w:val="0"/>
        <w:keepLines w:val="0"/>
        <w:pageBreakBefore w:val="0"/>
        <w:widowControl/>
        <w:kinsoku/>
        <w:wordWrap/>
        <w:overflowPunct/>
        <w:topLinePunct w:val="0"/>
        <w:autoSpaceDE/>
        <w:autoSpaceDN/>
        <w:bidi w:val="0"/>
        <w:adjustRightInd/>
        <w:snapToGrid/>
        <w:spacing w:line="520" w:lineRule="exact"/>
        <w:ind w:left="879" w:hanging="879"/>
        <w:jc w:val="center"/>
        <w:textAlignment w:val="auto"/>
        <w:rPr>
          <w:rFonts w:hint="eastAsia" w:ascii="Times New Roman" w:hAnsi="Times New Roman" w:eastAsia="方正小标宋_GBK" w:cs="Times New Roman"/>
          <w:color w:val="auto"/>
          <w:kern w:val="0"/>
          <w:sz w:val="44"/>
          <w:szCs w:val="44"/>
          <w:highlight w:val="none"/>
          <w:lang w:eastAsia="zh-CN"/>
        </w:rPr>
      </w:pPr>
      <w:r>
        <w:rPr>
          <w:rFonts w:hint="eastAsia" w:ascii="Times New Roman" w:hAnsi="Times New Roman" w:eastAsia="方正小标宋_GBK" w:cs="Times New Roman"/>
          <w:color w:val="auto"/>
          <w:kern w:val="0"/>
          <w:sz w:val="44"/>
          <w:szCs w:val="44"/>
          <w:highlight w:val="none"/>
          <w:lang w:val="en-US" w:eastAsia="zh-CN"/>
        </w:rPr>
        <w:t>2020</w:t>
      </w:r>
      <w:r>
        <w:rPr>
          <w:rFonts w:hint="default" w:ascii="Times New Roman" w:hAnsi="Times New Roman" w:eastAsia="方正小标宋_GBK" w:cs="Times New Roman"/>
          <w:color w:val="auto"/>
          <w:kern w:val="0"/>
          <w:sz w:val="44"/>
          <w:szCs w:val="44"/>
          <w:highlight w:val="none"/>
          <w:lang w:eastAsia="zh-CN"/>
        </w:rPr>
        <w:t>年度</w:t>
      </w:r>
      <w:r>
        <w:rPr>
          <w:rFonts w:hint="eastAsia" w:ascii="Times New Roman" w:hAnsi="Times New Roman" w:eastAsia="方正小标宋_GBK" w:cs="Times New Roman"/>
          <w:color w:val="auto"/>
          <w:kern w:val="0"/>
          <w:sz w:val="44"/>
          <w:szCs w:val="44"/>
          <w:highlight w:val="none"/>
          <w:lang w:eastAsia="zh-CN"/>
        </w:rPr>
        <w:t>青岛市生态环境局</w:t>
      </w:r>
    </w:p>
    <w:p>
      <w:pPr>
        <w:keepNext w:val="0"/>
        <w:keepLines w:val="0"/>
        <w:pageBreakBefore w:val="0"/>
        <w:widowControl/>
        <w:kinsoku/>
        <w:wordWrap/>
        <w:overflowPunct/>
        <w:topLinePunct w:val="0"/>
        <w:autoSpaceDE/>
        <w:autoSpaceDN/>
        <w:bidi w:val="0"/>
        <w:adjustRightInd/>
        <w:snapToGrid/>
        <w:spacing w:line="520" w:lineRule="exact"/>
        <w:ind w:left="879" w:hanging="879"/>
        <w:jc w:val="center"/>
        <w:textAlignment w:val="auto"/>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整体支出绩效评价报告</w:t>
      </w: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before="120" w:after="120" w:line="520" w:lineRule="exact"/>
        <w:ind w:left="2240" w:hanging="2240" w:hangingChars="7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120" w:after="120" w:line="520" w:lineRule="exact"/>
        <w:ind w:left="640" w:hanging="640"/>
        <w:jc w:val="left"/>
        <w:textAlignment w:val="auto"/>
        <w:rPr>
          <w:rFonts w:hint="eastAsia" w:ascii="Times New Roman" w:hAnsi="Times New Roman" w:eastAsia="黑体" w:cs="Times New Roman"/>
          <w:color w:val="auto"/>
          <w:spacing w:val="-20"/>
          <w:sz w:val="32"/>
          <w:szCs w:val="32"/>
          <w:highlight w:val="none"/>
          <w:lang w:eastAsia="zh-CN"/>
        </w:rPr>
      </w:pPr>
      <w:r>
        <w:rPr>
          <w:rFonts w:hint="default" w:ascii="Times New Roman" w:hAnsi="Times New Roman" w:eastAsia="黑体" w:cs="Times New Roman"/>
          <w:color w:val="auto"/>
          <w:spacing w:val="53"/>
          <w:w w:val="100"/>
          <w:kern w:val="0"/>
          <w:sz w:val="32"/>
          <w:szCs w:val="32"/>
          <w:highlight w:val="none"/>
          <w:fitText w:val="1600" w:id="1965566611"/>
        </w:rPr>
        <w:t>评价</w:t>
      </w:r>
      <w:r>
        <w:rPr>
          <w:rFonts w:hint="eastAsia" w:ascii="Times New Roman" w:hAnsi="Times New Roman" w:eastAsia="黑体" w:cs="Times New Roman"/>
          <w:color w:val="auto"/>
          <w:spacing w:val="53"/>
          <w:w w:val="100"/>
          <w:kern w:val="0"/>
          <w:sz w:val="32"/>
          <w:szCs w:val="32"/>
          <w:highlight w:val="none"/>
          <w:fitText w:val="1600" w:id="1965566611"/>
          <w:lang w:eastAsia="zh-CN"/>
        </w:rPr>
        <w:t>单</w:t>
      </w:r>
      <w:r>
        <w:rPr>
          <w:rFonts w:hint="eastAsia" w:ascii="Times New Roman" w:hAnsi="Times New Roman" w:eastAsia="黑体" w:cs="Times New Roman"/>
          <w:color w:val="auto"/>
          <w:spacing w:val="1"/>
          <w:w w:val="100"/>
          <w:kern w:val="0"/>
          <w:sz w:val="32"/>
          <w:szCs w:val="32"/>
          <w:highlight w:val="none"/>
          <w:fitText w:val="1600" w:id="1965566611"/>
          <w:lang w:eastAsia="zh-CN"/>
        </w:rPr>
        <w:t>位</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pacing w:val="-20"/>
          <w:sz w:val="32"/>
          <w:szCs w:val="32"/>
          <w:highlight w:val="none"/>
          <w:lang w:eastAsia="zh-CN"/>
        </w:rPr>
        <w:t>山东广信达土地房地产资产评估项目管理有限公司</w:t>
      </w:r>
    </w:p>
    <w:p>
      <w:pPr>
        <w:keepNext w:val="0"/>
        <w:keepLines w:val="0"/>
        <w:pageBreakBefore w:val="0"/>
        <w:widowControl w:val="0"/>
        <w:kinsoku/>
        <w:wordWrap/>
        <w:overflowPunct/>
        <w:topLinePunct w:val="0"/>
        <w:autoSpaceDE/>
        <w:autoSpaceDN/>
        <w:bidi w:val="0"/>
        <w:adjustRightInd/>
        <w:snapToGrid/>
        <w:spacing w:before="120" w:after="120" w:line="520" w:lineRule="exact"/>
        <w:ind w:left="2240" w:hanging="2240" w:hangingChars="700"/>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被评价单位：</w:t>
      </w:r>
      <w:r>
        <w:rPr>
          <w:rFonts w:hint="eastAsia" w:ascii="Times New Roman" w:hAnsi="Times New Roman" w:eastAsia="黑体" w:cs="Times New Roman"/>
          <w:color w:val="auto"/>
          <w:sz w:val="32"/>
          <w:szCs w:val="32"/>
          <w:highlight w:val="none"/>
          <w:lang w:eastAsia="zh-CN"/>
        </w:rPr>
        <w:t>青岛市生态环境局</w:t>
      </w: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line="520" w:lineRule="exact"/>
        <w:ind w:left="1040" w:hanging="1040"/>
        <w:jc w:val="center"/>
        <w:rPr>
          <w:rFonts w:hint="default" w:ascii="Times New Roman" w:hAnsi="Times New Roman" w:eastAsia="文星简黑体" w:cs="Times New Roman"/>
          <w:color w:val="auto"/>
          <w:sz w:val="52"/>
          <w:szCs w:val="52"/>
          <w:highlight w:val="none"/>
        </w:rPr>
      </w:pPr>
    </w:p>
    <w:p>
      <w:pPr>
        <w:spacing w:before="120" w:after="120" w:line="520" w:lineRule="exact"/>
        <w:jc w:val="center"/>
        <w:rPr>
          <w:rFonts w:hint="default" w:ascii="Times New Roman" w:hAnsi="Times New Roman" w:eastAsia="黑体" w:cs="Times New Roman"/>
          <w:b/>
          <w:color w:val="auto"/>
          <w:kern w:val="0"/>
          <w:sz w:val="28"/>
          <w:szCs w:val="28"/>
          <w:highlight w:val="none"/>
          <w:lang w:val="zh-CN"/>
        </w:rPr>
      </w:pPr>
      <w:r>
        <w:rPr>
          <w:rFonts w:hint="default" w:ascii="Times New Roman" w:hAnsi="Times New Roman" w:eastAsia="黑体" w:cs="Times New Roman"/>
          <w:color w:val="auto"/>
          <w:sz w:val="32"/>
          <w:szCs w:val="32"/>
          <w:highlight w:val="none"/>
        </w:rPr>
        <w:t>202</w:t>
      </w:r>
      <w:r>
        <w:rPr>
          <w:rFonts w:hint="eastAsia" w:ascii="Times New Roman" w:hAnsi="Times New Roman" w:eastAsia="黑体" w:cs="Times New Roman"/>
          <w:color w:val="auto"/>
          <w:sz w:val="32"/>
          <w:szCs w:val="32"/>
          <w:highlight w:val="none"/>
          <w:lang w:val="en-US" w:eastAsia="zh-CN"/>
        </w:rPr>
        <w:t>1</w:t>
      </w:r>
      <w:r>
        <w:rPr>
          <w:rFonts w:hint="default" w:ascii="Times New Roman" w:hAnsi="Times New Roman" w:eastAsia="黑体" w:cs="Times New Roman"/>
          <w:color w:val="auto"/>
          <w:sz w:val="32"/>
          <w:szCs w:val="32"/>
          <w:highlight w:val="none"/>
        </w:rPr>
        <w:t>年</w:t>
      </w:r>
      <w:r>
        <w:rPr>
          <w:rFonts w:hint="eastAsia" w:ascii="Times New Roman" w:hAnsi="Times New Roman" w:eastAsia="黑体" w:cs="Times New Roman"/>
          <w:color w:val="auto"/>
          <w:sz w:val="32"/>
          <w:szCs w:val="32"/>
          <w:highlight w:val="none"/>
          <w:lang w:val="en-US" w:eastAsia="zh-CN"/>
        </w:rPr>
        <w:t>7</w:t>
      </w:r>
      <w:r>
        <w:rPr>
          <w:rFonts w:hint="default" w:ascii="Times New Roman" w:hAnsi="Times New Roman" w:eastAsia="黑体" w:cs="Times New Roman"/>
          <w:color w:val="auto"/>
          <w:sz w:val="32"/>
          <w:szCs w:val="32"/>
          <w:highlight w:val="none"/>
        </w:rPr>
        <w:t>月</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sdt>
      <w:sdtPr>
        <w:rPr>
          <w:rFonts w:hint="eastAsia" w:ascii="宋体" w:hAnsi="宋体" w:eastAsia="宋体" w:cs="宋体"/>
          <w:b/>
          <w:bCs/>
          <w:color w:val="auto"/>
          <w:sz w:val="36"/>
          <w:szCs w:val="36"/>
          <w:highlight w:val="none"/>
        </w:rPr>
        <w:id w:val="147461369"/>
        <w:docPartObj>
          <w:docPartGallery w:val="Table of Contents"/>
          <w:docPartUnique/>
        </w:docPartObj>
      </w:sdtPr>
      <w:sdtEndPr>
        <w:rPr>
          <w:rFonts w:hint="default" w:ascii="Times New Roman" w:hAnsi="Times New Roman" w:eastAsia="宋体" w:cs="Times New Roman"/>
          <w:b w:val="0"/>
          <w:bCs w:val="0"/>
          <w:color w:val="auto"/>
          <w:sz w:val="32"/>
          <w:szCs w:val="32"/>
          <w:highlight w:val="none"/>
        </w:rPr>
      </w:sdtEndPr>
      <w:sdtContent>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32"/>
              <w:szCs w:val="32"/>
              <w:highlight w:val="none"/>
              <w:lang w:val="en-US" w:eastAsia="zh-CN" w:bidi="ar-SA"/>
            </w:rPr>
          </w:pPr>
          <w:bookmarkStart w:id="0" w:name="_Toc14968"/>
          <w:bookmarkStart w:id="1" w:name="_Toc32643"/>
          <w:bookmarkStart w:id="2" w:name="_Toc2709"/>
          <w:bookmarkStart w:id="3" w:name="_Toc2787"/>
          <w:bookmarkStart w:id="4" w:name="_Toc2224"/>
          <w:r>
            <w:rPr>
              <w:rFonts w:hint="eastAsia" w:ascii="宋体" w:hAnsi="宋体" w:eastAsia="宋体" w:cs="宋体"/>
              <w:b/>
              <w:bCs/>
              <w:color w:val="auto"/>
              <w:sz w:val="36"/>
              <w:szCs w:val="36"/>
              <w:highlight w:val="none"/>
            </w:rPr>
            <w:t>目 录</w:t>
          </w:r>
          <w:r>
            <w:rPr>
              <w:rFonts w:hint="default" w:ascii="Times New Roman" w:hAnsi="Times New Roman" w:cs="Times New Roman"/>
              <w:b w:val="0"/>
              <w:bCs w:val="0"/>
              <w:color w:val="auto"/>
              <w:sz w:val="32"/>
              <w:szCs w:val="32"/>
              <w:highlight w:val="none"/>
            </w:rPr>
            <w:fldChar w:fldCharType="begin"/>
          </w:r>
          <w:r>
            <w:rPr>
              <w:rFonts w:hint="default" w:ascii="Times New Roman" w:hAnsi="Times New Roman" w:cs="Times New Roman"/>
              <w:b w:val="0"/>
              <w:bCs w:val="0"/>
              <w:color w:val="auto"/>
              <w:sz w:val="32"/>
              <w:szCs w:val="32"/>
              <w:highlight w:val="none"/>
            </w:rPr>
            <w:instrText xml:space="preserve">TOC \o "1-2" \h \u </w:instrText>
          </w:r>
          <w:r>
            <w:rPr>
              <w:rFonts w:hint="default" w:ascii="Times New Roman" w:hAnsi="Times New Roman" w:cs="Times New Roman"/>
              <w:b w:val="0"/>
              <w:bCs w:val="0"/>
              <w:color w:val="auto"/>
              <w:sz w:val="32"/>
              <w:szCs w:val="32"/>
              <w:highlight w:val="none"/>
            </w:rPr>
            <w:fldChar w:fldCharType="separate"/>
          </w:r>
        </w:p>
        <w:p>
          <w:pPr>
            <w:pStyle w:val="16"/>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b w:val="0"/>
              <w:bCs w:val="0"/>
              <w:color w:val="auto"/>
              <w:sz w:val="32"/>
              <w:szCs w:val="32"/>
              <w:highlight w:val="none"/>
            </w:rPr>
          </w:pPr>
          <w:r>
            <w:rPr>
              <w:rFonts w:hint="default" w:ascii="Times New Roman" w:hAnsi="Times New Roman" w:cs="Times New Roman"/>
              <w:b w:val="0"/>
              <w:bCs w:val="0"/>
              <w:color w:val="auto"/>
              <w:sz w:val="32"/>
              <w:szCs w:val="32"/>
              <w:highlight w:val="none"/>
            </w:rPr>
            <w:fldChar w:fldCharType="begin"/>
          </w:r>
          <w:r>
            <w:rPr>
              <w:rFonts w:hint="default" w:ascii="Times New Roman" w:hAnsi="Times New Roman" w:cs="Times New Roman"/>
              <w:b w:val="0"/>
              <w:bCs w:val="0"/>
              <w:color w:val="auto"/>
              <w:sz w:val="32"/>
              <w:szCs w:val="32"/>
              <w:highlight w:val="none"/>
            </w:rPr>
            <w:instrText xml:space="preserve"> HYPERLINK \l _Toc27366 </w:instrText>
          </w:r>
          <w:r>
            <w:rPr>
              <w:rFonts w:hint="default" w:ascii="Times New Roman" w:hAnsi="Times New Roman" w:cs="Times New Roman"/>
              <w:b w:val="0"/>
              <w:bCs w:val="0"/>
              <w:color w:val="auto"/>
              <w:sz w:val="32"/>
              <w:szCs w:val="32"/>
              <w:highlight w:val="none"/>
            </w:rPr>
            <w:fldChar w:fldCharType="separate"/>
          </w:r>
          <w:r>
            <w:rPr>
              <w:rFonts w:hint="default" w:ascii="Times New Roman" w:hAnsi="Times New Roman" w:cs="Times New Roman"/>
              <w:b w:val="0"/>
              <w:bCs w:val="0"/>
              <w:color w:val="auto"/>
              <w:sz w:val="32"/>
              <w:szCs w:val="32"/>
              <w:highlight w:val="none"/>
            </w:rPr>
            <w:t>一、</w:t>
          </w:r>
          <w:r>
            <w:rPr>
              <w:rFonts w:hint="eastAsia" w:ascii="Times New Roman" w:hAnsi="Times New Roman" w:cs="Times New Roman"/>
              <w:b w:val="0"/>
              <w:bCs w:val="0"/>
              <w:color w:val="auto"/>
              <w:sz w:val="32"/>
              <w:szCs w:val="32"/>
              <w:highlight w:val="none"/>
              <w:lang w:eastAsia="zh-CN"/>
            </w:rPr>
            <w:t>部门基本情况</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_Toc27366 \h </w:instrText>
          </w:r>
          <w:r>
            <w:rPr>
              <w:b w:val="0"/>
              <w:bCs w:val="0"/>
              <w:color w:val="auto"/>
              <w:sz w:val="32"/>
              <w:szCs w:val="32"/>
              <w:highlight w:val="none"/>
            </w:rPr>
            <w:fldChar w:fldCharType="separate"/>
          </w:r>
          <w:r>
            <w:rPr>
              <w:b w:val="0"/>
              <w:bCs w:val="0"/>
              <w:color w:val="auto"/>
              <w:sz w:val="32"/>
              <w:szCs w:val="32"/>
              <w:highlight w:val="none"/>
            </w:rPr>
            <w:t>1</w:t>
          </w:r>
          <w:r>
            <w:rPr>
              <w:b w:val="0"/>
              <w:bCs w:val="0"/>
              <w:color w:val="auto"/>
              <w:sz w:val="32"/>
              <w:szCs w:val="32"/>
              <w:highlight w:val="none"/>
            </w:rPr>
            <w:fldChar w:fldCharType="end"/>
          </w:r>
          <w:r>
            <w:rPr>
              <w:rFonts w:hint="default" w:ascii="Times New Roman" w:hAnsi="Times New Roman" w:cs="Times New Roman"/>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_Toc1628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kern w:val="0"/>
              <w:sz w:val="32"/>
              <w:szCs w:val="32"/>
              <w:highlight w:val="none"/>
              <w:lang w:val="en-US" w:eastAsia="zh-CN" w:bidi="ar-SA"/>
            </w:rPr>
            <w:t>（一）部门概况</w:t>
          </w:r>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_Toc1628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1</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_Toc30293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eastAsia="zh-CN"/>
            </w:rPr>
            <w:t>二</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eastAsia="zh-CN"/>
            </w:rPr>
            <w:t>部门绩效目标</w:t>
          </w:r>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_Toc30293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6</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6"/>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b w:val="0"/>
              <w:bCs w:val="0"/>
              <w:color w:val="auto"/>
              <w:sz w:val="32"/>
              <w:szCs w:val="32"/>
              <w:highlight w:val="none"/>
            </w:rPr>
          </w:pPr>
          <w:r>
            <w:rPr>
              <w:rFonts w:hint="default" w:ascii="Times New Roman" w:hAnsi="Times New Roman" w:cs="Times New Roman"/>
              <w:b w:val="0"/>
              <w:bCs w:val="0"/>
              <w:color w:val="auto"/>
              <w:sz w:val="32"/>
              <w:szCs w:val="32"/>
              <w:highlight w:val="none"/>
            </w:rPr>
            <w:fldChar w:fldCharType="begin"/>
          </w:r>
          <w:r>
            <w:rPr>
              <w:rFonts w:hint="default" w:ascii="Times New Roman" w:hAnsi="Times New Roman" w:cs="Times New Roman"/>
              <w:b w:val="0"/>
              <w:bCs w:val="0"/>
              <w:color w:val="auto"/>
              <w:sz w:val="32"/>
              <w:szCs w:val="32"/>
              <w:highlight w:val="none"/>
            </w:rPr>
            <w:instrText xml:space="preserve"> HYPERLINK \l _Toc2893 </w:instrText>
          </w:r>
          <w:r>
            <w:rPr>
              <w:rFonts w:hint="default" w:ascii="Times New Roman" w:hAnsi="Times New Roman" w:cs="Times New Roman"/>
              <w:b w:val="0"/>
              <w:bCs w:val="0"/>
              <w:color w:val="auto"/>
              <w:sz w:val="32"/>
              <w:szCs w:val="32"/>
              <w:highlight w:val="none"/>
            </w:rPr>
            <w:fldChar w:fldCharType="separate"/>
          </w:r>
          <w:r>
            <w:rPr>
              <w:rFonts w:hint="default" w:ascii="Times New Roman" w:hAnsi="Times New Roman" w:cs="Times New Roman"/>
              <w:b w:val="0"/>
              <w:bCs w:val="0"/>
              <w:color w:val="auto"/>
              <w:sz w:val="32"/>
              <w:szCs w:val="32"/>
              <w:highlight w:val="none"/>
            </w:rPr>
            <w:t>二、评价</w:t>
          </w:r>
          <w:r>
            <w:rPr>
              <w:rFonts w:hint="eastAsia" w:ascii="Times New Roman" w:hAnsi="Times New Roman" w:cs="Times New Roman"/>
              <w:b w:val="0"/>
              <w:bCs w:val="0"/>
              <w:color w:val="auto"/>
              <w:sz w:val="32"/>
              <w:szCs w:val="32"/>
              <w:highlight w:val="none"/>
              <w:lang w:eastAsia="zh-CN"/>
            </w:rPr>
            <w:t>实施情况</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_Toc2893 \h </w:instrText>
          </w:r>
          <w:r>
            <w:rPr>
              <w:b w:val="0"/>
              <w:bCs w:val="0"/>
              <w:color w:val="auto"/>
              <w:sz w:val="32"/>
              <w:szCs w:val="32"/>
              <w:highlight w:val="none"/>
            </w:rPr>
            <w:fldChar w:fldCharType="separate"/>
          </w:r>
          <w:r>
            <w:rPr>
              <w:b w:val="0"/>
              <w:bCs w:val="0"/>
              <w:color w:val="auto"/>
              <w:sz w:val="32"/>
              <w:szCs w:val="32"/>
              <w:highlight w:val="none"/>
            </w:rPr>
            <w:t>6</w:t>
          </w:r>
          <w:r>
            <w:rPr>
              <w:b w:val="0"/>
              <w:bCs w:val="0"/>
              <w:color w:val="auto"/>
              <w:sz w:val="32"/>
              <w:szCs w:val="32"/>
              <w:highlight w:val="none"/>
            </w:rPr>
            <w:fldChar w:fldCharType="end"/>
          </w:r>
          <w:r>
            <w:rPr>
              <w:rFonts w:hint="default" w:ascii="Times New Roman" w:hAnsi="Times New Roman" w:cs="Times New Roman"/>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_Toc23024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kern w:val="0"/>
              <w:sz w:val="32"/>
              <w:szCs w:val="32"/>
              <w:highlight w:val="none"/>
            </w:rPr>
            <w:t>（一）评价目的</w:t>
          </w:r>
          <w:r>
            <w:rPr>
              <w:rFonts w:hint="eastAsia" w:ascii="楷体_GB2312" w:hAnsi="楷体_GB2312" w:eastAsia="楷体_GB2312" w:cs="楷体_GB2312"/>
              <w:b w:val="0"/>
              <w:bCs w:val="0"/>
              <w:color w:val="auto"/>
              <w:kern w:val="0"/>
              <w:sz w:val="32"/>
              <w:szCs w:val="32"/>
              <w:highlight w:val="none"/>
              <w:lang w:eastAsia="zh-CN"/>
            </w:rPr>
            <w:t>、对象和范围</w:t>
          </w:r>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_Toc23024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6</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_Toc20691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kern w:val="0"/>
              <w:sz w:val="32"/>
              <w:szCs w:val="32"/>
              <w:highlight w:val="none"/>
            </w:rPr>
            <w:t>（二）评价依据</w:t>
          </w:r>
          <w:r>
            <w:rPr>
              <w:rFonts w:hint="eastAsia" w:ascii="楷体_GB2312" w:hAnsi="楷体_GB2312" w:eastAsia="楷体_GB2312" w:cs="楷体_GB2312"/>
              <w:b w:val="0"/>
              <w:bCs w:val="0"/>
              <w:color w:val="auto"/>
              <w:kern w:val="0"/>
              <w:sz w:val="32"/>
              <w:szCs w:val="32"/>
              <w:highlight w:val="none"/>
              <w:lang w:eastAsia="zh-CN"/>
            </w:rPr>
            <w:t>、方法、标准、指标体系等</w:t>
          </w:r>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_Toc20691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7</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_Toc24952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kern w:val="0"/>
              <w:sz w:val="32"/>
              <w:szCs w:val="32"/>
              <w:highlight w:val="none"/>
            </w:rPr>
            <w:t>（</w:t>
          </w:r>
          <w:r>
            <w:rPr>
              <w:rFonts w:hint="eastAsia" w:ascii="楷体_GB2312" w:hAnsi="楷体_GB2312" w:eastAsia="楷体_GB2312" w:cs="楷体_GB2312"/>
              <w:b w:val="0"/>
              <w:bCs w:val="0"/>
              <w:color w:val="auto"/>
              <w:kern w:val="0"/>
              <w:sz w:val="32"/>
              <w:szCs w:val="32"/>
              <w:highlight w:val="none"/>
              <w:lang w:eastAsia="zh-CN"/>
            </w:rPr>
            <w:t>三</w:t>
          </w:r>
          <w:r>
            <w:rPr>
              <w:rFonts w:hint="eastAsia" w:ascii="楷体_GB2312" w:hAnsi="楷体_GB2312" w:eastAsia="楷体_GB2312" w:cs="楷体_GB2312"/>
              <w:b w:val="0"/>
              <w:bCs w:val="0"/>
              <w:color w:val="auto"/>
              <w:kern w:val="0"/>
              <w:sz w:val="32"/>
              <w:szCs w:val="32"/>
              <w:highlight w:val="none"/>
            </w:rPr>
            <w:t>）</w:t>
          </w:r>
          <w:r>
            <w:rPr>
              <w:rFonts w:hint="eastAsia" w:ascii="楷体_GB2312" w:hAnsi="楷体_GB2312" w:eastAsia="楷体_GB2312" w:cs="楷体_GB2312"/>
              <w:b w:val="0"/>
              <w:bCs w:val="0"/>
              <w:color w:val="auto"/>
              <w:kern w:val="0"/>
              <w:sz w:val="32"/>
              <w:szCs w:val="32"/>
              <w:highlight w:val="none"/>
              <w:lang w:eastAsia="zh-CN"/>
            </w:rPr>
            <w:t>评价实施程序</w:t>
          </w:r>
          <w:bookmarkStart w:id="84" w:name="_GoBack"/>
          <w:bookmarkEnd w:id="84"/>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_Toc24952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9</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6"/>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b w:val="0"/>
              <w:bCs w:val="0"/>
              <w:color w:val="auto"/>
              <w:sz w:val="32"/>
              <w:szCs w:val="32"/>
              <w:highlight w:val="none"/>
            </w:rPr>
          </w:pPr>
          <w:r>
            <w:rPr>
              <w:rFonts w:hint="default" w:ascii="Times New Roman" w:hAnsi="Times New Roman" w:cs="Times New Roman"/>
              <w:b w:val="0"/>
              <w:bCs w:val="0"/>
              <w:color w:val="auto"/>
              <w:sz w:val="32"/>
              <w:szCs w:val="32"/>
              <w:highlight w:val="none"/>
            </w:rPr>
            <w:fldChar w:fldCharType="begin"/>
          </w:r>
          <w:r>
            <w:rPr>
              <w:rFonts w:hint="default" w:ascii="Times New Roman" w:hAnsi="Times New Roman" w:cs="Times New Roman"/>
              <w:b w:val="0"/>
              <w:bCs w:val="0"/>
              <w:color w:val="auto"/>
              <w:sz w:val="32"/>
              <w:szCs w:val="32"/>
              <w:highlight w:val="none"/>
            </w:rPr>
            <w:instrText xml:space="preserve"> HYPERLINK \l _Toc13969 </w:instrText>
          </w:r>
          <w:r>
            <w:rPr>
              <w:rFonts w:hint="default" w:ascii="Times New Roman" w:hAnsi="Times New Roman" w:cs="Times New Roman"/>
              <w:b w:val="0"/>
              <w:bCs w:val="0"/>
              <w:color w:val="auto"/>
              <w:sz w:val="32"/>
              <w:szCs w:val="32"/>
              <w:highlight w:val="none"/>
            </w:rPr>
            <w:fldChar w:fldCharType="separate"/>
          </w:r>
          <w:r>
            <w:rPr>
              <w:rFonts w:hint="default" w:ascii="Times New Roman" w:hAnsi="Times New Roman" w:cs="Times New Roman"/>
              <w:b w:val="0"/>
              <w:bCs w:val="0"/>
              <w:color w:val="auto"/>
              <w:sz w:val="32"/>
              <w:szCs w:val="32"/>
              <w:highlight w:val="none"/>
            </w:rPr>
            <w:t>三、</w:t>
          </w:r>
          <w:r>
            <w:rPr>
              <w:rFonts w:hint="eastAsia" w:ascii="Times New Roman" w:hAnsi="Times New Roman" w:cs="Times New Roman"/>
              <w:b w:val="0"/>
              <w:bCs w:val="0"/>
              <w:color w:val="auto"/>
              <w:sz w:val="32"/>
              <w:szCs w:val="32"/>
              <w:highlight w:val="none"/>
              <w:lang w:eastAsia="zh-CN"/>
            </w:rPr>
            <w:t>指标分析及评价结论</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_Toc13969 \h </w:instrText>
          </w:r>
          <w:r>
            <w:rPr>
              <w:b w:val="0"/>
              <w:bCs w:val="0"/>
              <w:color w:val="auto"/>
              <w:sz w:val="32"/>
              <w:szCs w:val="32"/>
              <w:highlight w:val="none"/>
            </w:rPr>
            <w:fldChar w:fldCharType="separate"/>
          </w:r>
          <w:r>
            <w:rPr>
              <w:b w:val="0"/>
              <w:bCs w:val="0"/>
              <w:color w:val="auto"/>
              <w:sz w:val="32"/>
              <w:szCs w:val="32"/>
              <w:highlight w:val="none"/>
            </w:rPr>
            <w:t>10</w:t>
          </w:r>
          <w:r>
            <w:rPr>
              <w:b w:val="0"/>
              <w:bCs w:val="0"/>
              <w:color w:val="auto"/>
              <w:sz w:val="32"/>
              <w:szCs w:val="32"/>
              <w:highlight w:val="none"/>
            </w:rPr>
            <w:fldChar w:fldCharType="end"/>
          </w:r>
          <w:r>
            <w:rPr>
              <w:rFonts w:hint="default" w:ascii="Times New Roman" w:hAnsi="Times New Roman" w:cs="Times New Roman"/>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_Toc11610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kern w:val="0"/>
              <w:sz w:val="32"/>
              <w:szCs w:val="32"/>
              <w:highlight w:val="none"/>
            </w:rPr>
            <w:t>（</w:t>
          </w:r>
          <w:r>
            <w:rPr>
              <w:rFonts w:hint="eastAsia" w:ascii="楷体_GB2312" w:hAnsi="楷体_GB2312" w:eastAsia="楷体_GB2312" w:cs="楷体_GB2312"/>
              <w:b w:val="0"/>
              <w:bCs w:val="0"/>
              <w:color w:val="auto"/>
              <w:kern w:val="0"/>
              <w:sz w:val="32"/>
              <w:szCs w:val="32"/>
              <w:highlight w:val="none"/>
              <w:lang w:eastAsia="zh-CN"/>
            </w:rPr>
            <w:t>一</w:t>
          </w:r>
          <w:r>
            <w:rPr>
              <w:rFonts w:hint="eastAsia" w:ascii="楷体_GB2312" w:hAnsi="楷体_GB2312" w:eastAsia="楷体_GB2312" w:cs="楷体_GB2312"/>
              <w:b w:val="0"/>
              <w:bCs w:val="0"/>
              <w:color w:val="auto"/>
              <w:kern w:val="0"/>
              <w:sz w:val="32"/>
              <w:szCs w:val="32"/>
              <w:highlight w:val="none"/>
            </w:rPr>
            <w:t>）</w:t>
          </w:r>
          <w:r>
            <w:rPr>
              <w:rFonts w:hint="eastAsia" w:ascii="楷体_GB2312" w:hAnsi="楷体_GB2312" w:eastAsia="楷体_GB2312" w:cs="楷体_GB2312"/>
              <w:b w:val="0"/>
              <w:bCs w:val="0"/>
              <w:color w:val="auto"/>
              <w:kern w:val="0"/>
              <w:sz w:val="32"/>
              <w:szCs w:val="32"/>
              <w:highlight w:val="none"/>
              <w:lang w:eastAsia="zh-CN"/>
            </w:rPr>
            <w:t>绩效评价指标体系分析</w:t>
          </w:r>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_Toc11610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10</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HYPERLINK \l _Toc1329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kern w:val="0"/>
              <w:sz w:val="32"/>
              <w:szCs w:val="32"/>
              <w:highlight w:val="none"/>
            </w:rPr>
            <w:t>（</w:t>
          </w:r>
          <w:r>
            <w:rPr>
              <w:rFonts w:hint="eastAsia" w:ascii="楷体_GB2312" w:hAnsi="楷体_GB2312" w:eastAsia="楷体_GB2312" w:cs="楷体_GB2312"/>
              <w:b w:val="0"/>
              <w:bCs w:val="0"/>
              <w:color w:val="auto"/>
              <w:kern w:val="0"/>
              <w:sz w:val="32"/>
              <w:szCs w:val="32"/>
              <w:highlight w:val="none"/>
              <w:lang w:eastAsia="zh-CN"/>
            </w:rPr>
            <w:t>二</w:t>
          </w:r>
          <w:r>
            <w:rPr>
              <w:rFonts w:hint="eastAsia" w:ascii="楷体_GB2312" w:hAnsi="楷体_GB2312" w:eastAsia="楷体_GB2312" w:cs="楷体_GB2312"/>
              <w:b w:val="0"/>
              <w:bCs w:val="0"/>
              <w:color w:val="auto"/>
              <w:kern w:val="0"/>
              <w:sz w:val="32"/>
              <w:szCs w:val="32"/>
              <w:highlight w:val="none"/>
            </w:rPr>
            <w:t>）评价结论</w:t>
          </w:r>
          <w:r>
            <w:rPr>
              <w:rFonts w:hint="eastAsia" w:ascii="楷体_GB2312" w:hAnsi="楷体_GB2312" w:eastAsia="楷体_GB2312" w:cs="楷体_GB2312"/>
              <w:b w:val="0"/>
              <w:bCs w:val="0"/>
              <w:color w:val="auto"/>
              <w:sz w:val="32"/>
              <w:szCs w:val="32"/>
              <w:highlight w:val="none"/>
            </w:rPr>
            <w:tab/>
          </w:r>
          <w:r>
            <w:rPr>
              <w:rFonts w:hint="eastAsia" w:ascii="楷体_GB2312" w:hAnsi="楷体_GB2312" w:eastAsia="楷体_GB2312" w:cs="楷体_GB2312"/>
              <w:b w:val="0"/>
              <w:bCs w:val="0"/>
              <w:color w:val="auto"/>
              <w:sz w:val="32"/>
              <w:szCs w:val="32"/>
              <w:highlight w:val="none"/>
            </w:rPr>
            <w:fldChar w:fldCharType="begin"/>
          </w:r>
          <w:r>
            <w:rPr>
              <w:rFonts w:hint="eastAsia" w:ascii="楷体_GB2312" w:hAnsi="楷体_GB2312" w:eastAsia="楷体_GB2312" w:cs="楷体_GB2312"/>
              <w:b w:val="0"/>
              <w:bCs w:val="0"/>
              <w:color w:val="auto"/>
              <w:sz w:val="32"/>
              <w:szCs w:val="32"/>
              <w:highlight w:val="none"/>
            </w:rPr>
            <w:instrText xml:space="preserve"> PAGEREF _Toc1329 \h </w:instrText>
          </w:r>
          <w:r>
            <w:rPr>
              <w:rFonts w:hint="eastAsia" w:ascii="楷体_GB2312" w:hAnsi="楷体_GB2312" w:eastAsia="楷体_GB2312" w:cs="楷体_GB2312"/>
              <w:b w:val="0"/>
              <w:bCs w:val="0"/>
              <w:color w:val="auto"/>
              <w:sz w:val="32"/>
              <w:szCs w:val="32"/>
              <w:highlight w:val="none"/>
            </w:rPr>
            <w:fldChar w:fldCharType="separate"/>
          </w:r>
          <w:r>
            <w:rPr>
              <w:rFonts w:hint="eastAsia" w:ascii="楷体_GB2312" w:hAnsi="楷体_GB2312" w:eastAsia="楷体_GB2312" w:cs="楷体_GB2312"/>
              <w:b w:val="0"/>
              <w:bCs w:val="0"/>
              <w:color w:val="auto"/>
              <w:sz w:val="32"/>
              <w:szCs w:val="32"/>
              <w:highlight w:val="none"/>
            </w:rPr>
            <w:t>11</w:t>
          </w:r>
          <w:r>
            <w:rPr>
              <w:rFonts w:hint="eastAsia" w:ascii="楷体_GB2312" w:hAnsi="楷体_GB2312" w:eastAsia="楷体_GB2312" w:cs="楷体_GB2312"/>
              <w:b w:val="0"/>
              <w:bCs w:val="0"/>
              <w:color w:val="auto"/>
              <w:sz w:val="32"/>
              <w:szCs w:val="32"/>
              <w:highlight w:val="none"/>
            </w:rPr>
            <w:fldChar w:fldCharType="end"/>
          </w:r>
          <w:r>
            <w:rPr>
              <w:rFonts w:hint="eastAsia" w:ascii="楷体_GB2312" w:hAnsi="楷体_GB2312" w:eastAsia="楷体_GB2312" w:cs="楷体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HYPERLINK \l _Toc11719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sz w:val="32"/>
              <w:szCs w:val="32"/>
              <w:highlight w:val="none"/>
              <w:lang w:val="en-US" w:eastAsia="zh-CN"/>
            </w:rPr>
            <w:t>1.评价分数和等级</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PAGEREF _Toc11719 \h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sz w:val="32"/>
              <w:szCs w:val="32"/>
              <w:highlight w:val="none"/>
            </w:rPr>
            <w:t>11</w:t>
          </w:r>
          <w:r>
            <w:rPr>
              <w:rFonts w:hint="eastAsia" w:ascii="仿宋_GB2312" w:hAnsi="仿宋_GB2312" w:eastAsia="仿宋_GB2312" w:cs="仿宋_GB2312"/>
              <w:b w:val="0"/>
              <w:bCs w:val="0"/>
              <w:color w:val="auto"/>
              <w:sz w:val="32"/>
              <w:szCs w:val="32"/>
              <w:highlight w:val="none"/>
            </w:rPr>
            <w:fldChar w:fldCharType="end"/>
          </w:r>
          <w:r>
            <w:rPr>
              <w:rFonts w:hint="eastAsia" w:ascii="仿宋_GB2312" w:hAnsi="仿宋_GB2312" w:eastAsia="仿宋_GB2312" w:cs="仿宋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HYPERLINK \l _Toc13732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2.工作成效</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PAGEREF _Toc13732 \h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sz w:val="32"/>
              <w:szCs w:val="32"/>
              <w:highlight w:val="none"/>
            </w:rPr>
            <w:t>12</w:t>
          </w:r>
          <w:r>
            <w:rPr>
              <w:rFonts w:hint="eastAsia" w:ascii="仿宋_GB2312" w:hAnsi="仿宋_GB2312" w:eastAsia="仿宋_GB2312" w:cs="仿宋_GB2312"/>
              <w:b w:val="0"/>
              <w:bCs w:val="0"/>
              <w:color w:val="auto"/>
              <w:sz w:val="32"/>
              <w:szCs w:val="32"/>
              <w:highlight w:val="none"/>
            </w:rPr>
            <w:fldChar w:fldCharType="end"/>
          </w:r>
          <w:r>
            <w:rPr>
              <w:rFonts w:hint="eastAsia" w:ascii="仿宋_GB2312" w:hAnsi="仿宋_GB2312" w:eastAsia="仿宋_GB2312" w:cs="仿宋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HYPERLINK \l _Toc9062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3.主要问题</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PAGEREF _Toc9062 \h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sz w:val="32"/>
              <w:szCs w:val="32"/>
              <w:highlight w:val="none"/>
            </w:rPr>
            <w:t>13</w:t>
          </w:r>
          <w:r>
            <w:rPr>
              <w:rFonts w:hint="eastAsia" w:ascii="仿宋_GB2312" w:hAnsi="仿宋_GB2312" w:eastAsia="仿宋_GB2312" w:cs="仿宋_GB2312"/>
              <w:b w:val="0"/>
              <w:bCs w:val="0"/>
              <w:color w:val="auto"/>
              <w:sz w:val="32"/>
              <w:szCs w:val="32"/>
              <w:highlight w:val="none"/>
            </w:rPr>
            <w:fldChar w:fldCharType="end"/>
          </w:r>
          <w:r>
            <w:rPr>
              <w:rFonts w:hint="eastAsia" w:ascii="仿宋_GB2312" w:hAnsi="仿宋_GB2312" w:eastAsia="仿宋_GB2312" w:cs="仿宋_GB2312"/>
              <w:b w:val="0"/>
              <w:bCs w:val="0"/>
              <w:color w:val="auto"/>
              <w:sz w:val="32"/>
              <w:szCs w:val="32"/>
              <w:highlight w:val="none"/>
            </w:rPr>
            <w:fldChar w:fldCharType="end"/>
          </w:r>
        </w:p>
        <w:p>
          <w:pPr>
            <w:pStyle w:val="18"/>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HYPERLINK \l _Toc27521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kern w:val="2"/>
              <w:sz w:val="32"/>
              <w:szCs w:val="32"/>
              <w:highlight w:val="none"/>
              <w:lang w:val="en-US" w:eastAsia="zh-CN" w:bidi="ar-SA"/>
            </w:rPr>
            <w:t>4.相关建议</w:t>
          </w:r>
          <w:r>
            <w:rPr>
              <w:rFonts w:hint="eastAsia" w:ascii="仿宋_GB2312" w:hAnsi="仿宋_GB2312" w:eastAsia="仿宋_GB2312" w:cs="仿宋_GB2312"/>
              <w:b w:val="0"/>
              <w:bCs w:val="0"/>
              <w:color w:val="auto"/>
              <w:sz w:val="32"/>
              <w:szCs w:val="32"/>
              <w:highlight w:val="none"/>
            </w:rPr>
            <w:tab/>
          </w:r>
          <w:r>
            <w:rPr>
              <w:rFonts w:hint="eastAsia" w:ascii="仿宋_GB2312" w:hAnsi="仿宋_GB2312" w:eastAsia="仿宋_GB2312" w:cs="仿宋_GB2312"/>
              <w:b w:val="0"/>
              <w:bCs w:val="0"/>
              <w:color w:val="auto"/>
              <w:sz w:val="32"/>
              <w:szCs w:val="32"/>
              <w:highlight w:val="none"/>
            </w:rPr>
            <w:fldChar w:fldCharType="begin"/>
          </w:r>
          <w:r>
            <w:rPr>
              <w:rFonts w:hint="eastAsia" w:ascii="仿宋_GB2312" w:hAnsi="仿宋_GB2312" w:eastAsia="仿宋_GB2312" w:cs="仿宋_GB2312"/>
              <w:b w:val="0"/>
              <w:bCs w:val="0"/>
              <w:color w:val="auto"/>
              <w:sz w:val="32"/>
              <w:szCs w:val="32"/>
              <w:highlight w:val="none"/>
            </w:rPr>
            <w:instrText xml:space="preserve"> PAGEREF _Toc27521 \h </w:instrText>
          </w:r>
          <w:r>
            <w:rPr>
              <w:rFonts w:hint="eastAsia" w:ascii="仿宋_GB2312" w:hAnsi="仿宋_GB2312" w:eastAsia="仿宋_GB2312" w:cs="仿宋_GB2312"/>
              <w:b w:val="0"/>
              <w:bCs w:val="0"/>
              <w:color w:val="auto"/>
              <w:sz w:val="32"/>
              <w:szCs w:val="32"/>
              <w:highlight w:val="none"/>
            </w:rPr>
            <w:fldChar w:fldCharType="separate"/>
          </w:r>
          <w:r>
            <w:rPr>
              <w:rFonts w:hint="eastAsia" w:ascii="仿宋_GB2312" w:hAnsi="仿宋_GB2312" w:eastAsia="仿宋_GB2312" w:cs="仿宋_GB2312"/>
              <w:b w:val="0"/>
              <w:bCs w:val="0"/>
              <w:color w:val="auto"/>
              <w:sz w:val="32"/>
              <w:szCs w:val="32"/>
              <w:highlight w:val="none"/>
            </w:rPr>
            <w:t>16</w:t>
          </w:r>
          <w:r>
            <w:rPr>
              <w:rFonts w:hint="eastAsia" w:ascii="仿宋_GB2312" w:hAnsi="仿宋_GB2312" w:eastAsia="仿宋_GB2312" w:cs="仿宋_GB2312"/>
              <w:b w:val="0"/>
              <w:bCs w:val="0"/>
              <w:color w:val="auto"/>
              <w:sz w:val="32"/>
              <w:szCs w:val="32"/>
              <w:highlight w:val="none"/>
            </w:rPr>
            <w:fldChar w:fldCharType="end"/>
          </w:r>
          <w:r>
            <w:rPr>
              <w:rFonts w:hint="eastAsia" w:ascii="仿宋_GB2312" w:hAnsi="仿宋_GB2312" w:eastAsia="仿宋_GB2312" w:cs="仿宋_GB2312"/>
              <w:b w:val="0"/>
              <w:bCs w:val="0"/>
              <w:color w:val="auto"/>
              <w:sz w:val="32"/>
              <w:szCs w:val="32"/>
              <w:highlight w:val="none"/>
            </w:rPr>
            <w:fldChar w:fldCharType="end"/>
          </w:r>
        </w:p>
        <w:p>
          <w:pPr>
            <w:pStyle w:val="16"/>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360" w:lineRule="auto"/>
            <w:textAlignment w:val="auto"/>
            <w:rPr>
              <w:b w:val="0"/>
              <w:bCs w:val="0"/>
              <w:color w:val="auto"/>
              <w:sz w:val="32"/>
              <w:szCs w:val="32"/>
              <w:highlight w:val="none"/>
            </w:rPr>
          </w:pPr>
          <w:r>
            <w:rPr>
              <w:rFonts w:hint="default" w:ascii="Times New Roman" w:hAnsi="Times New Roman" w:cs="Times New Roman"/>
              <w:b w:val="0"/>
              <w:bCs w:val="0"/>
              <w:color w:val="auto"/>
              <w:sz w:val="32"/>
              <w:szCs w:val="32"/>
              <w:highlight w:val="none"/>
            </w:rPr>
            <w:fldChar w:fldCharType="begin"/>
          </w:r>
          <w:r>
            <w:rPr>
              <w:rFonts w:hint="default" w:ascii="Times New Roman" w:hAnsi="Times New Roman" w:cs="Times New Roman"/>
              <w:b w:val="0"/>
              <w:bCs w:val="0"/>
              <w:color w:val="auto"/>
              <w:sz w:val="32"/>
              <w:szCs w:val="32"/>
              <w:highlight w:val="none"/>
            </w:rPr>
            <w:instrText xml:space="preserve"> HYPERLINK \l _Toc15031 </w:instrText>
          </w:r>
          <w:r>
            <w:rPr>
              <w:rFonts w:hint="default" w:ascii="Times New Roman" w:hAnsi="Times New Roman" w:cs="Times New Roman"/>
              <w:b w:val="0"/>
              <w:bCs w:val="0"/>
              <w:color w:val="auto"/>
              <w:sz w:val="32"/>
              <w:szCs w:val="32"/>
              <w:highlight w:val="none"/>
            </w:rPr>
            <w:fldChar w:fldCharType="separate"/>
          </w:r>
          <w:r>
            <w:rPr>
              <w:rFonts w:hint="eastAsia" w:ascii="Times New Roman" w:hAnsi="Times New Roman" w:eastAsia="黑体" w:cs="Times New Roman"/>
              <w:b w:val="0"/>
              <w:bCs w:val="0"/>
              <w:color w:val="auto"/>
              <w:sz w:val="32"/>
              <w:szCs w:val="32"/>
              <w:highlight w:val="none"/>
              <w:lang w:eastAsia="zh-CN"/>
            </w:rPr>
            <w:t>四</w:t>
          </w:r>
          <w:r>
            <w:rPr>
              <w:rFonts w:hint="default" w:ascii="Times New Roman" w:hAnsi="Times New Roman" w:eastAsia="黑体" w:cs="Times New Roman"/>
              <w:b w:val="0"/>
              <w:bCs w:val="0"/>
              <w:color w:val="auto"/>
              <w:sz w:val="32"/>
              <w:szCs w:val="32"/>
              <w:highlight w:val="none"/>
            </w:rPr>
            <w:t>、</w:t>
          </w:r>
          <w:r>
            <w:rPr>
              <w:rFonts w:hint="eastAsia" w:ascii="Times New Roman" w:hAnsi="Times New Roman" w:eastAsia="黑体" w:cs="Times New Roman"/>
              <w:b w:val="0"/>
              <w:bCs w:val="0"/>
              <w:color w:val="auto"/>
              <w:sz w:val="32"/>
              <w:szCs w:val="32"/>
              <w:highlight w:val="none"/>
              <w:lang w:eastAsia="zh-CN"/>
            </w:rPr>
            <w:t>评价单位盖章</w:t>
          </w:r>
          <w:r>
            <w:rPr>
              <w:b w:val="0"/>
              <w:bCs w:val="0"/>
              <w:color w:val="auto"/>
              <w:sz w:val="32"/>
              <w:szCs w:val="32"/>
              <w:highlight w:val="none"/>
            </w:rPr>
            <w:tab/>
          </w:r>
          <w:r>
            <w:rPr>
              <w:b w:val="0"/>
              <w:bCs w:val="0"/>
              <w:color w:val="auto"/>
              <w:sz w:val="32"/>
              <w:szCs w:val="32"/>
              <w:highlight w:val="none"/>
            </w:rPr>
            <w:fldChar w:fldCharType="begin"/>
          </w:r>
          <w:r>
            <w:rPr>
              <w:b w:val="0"/>
              <w:bCs w:val="0"/>
              <w:color w:val="auto"/>
              <w:sz w:val="32"/>
              <w:szCs w:val="32"/>
              <w:highlight w:val="none"/>
            </w:rPr>
            <w:instrText xml:space="preserve"> PAGEREF _Toc15031 \h </w:instrText>
          </w:r>
          <w:r>
            <w:rPr>
              <w:b w:val="0"/>
              <w:bCs w:val="0"/>
              <w:color w:val="auto"/>
              <w:sz w:val="32"/>
              <w:szCs w:val="32"/>
              <w:highlight w:val="none"/>
            </w:rPr>
            <w:fldChar w:fldCharType="separate"/>
          </w:r>
          <w:r>
            <w:rPr>
              <w:b w:val="0"/>
              <w:bCs w:val="0"/>
              <w:color w:val="auto"/>
              <w:sz w:val="32"/>
              <w:szCs w:val="32"/>
              <w:highlight w:val="none"/>
            </w:rPr>
            <w:t>17</w:t>
          </w:r>
          <w:r>
            <w:rPr>
              <w:b w:val="0"/>
              <w:bCs w:val="0"/>
              <w:color w:val="auto"/>
              <w:sz w:val="32"/>
              <w:szCs w:val="32"/>
              <w:highlight w:val="none"/>
            </w:rPr>
            <w:fldChar w:fldCharType="end"/>
          </w:r>
          <w:r>
            <w:rPr>
              <w:rFonts w:hint="default" w:ascii="Times New Roman" w:hAnsi="Times New Roman" w:cs="Times New Roman"/>
              <w:b w:val="0"/>
              <w:bCs w:val="0"/>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rPr>
            <w:fldChar w:fldCharType="end"/>
          </w:r>
        </w:p>
      </w:sdtContent>
    </w:sdt>
    <w:p>
      <w:pPr>
        <w:pStyle w:val="7"/>
        <w:keepNext w:val="0"/>
        <w:keepLines w:val="0"/>
        <w:pageBreakBefore w:val="0"/>
        <w:widowControl w:val="0"/>
        <w:kinsoku/>
        <w:wordWrap/>
        <w:overflowPunct/>
        <w:topLinePunct w:val="0"/>
        <w:autoSpaceDE/>
        <w:autoSpaceDN/>
        <w:bidi w:val="0"/>
        <w:adjustRightInd/>
        <w:snapToGrid/>
        <w:spacing w:line="360" w:lineRule="auto"/>
        <w:ind w:firstLine="640"/>
        <w:jc w:val="center"/>
        <w:textAlignment w:val="auto"/>
        <w:outlineLvl w:val="0"/>
        <w:rPr>
          <w:rFonts w:hint="default" w:ascii="Times New Roman" w:hAnsi="Times New Roman" w:eastAsia="黑体" w:cs="Times New Roman"/>
          <w:b w:val="0"/>
          <w:bCs w:val="0"/>
          <w:color w:val="auto"/>
          <w:kern w:val="2"/>
          <w:sz w:val="32"/>
          <w:highlight w:val="none"/>
          <w:lang w:val="en-US"/>
        </w:rPr>
        <w:sectPr>
          <w:headerReference r:id="rId3" w:type="default"/>
          <w:footerReference r:id="rId4" w:type="default"/>
          <w:footnotePr>
            <w:numRestart w:val="eachPage"/>
          </w:footnotePr>
          <w:pgSz w:w="11906" w:h="16838"/>
          <w:pgMar w:top="2098" w:right="1474" w:bottom="1984" w:left="1587" w:header="851" w:footer="992" w:gutter="0"/>
          <w:pgNumType w:start="1"/>
          <w:cols w:space="425" w:num="1"/>
          <w:docGrid w:type="lines" w:linePitch="312" w:charSpace="0"/>
        </w:sectPr>
      </w:pPr>
    </w:p>
    <w:bookmarkEnd w:id="0"/>
    <w:bookmarkEnd w:id="1"/>
    <w:bookmarkEnd w:id="2"/>
    <w:bookmarkEnd w:id="3"/>
    <w:bookmarkEnd w:id="4"/>
    <w:p>
      <w:pPr>
        <w:pStyle w:val="7"/>
        <w:keepNext w:val="0"/>
        <w:keepLines w:val="0"/>
        <w:pageBreakBefore w:val="0"/>
        <w:widowControl w:val="0"/>
        <w:kinsoku/>
        <w:wordWrap/>
        <w:overflowPunct/>
        <w:topLinePunct w:val="0"/>
        <w:autoSpaceDE/>
        <w:autoSpaceDN/>
        <w:bidi w:val="0"/>
        <w:adjustRightInd/>
        <w:snapToGrid/>
        <w:spacing w:line="520" w:lineRule="exact"/>
        <w:ind w:firstLine="883"/>
        <w:jc w:val="center"/>
        <w:textAlignment w:val="auto"/>
        <w:rPr>
          <w:rFonts w:hint="eastAsia" w:ascii="仿宋_GB2312" w:hAnsi="仿宋_GB2312" w:eastAsia="仿宋_GB2312" w:cs="仿宋_GB2312"/>
          <w:b/>
          <w:color w:val="auto"/>
          <w:sz w:val="44"/>
          <w:szCs w:val="44"/>
          <w:highlight w:val="none"/>
          <w:lang w:eastAsia="zh-CN"/>
        </w:rPr>
      </w:pPr>
      <w:r>
        <w:rPr>
          <w:rFonts w:hint="eastAsia" w:ascii="仿宋_GB2312" w:hAnsi="仿宋_GB2312" w:eastAsia="仿宋_GB2312" w:cs="仿宋_GB2312"/>
          <w:b/>
          <w:color w:val="auto"/>
          <w:sz w:val="44"/>
          <w:szCs w:val="44"/>
          <w:highlight w:val="none"/>
          <w:lang w:val="en-US" w:eastAsia="zh-CN"/>
        </w:rPr>
        <w:t>2020</w:t>
      </w:r>
      <w:r>
        <w:rPr>
          <w:rFonts w:hint="eastAsia" w:ascii="仿宋_GB2312" w:hAnsi="仿宋_GB2312" w:eastAsia="仿宋_GB2312" w:cs="仿宋_GB2312"/>
          <w:b/>
          <w:color w:val="auto"/>
          <w:sz w:val="44"/>
          <w:szCs w:val="44"/>
          <w:highlight w:val="none"/>
        </w:rPr>
        <w:t>年度</w:t>
      </w:r>
      <w:r>
        <w:rPr>
          <w:rFonts w:hint="eastAsia" w:ascii="仿宋_GB2312" w:hAnsi="仿宋_GB2312" w:eastAsia="仿宋_GB2312" w:cs="仿宋_GB2312"/>
          <w:b/>
          <w:color w:val="auto"/>
          <w:sz w:val="44"/>
          <w:szCs w:val="44"/>
          <w:highlight w:val="none"/>
          <w:lang w:eastAsia="zh-CN"/>
        </w:rPr>
        <w:t>青岛市生态环境局</w:t>
      </w:r>
    </w:p>
    <w:p>
      <w:pPr>
        <w:pStyle w:val="7"/>
        <w:keepNext w:val="0"/>
        <w:keepLines w:val="0"/>
        <w:pageBreakBefore w:val="0"/>
        <w:widowControl w:val="0"/>
        <w:kinsoku/>
        <w:wordWrap/>
        <w:overflowPunct/>
        <w:topLinePunct w:val="0"/>
        <w:autoSpaceDE/>
        <w:autoSpaceDN/>
        <w:bidi w:val="0"/>
        <w:adjustRightInd/>
        <w:snapToGrid/>
        <w:spacing w:line="520" w:lineRule="exact"/>
        <w:ind w:firstLine="883"/>
        <w:jc w:val="center"/>
        <w:textAlignment w:val="auto"/>
        <w:rPr>
          <w:rFonts w:hint="eastAsia" w:ascii="仿宋_GB2312" w:hAnsi="仿宋_GB2312" w:eastAsia="仿宋_GB2312" w:cs="仿宋_GB2312"/>
          <w:b/>
          <w:bCs/>
          <w:color w:val="auto"/>
          <w:sz w:val="44"/>
          <w:szCs w:val="44"/>
          <w:highlight w:val="none"/>
          <w:lang w:val="en-US"/>
        </w:rPr>
      </w:pPr>
      <w:r>
        <w:rPr>
          <w:rFonts w:hint="eastAsia" w:ascii="仿宋_GB2312" w:hAnsi="仿宋_GB2312" w:eastAsia="仿宋_GB2312" w:cs="仿宋_GB2312"/>
          <w:b/>
          <w:color w:val="auto"/>
          <w:sz w:val="44"/>
          <w:szCs w:val="44"/>
          <w:highlight w:val="none"/>
        </w:rPr>
        <w:t>整体支出绩效评价报告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firstLine="640" w:firstLineChars="200"/>
        <w:textAlignment w:val="auto"/>
        <w:rPr>
          <w:rFonts w:hint="default" w:ascii="Times New Roman" w:hAnsi="Times New Roman" w:cs="Times New Roman"/>
          <w:color w:val="auto"/>
          <w:highlight w:val="none"/>
        </w:rPr>
      </w:pPr>
      <w:bookmarkStart w:id="5" w:name="_Toc27366"/>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0" w:firstLineChars="200"/>
        <w:textAlignment w:val="auto"/>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一、</w:t>
      </w:r>
      <w:r>
        <w:rPr>
          <w:rFonts w:hint="eastAsia" w:ascii="Times New Roman" w:hAnsi="Times New Roman" w:cs="Times New Roman"/>
          <w:color w:val="auto"/>
          <w:highlight w:val="none"/>
          <w:lang w:eastAsia="zh-CN"/>
        </w:rPr>
        <w:t>部门基本情况</w:t>
      </w:r>
      <w:bookmarkEnd w:id="5"/>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0" w:firstLineChars="200"/>
        <w:textAlignment w:val="auto"/>
        <w:outlineLvl w:val="1"/>
        <w:rPr>
          <w:rFonts w:hint="default" w:ascii="楷体_GB2312" w:hAnsi="楷体_GB2312" w:eastAsia="楷体_GB2312" w:cs="楷体_GB2312"/>
          <w:b w:val="0"/>
          <w:bCs w:val="0"/>
          <w:color w:val="auto"/>
          <w:kern w:val="0"/>
          <w:sz w:val="32"/>
          <w:szCs w:val="32"/>
          <w:highlight w:val="none"/>
          <w:lang w:val="en-US" w:eastAsia="zh-CN" w:bidi="ar-SA"/>
        </w:rPr>
      </w:pPr>
      <w:bookmarkStart w:id="6" w:name="_Toc1628"/>
      <w:r>
        <w:rPr>
          <w:rFonts w:hint="eastAsia" w:ascii="楷体_GB2312" w:hAnsi="楷体_GB2312" w:eastAsia="楷体_GB2312" w:cs="楷体_GB2312"/>
          <w:b w:val="0"/>
          <w:bCs w:val="0"/>
          <w:color w:val="auto"/>
          <w:kern w:val="0"/>
          <w:sz w:val="32"/>
          <w:szCs w:val="32"/>
          <w:highlight w:val="none"/>
          <w:lang w:val="en-US" w:eastAsia="zh-CN" w:bidi="ar-SA"/>
        </w:rPr>
        <w:t>（一）</w:t>
      </w:r>
      <w:r>
        <w:rPr>
          <w:rFonts w:hint="default" w:ascii="楷体_GB2312" w:hAnsi="楷体_GB2312" w:eastAsia="楷体_GB2312" w:cs="楷体_GB2312"/>
          <w:b w:val="0"/>
          <w:bCs w:val="0"/>
          <w:color w:val="auto"/>
          <w:kern w:val="0"/>
          <w:sz w:val="32"/>
          <w:szCs w:val="32"/>
          <w:highlight w:val="none"/>
          <w:lang w:val="en-US" w:eastAsia="zh-CN" w:bidi="ar-SA"/>
        </w:rPr>
        <w:t>部门概况</w:t>
      </w:r>
      <w:bookmarkEnd w:id="6"/>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1.</w:t>
      </w:r>
      <w:r>
        <w:rPr>
          <w:rFonts w:hint="eastAsia" w:ascii="仿宋_GB2312" w:hAnsi="仿宋_GB2312" w:eastAsia="仿宋_GB2312" w:cs="仿宋_GB2312"/>
          <w:bCs/>
          <w:color w:val="auto"/>
          <w:kern w:val="0"/>
          <w:sz w:val="32"/>
          <w:szCs w:val="32"/>
          <w:highlight w:val="none"/>
        </w:rPr>
        <w:t>部门设立背景</w:t>
      </w:r>
      <w:bookmarkStart w:id="7" w:name="_Toc26964728"/>
    </w:p>
    <w:bookmarkEnd w:id="7"/>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default" w:ascii="仿宋_GB2312" w:hAnsi="仿宋_GB2312" w:eastAsia="仿宋_GB2312" w:cs="仿宋_GB2312"/>
          <w:bCs/>
          <w:color w:val="auto"/>
          <w:sz w:val="32"/>
          <w:szCs w:val="32"/>
          <w:highlight w:val="none"/>
          <w:lang w:val="en-US" w:eastAsia="zh-CN"/>
        </w:rPr>
      </w:pPr>
      <w:r>
        <w:rPr>
          <w:rFonts w:hint="default" w:ascii="仿宋_GB2312" w:hAnsi="仿宋_GB2312" w:eastAsia="仿宋_GB2312" w:cs="仿宋_GB2312"/>
          <w:bCs/>
          <w:color w:val="auto"/>
          <w:sz w:val="32"/>
          <w:szCs w:val="32"/>
          <w:highlight w:val="none"/>
          <w:lang w:val="en-US" w:eastAsia="zh-CN"/>
        </w:rPr>
        <w:t>根据</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"https://baike.baidu.com/item/%E4%B8%AD%E5%A4%AE%E6%9C%BA%E6%9E%84%E7%BC%96%E5%88%B6%E5%A7%94%E5%91%98%E4%BC%9A/8521519"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中央机构编制委员会</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备案审查同意，省委、</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"https://baike.baidu.com/item/%E7%9C%81%E6%94%BF%E5%BA%9C/6192618"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省政府</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批准的《青岛市</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"https://baike.baidu.com/item/%E6%9C%BA%E6%9E%84%E6%94%B9%E9%9D%A9/7447814"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机构改革</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方案》和市委、市政府《关于</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"https://baike.baidu.com/item/%E9%9D%92%E5%B2%9B%E5%B8%82/785198"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青岛市</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市级机构改革的实施意见》，青岛市生态环境局（以下简称市生态环境局）是市政府</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"https://baike.baidu.com/item/%E5%B7%A5%E4%BD%9C%E9%83%A8%E9%97%A8/22986209"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工作部门</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，为正局级。青岛市生态环境局贯彻党中央关于</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"https://baike.baidu.com/item/%E7%94%9F%E6%80%81%E7%8E%AF%E5%A2%83/84119"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生态环境</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保护工作的方针政策和决策部署，落实省委、市委工作要求，在履行职责过程中坚持和加强党对生态</w:t>
      </w:r>
      <w:r>
        <w:rPr>
          <w:rFonts w:hint="default" w:ascii="仿宋_GB2312" w:hAnsi="仿宋_GB2312" w:eastAsia="仿宋_GB2312" w:cs="仿宋_GB2312"/>
          <w:bCs/>
          <w:color w:val="auto"/>
          <w:sz w:val="32"/>
          <w:szCs w:val="32"/>
          <w:highlight w:val="none"/>
          <w:lang w:val="en-US" w:eastAsia="zh-CN"/>
        </w:rPr>
        <w:fldChar w:fldCharType="begin"/>
      </w:r>
      <w:r>
        <w:rPr>
          <w:rFonts w:hint="default" w:ascii="仿宋_GB2312" w:hAnsi="仿宋_GB2312" w:eastAsia="仿宋_GB2312" w:cs="仿宋_GB2312"/>
          <w:bCs/>
          <w:color w:val="auto"/>
          <w:sz w:val="32"/>
          <w:szCs w:val="32"/>
          <w:highlight w:val="none"/>
          <w:lang w:val="en-US" w:eastAsia="zh-CN"/>
        </w:rPr>
        <w:instrText xml:space="preserve"> HYPERLINK "https://baike.baidu.com/item/%E7%8E%AF%E5%A2%83%E4%BF%9D%E6%8A%A4/247307" \t "https://baike.baidu.com/item/%E9%9D%92%E5%B2%9B%E5%B8%82%E7%94%9F%E6%80%81%E7%8E%AF%E5%A2%83%E5%B1%80/_blank" </w:instrText>
      </w:r>
      <w:r>
        <w:rPr>
          <w:rFonts w:hint="default" w:ascii="仿宋_GB2312" w:hAnsi="仿宋_GB2312" w:eastAsia="仿宋_GB2312" w:cs="仿宋_GB2312"/>
          <w:bCs/>
          <w:color w:val="auto"/>
          <w:sz w:val="32"/>
          <w:szCs w:val="32"/>
          <w:highlight w:val="none"/>
          <w:lang w:val="en-US" w:eastAsia="zh-CN"/>
        </w:rPr>
        <w:fldChar w:fldCharType="separate"/>
      </w:r>
      <w:r>
        <w:rPr>
          <w:rFonts w:hint="default" w:ascii="仿宋_GB2312" w:hAnsi="仿宋_GB2312" w:eastAsia="仿宋_GB2312" w:cs="仿宋_GB2312"/>
          <w:bCs/>
          <w:color w:val="auto"/>
          <w:sz w:val="32"/>
          <w:szCs w:val="32"/>
          <w:highlight w:val="none"/>
          <w:lang w:val="en-US" w:eastAsia="zh-CN"/>
        </w:rPr>
        <w:t>环境保护</w:t>
      </w:r>
      <w:r>
        <w:rPr>
          <w:rFonts w:hint="default" w:ascii="仿宋_GB2312" w:hAnsi="仿宋_GB2312" w:eastAsia="仿宋_GB2312" w:cs="仿宋_GB2312"/>
          <w:bCs/>
          <w:color w:val="auto"/>
          <w:sz w:val="32"/>
          <w:szCs w:val="32"/>
          <w:highlight w:val="none"/>
          <w:lang w:val="en-US" w:eastAsia="zh-CN"/>
        </w:rPr>
        <w:fldChar w:fldCharType="end"/>
      </w:r>
      <w:r>
        <w:rPr>
          <w:rFonts w:hint="default" w:ascii="仿宋_GB2312" w:hAnsi="仿宋_GB2312" w:eastAsia="仿宋_GB2312" w:cs="仿宋_GB2312"/>
          <w:bCs/>
          <w:color w:val="auto"/>
          <w:sz w:val="32"/>
          <w:szCs w:val="32"/>
          <w:highlight w:val="none"/>
          <w:lang w:val="en-US" w:eastAsia="zh-CN"/>
        </w:rPr>
        <w:t>工作的集中统一领导。</w:t>
      </w:r>
    </w:p>
    <w:p>
      <w:pPr>
        <w:keepNext w:val="0"/>
        <w:keepLines w:val="0"/>
        <w:pageBreakBefore w:val="0"/>
        <w:widowControl w:val="0"/>
        <w:tabs>
          <w:tab w:val="left" w:pos="3771"/>
        </w:tabs>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Cs/>
          <w:color w:val="auto"/>
          <w:kern w:val="0"/>
          <w:sz w:val="32"/>
          <w:szCs w:val="32"/>
          <w:highlight w:val="none"/>
          <w:lang w:val="en-US" w:eastAsia="zh-CN"/>
        </w:rPr>
        <w:t>2.</w:t>
      </w:r>
      <w:r>
        <w:rPr>
          <w:rFonts w:hint="eastAsia" w:ascii="仿宋_GB2312" w:hAnsi="仿宋_GB2312" w:eastAsia="仿宋_GB2312" w:cs="仿宋_GB2312"/>
          <w:bCs/>
          <w:color w:val="auto"/>
          <w:kern w:val="0"/>
          <w:sz w:val="32"/>
          <w:szCs w:val="32"/>
          <w:highlight w:val="none"/>
        </w:rPr>
        <w:t>部门职能</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根据《青岛市生态环境局职能配置、内设机构和人员编制规定》（青厅字〔2019〕32号）等相关文件，市生态环境局的主要职能包括以下十五个方面</w:t>
      </w:r>
      <w:r>
        <w:rPr>
          <w:rFonts w:hint="eastAsia" w:ascii="仿宋_GB2312" w:hAnsi="仿宋_GB2312" w:eastAsia="仿宋_GB2312" w:cs="仿宋_GB2312"/>
          <w:color w:val="auto"/>
          <w:sz w:val="32"/>
          <w:szCs w:val="32"/>
          <w:highlight w:val="none"/>
        </w:rPr>
        <w:t>：</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贯彻执行生态环境领域的法律法规和方针政策。会同有关部门拟订生态环境规划、政策、区划并组织实施，起草生态环境地方性法规、政府规章草案。会同有关部门编制并监督实施重点区域、流域、海域、饮用水水源地生态环境规划和水功能区划。参与制定有利于生态环境保护的经济政策，推进绿色金融体系建设。</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负责重大生态环境问题的统筹协调和监督管理。组织协调生态环境污染事故和生态破坏事件的调查处理。组织协调突发生态环境事件、重污染天气的应急、预警工作。牵头指导实施生态环境损害赔偿制度，协调解决有关跨区域、跨流域环境污染纠纷，统筹协调重点区域、流域、海域生态环境保护。组织编制并监督实施突发生态环境事件应急预案、重污染天气应急预案、辐射事故应急预案。建立健全企业环境行为信用评价制度。</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负责监督管理减排目标的落实。组织制定陆地和海洋各类污染物排放总量控制制度并监督实施，监督检查各区（市）污染物减排任务完成情况，实施生态环境保护目标责任制。负责排污权有偿使用和交易工作。依法配合税务机关开展环境保护税征收管理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负责生态环境准入的监督管理。承办重大经济和技术政策、发展规划以及重大经济开发计划环境影响评价相关工作。按照规定组织审查专项规划，审批或者审查开发建设区域、规划、建设项目环境影响评价文件。对涉及生态环境的地方性法规、政府规章草案提出有关环境影响方面的意见。拟订并组织实施生态环境准入清单。组织实施污染物排放许可证制度。负责提出全市生态环境领域固定资产投资计划、方向和财政资金安排建议，推动政府向社会力量购买服务。</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负责环境污染防治的监督管理。制定大气、水、海洋、土壤、噪声、光、恶臭、固体废物、重金属、化学品、机动车等的污染防治管理制度并监督实施。会同有关部门监督管理饮用水水源地生态环境保护工作，监督指导城乡生态环境综合整治和农业面源污染治理工作。协调区域大气环境保护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协调指导和监督生态保护修复工作。组织编制生态环境保护规划，开展生态状况评估，监督对生态环境有影响的自然资源开发利用活动、重要生态环境建设和生态破坏恢复工作。组织制定各类自然保护地生态环境监管制度并监督执法。监督野生动植物保护、湿地环境保护、荒漠化防治等工作。指导协调和监督农村生态环境保护。监督生物技术环境安全，牵头生物物种（含遗传资源）工作，组织协调生物多样性保护，参与生态保护补偿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负责核与辐射安全的监督管理工作。参与核安全和辐射安全政策的组织实施工作。负责辐射环境事故应急处理，参与核事故应急响应工作。监督管理核技术利用、电磁辐射、伴有放射性矿产资源开发利用中的污染防治。负责放射性废物管理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开展生态环境科技和信息化工作。组织生态环境科学研究和先进技术工程示范，推动环境技术管理体系建设。推行清洁生产，参与指导和推动循环经济和环保产业发展。负责生态环境与健康管理相关工作。负责生态环境信息化建设与管理。</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（9）负责应对气候变化工作，拟订并组织实施应对气候变化以及室温气体减排规划、政策、制度，研究提出低碳发展的政策建议，组织协调碳排放权交易工作。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（10）负责生态环境监督执法。负责组织开展生态环境保护执法检查活动，查处生态环境违法违规案件。指导全市生态环境保护综合执法队伍建设和业务工作。 </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(11)负责有关生态环境监测工作。组织开展生态环境执法监测、应急监测等工作，按照要求做好生态环境质量监测、核与辐射监测和生态环境信息发布等相关工作，建立健全生态环境监测信息共享机制。</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12）负责生态环境宣传教育工作。制定并组织实施生态环境保护宣传教育计划，开展生态文明建设有关宣传教育工作，推动社会组织和公众广泛参与生态环境保护。承担生态环境领域招商引资和招才引智相关工作。配合有关部门承担生态环境领域优化营商环境相关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开展生态环境对外合作与交流。研究提出国际生态环境合作中有关问题的建议。组织协调生态环境国际条约履约工作，协调推进与履约有关的利用外资项目。按照委托组织处理涉外生态环境事务。负责培育、引导、扶持生态环境行业协会发展，推进行业协会自律，发挥服务国家、服务社会、服务群众、服务行业的作用。</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（14）承担市环境保护委员会日常工作。</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（15）完成市委、市政府交办的其他任务。</w:t>
      </w:r>
    </w:p>
    <w:p>
      <w:pPr>
        <w:keepNext w:val="0"/>
        <w:keepLines w:val="0"/>
        <w:pageBreakBefore w:val="0"/>
        <w:widowControl w:val="0"/>
        <w:tabs>
          <w:tab w:val="left" w:pos="3771"/>
        </w:tabs>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.部门架构</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根据《青岛市生态环境局职能配置、内设机构和人员编制规定》、《2020年青岛市生态环境局部门预算》等文件规定。青岛市生态环境局内设机构共 17 个，分别为：办公室（挂国际合作处牌子）、人事处、财务审计处、综合与科技处、法规和执法监督处、污染物排放总量控制处（挂应对气候变化处牌子）、生态保护处（挂农村生态环境保护处牌子）、水生态环境处、海洋生态环境处、大气环境处、土壤环境和固体废物处、核与辐射安全管理处、环境安全应急和舆情处、环境影响评价处、生态环境保护督察协调办公室、机关党委、离退休工作处。</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青岛市生态环境局所属分局及事业单位共16个：青岛市生态环境局市南分局、青岛市生态环境局市北分局、青岛市生态环境局李沧分局、青岛市生态环境局崂山分局、青岛市生态环境局城阳分局、青岛市生态环境局高新区分局、青岛市生态环境局西海岸新区分局、青岛市生态环境局即墨分局、青岛市生态环境局胶州分局、青岛市生态环境局平度分局、青岛市生态环境局莱西分局、青岛市生态环境综合行政执法支队、青岛市环境信息中心、青岛市环境保护宣传教育中心、青岛市环境保护科学研究院、青岛市环境工程评估中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4.资金投入</w:t>
      </w:r>
      <w:r>
        <w:rPr>
          <w:rFonts w:hint="eastAsia" w:ascii="仿宋_GB2312" w:hAnsi="仿宋_GB2312" w:eastAsia="仿宋_GB2312" w:cs="仿宋_GB2312"/>
          <w:bCs/>
          <w:color w:val="auto"/>
          <w:kern w:val="0"/>
          <w:sz w:val="32"/>
          <w:szCs w:val="32"/>
          <w:highlight w:val="none"/>
        </w:rPr>
        <w:t>及</w:t>
      </w:r>
      <w:r>
        <w:rPr>
          <w:rFonts w:hint="eastAsia" w:ascii="仿宋_GB2312" w:hAnsi="仿宋_GB2312" w:eastAsia="仿宋_GB2312" w:cs="仿宋_GB2312"/>
          <w:bCs/>
          <w:color w:val="auto"/>
          <w:kern w:val="0"/>
          <w:sz w:val="32"/>
          <w:szCs w:val="32"/>
          <w:highlight w:val="none"/>
          <w:lang w:eastAsia="zh-CN"/>
        </w:rPr>
        <w:t>使用情况</w:t>
      </w:r>
    </w:p>
    <w:p>
      <w:pPr>
        <w:keepNext w:val="0"/>
        <w:keepLines w:val="0"/>
        <w:pageBreakBefore w:val="0"/>
        <w:widowControl w:val="0"/>
        <w:tabs>
          <w:tab w:val="left" w:pos="3771"/>
        </w:tabs>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bookmarkStart w:id="8" w:name="_Toc20756125"/>
      <w:bookmarkStart w:id="9" w:name="_Toc19721731"/>
      <w:bookmarkStart w:id="10" w:name="_Toc24460766"/>
      <w:bookmarkStart w:id="11" w:name="_Toc26287999"/>
      <w:bookmarkStart w:id="12" w:name="_Toc24387573"/>
      <w:bookmarkStart w:id="13" w:name="_Toc19180237"/>
      <w:bookmarkStart w:id="14" w:name="_Toc27555498"/>
      <w:bookmarkStart w:id="15" w:name="_Toc26964729"/>
      <w:r>
        <w:rPr>
          <w:rFonts w:hint="eastAsia" w:ascii="仿宋_GB2312" w:hAnsi="仿宋_GB2312" w:eastAsia="仿宋_GB2312" w:cs="仿宋_GB2312"/>
          <w:b w:val="0"/>
          <w:bCs w:val="0"/>
          <w:color w:val="auto"/>
          <w:sz w:val="32"/>
          <w:szCs w:val="32"/>
          <w:highlight w:val="none"/>
          <w:lang w:eastAsia="zh-CN"/>
        </w:rPr>
        <w:t>⑴</w:t>
      </w:r>
      <w:r>
        <w:rPr>
          <w:rFonts w:hint="eastAsia" w:ascii="仿宋_GB2312" w:hAnsi="仿宋_GB2312" w:eastAsia="仿宋_GB2312" w:cs="仿宋_GB2312"/>
          <w:b w:val="0"/>
          <w:bCs w:val="0"/>
          <w:color w:val="auto"/>
          <w:sz w:val="32"/>
          <w:szCs w:val="32"/>
          <w:highlight w:val="none"/>
        </w:rPr>
        <w:t>部门收支总体情况</w:t>
      </w:r>
      <w:bookmarkEnd w:id="8"/>
      <w:bookmarkEnd w:id="9"/>
      <w:bookmarkEnd w:id="10"/>
      <w:bookmarkEnd w:id="11"/>
      <w:bookmarkEnd w:id="12"/>
      <w:bookmarkEnd w:id="13"/>
      <w:bookmarkEnd w:id="14"/>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2020年度市生态环境局年初预算21853.81万元，调整预算数40282.91万元，决算数37409.40万元，年末结转和结余数2873.51万元，预算执行率92.87%。年度预算及支出数据如下</w:t>
      </w:r>
      <w:r>
        <w:rPr>
          <w:rFonts w:hint="eastAsia" w:ascii="仿宋_GB2312" w:hAnsi="仿宋_GB2312" w:eastAsia="仿宋_GB2312" w:cs="仿宋_GB2312"/>
          <w:bCs/>
          <w:color w:val="auto"/>
          <w:sz w:val="32"/>
          <w:szCs w:val="32"/>
          <w:highlight w:val="none"/>
          <w:lang w:eastAsia="zh-CN"/>
        </w:rPr>
        <w:t>表</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黑体" w:hAnsi="黑体" w:eastAsia="黑体" w:cs="黑体"/>
          <w:b w:val="0"/>
          <w:bCs/>
          <w:color w:val="auto"/>
          <w:sz w:val="28"/>
          <w:szCs w:val="32"/>
          <w:highlight w:val="none"/>
          <w:lang w:val="en-US"/>
        </w:rPr>
      </w:pPr>
      <w:r>
        <w:rPr>
          <w:rFonts w:hint="eastAsia" w:ascii="黑体" w:hAnsi="黑体" w:eastAsia="黑体" w:cs="黑体"/>
          <w:b w:val="0"/>
          <w:bCs/>
          <w:color w:val="auto"/>
          <w:sz w:val="28"/>
          <w:szCs w:val="32"/>
          <w:highlight w:val="none"/>
          <w:lang w:val="en-US"/>
        </w:rPr>
        <w:t>表1</w:t>
      </w:r>
      <w:r>
        <w:rPr>
          <w:rFonts w:hint="eastAsia" w:ascii="黑体" w:hAnsi="黑体" w:eastAsia="黑体" w:cs="黑体"/>
          <w:b w:val="0"/>
          <w:bCs/>
          <w:color w:val="auto"/>
          <w:sz w:val="28"/>
          <w:szCs w:val="32"/>
          <w:highlight w:val="none"/>
          <w:lang w:val="en-US" w:eastAsia="zh-CN"/>
        </w:rPr>
        <w:t xml:space="preserve"> </w:t>
      </w:r>
      <w:r>
        <w:rPr>
          <w:rFonts w:hint="eastAsia" w:ascii="黑体" w:hAnsi="黑体" w:eastAsia="黑体" w:cs="黑体"/>
          <w:b w:val="0"/>
          <w:bCs/>
          <w:color w:val="auto"/>
          <w:sz w:val="28"/>
          <w:szCs w:val="32"/>
          <w:highlight w:val="none"/>
          <w:lang w:val="en-US"/>
        </w:rPr>
        <w:t>市生态环境局2020年度预算及支出情况</w:t>
      </w:r>
    </w:p>
    <w:tbl>
      <w:tblPr>
        <w:tblStyle w:val="23"/>
        <w:tblW w:w="5000" w:type="pct"/>
        <w:tblInd w:w="0" w:type="dxa"/>
        <w:tblLayout w:type="fixed"/>
        <w:tblCellMar>
          <w:top w:w="0" w:type="dxa"/>
          <w:left w:w="108" w:type="dxa"/>
          <w:bottom w:w="0" w:type="dxa"/>
          <w:right w:w="108" w:type="dxa"/>
        </w:tblCellMar>
      </w:tblPr>
      <w:tblGrid>
        <w:gridCol w:w="1763"/>
        <w:gridCol w:w="1660"/>
        <w:gridCol w:w="1677"/>
        <w:gridCol w:w="1898"/>
        <w:gridCol w:w="2064"/>
      </w:tblGrid>
      <w:tr>
        <w:tblPrEx>
          <w:tblCellMar>
            <w:top w:w="0" w:type="dxa"/>
            <w:left w:w="108" w:type="dxa"/>
            <w:bottom w:w="0" w:type="dxa"/>
            <w:right w:w="108" w:type="dxa"/>
          </w:tblCellMar>
        </w:tblPrEx>
        <w:trPr>
          <w:trHeight w:val="624" w:hRule="atLeast"/>
        </w:trPr>
        <w:tc>
          <w:tcPr>
            <w:tcW w:w="973" w:type="pct"/>
            <w:tcBorders>
              <w:top w:val="single" w:color="auto" w:sz="8" w:space="0"/>
              <w:left w:val="single" w:color="auto" w:sz="4" w:space="0"/>
              <w:bottom w:val="single" w:color="auto" w:sz="8" w:space="0"/>
              <w:right w:val="single" w:color="auto" w:sz="8" w:space="0"/>
            </w:tcBorders>
            <w:shd w:val="clear" w:color="000000"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类别</w:t>
            </w:r>
          </w:p>
        </w:tc>
        <w:tc>
          <w:tcPr>
            <w:tcW w:w="916" w:type="pct"/>
            <w:tcBorders>
              <w:top w:val="single" w:color="auto" w:sz="8" w:space="0"/>
              <w:left w:val="nil"/>
              <w:bottom w:val="single" w:color="auto" w:sz="8" w:space="0"/>
              <w:right w:val="single" w:color="auto" w:sz="8" w:space="0"/>
            </w:tcBorders>
            <w:shd w:val="clear" w:color="000000"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年初预算数</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（万元）</w:t>
            </w:r>
          </w:p>
        </w:tc>
        <w:tc>
          <w:tcPr>
            <w:tcW w:w="925" w:type="pct"/>
            <w:tcBorders>
              <w:top w:val="single" w:color="auto" w:sz="8" w:space="0"/>
              <w:left w:val="nil"/>
              <w:bottom w:val="single" w:color="auto" w:sz="8" w:space="0"/>
              <w:right w:val="single" w:color="auto" w:sz="4" w:space="0"/>
            </w:tcBorders>
            <w:shd w:val="clear" w:color="000000"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调整预算数</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（万元）</w:t>
            </w:r>
          </w:p>
        </w:tc>
        <w:tc>
          <w:tcPr>
            <w:tcW w:w="1047" w:type="pct"/>
            <w:tcBorders>
              <w:top w:val="single" w:color="auto" w:sz="8" w:space="0"/>
              <w:left w:val="single" w:color="auto" w:sz="4" w:space="0"/>
              <w:bottom w:val="single" w:color="auto" w:sz="8" w:space="0"/>
              <w:right w:val="single" w:color="auto" w:sz="8" w:space="0"/>
            </w:tcBorders>
            <w:shd w:val="clear" w:color="000000"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决算数（万元）</w:t>
            </w:r>
          </w:p>
        </w:tc>
        <w:tc>
          <w:tcPr>
            <w:tcW w:w="1139" w:type="pct"/>
            <w:tcBorders>
              <w:top w:val="single" w:color="auto" w:sz="8" w:space="0"/>
              <w:left w:val="nil"/>
              <w:bottom w:val="single" w:color="auto" w:sz="8" w:space="0"/>
              <w:right w:val="single" w:color="auto" w:sz="8" w:space="0"/>
            </w:tcBorders>
            <w:shd w:val="clear" w:color="000000"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预算执行率（%）</w:t>
            </w:r>
          </w:p>
        </w:tc>
      </w:tr>
      <w:tr>
        <w:tblPrEx>
          <w:tblCellMar>
            <w:top w:w="0" w:type="dxa"/>
            <w:left w:w="108" w:type="dxa"/>
            <w:bottom w:w="0" w:type="dxa"/>
            <w:right w:w="108" w:type="dxa"/>
          </w:tblCellMar>
        </w:tblPrEx>
        <w:trPr>
          <w:trHeight w:val="454" w:hRule="atLeast"/>
        </w:trPr>
        <w:tc>
          <w:tcPr>
            <w:tcW w:w="973" w:type="pct"/>
            <w:tcBorders>
              <w:top w:val="nil"/>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基本支出</w:t>
            </w:r>
          </w:p>
        </w:tc>
        <w:tc>
          <w:tcPr>
            <w:tcW w:w="916" w:type="pct"/>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13498.81</w:t>
            </w:r>
          </w:p>
        </w:tc>
        <w:tc>
          <w:tcPr>
            <w:tcW w:w="925" w:type="pct"/>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17047.18</w:t>
            </w:r>
          </w:p>
        </w:tc>
        <w:tc>
          <w:tcPr>
            <w:tcW w:w="1047" w:type="pct"/>
            <w:tcBorders>
              <w:top w:val="nil"/>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148</w:t>
            </w:r>
            <w:r>
              <w:rPr>
                <w:rFonts w:hint="eastAsia" w:ascii="宋体" w:hAnsi="宋体" w:eastAsia="宋体" w:cs="宋体"/>
                <w:color w:val="auto"/>
                <w:kern w:val="0"/>
                <w:sz w:val="22"/>
                <w:szCs w:val="22"/>
                <w:highlight w:val="none"/>
                <w:lang w:val="en-US" w:eastAsia="zh-CN"/>
              </w:rPr>
              <w:t>65</w:t>
            </w:r>
            <w:r>
              <w:rPr>
                <w:rFonts w:hint="eastAsia" w:ascii="宋体" w:hAnsi="宋体" w:eastAsia="宋体" w:cs="宋体"/>
                <w:color w:val="auto"/>
                <w:kern w:val="0"/>
                <w:sz w:val="22"/>
                <w:szCs w:val="22"/>
                <w:highlight w:val="none"/>
              </w:rPr>
              <w:t>.67</w:t>
            </w:r>
          </w:p>
        </w:tc>
        <w:tc>
          <w:tcPr>
            <w:tcW w:w="1139" w:type="pct"/>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87.20%</w:t>
            </w:r>
          </w:p>
        </w:tc>
      </w:tr>
      <w:tr>
        <w:tblPrEx>
          <w:tblCellMar>
            <w:top w:w="0" w:type="dxa"/>
            <w:left w:w="108" w:type="dxa"/>
            <w:bottom w:w="0" w:type="dxa"/>
            <w:right w:w="108" w:type="dxa"/>
          </w:tblCellMar>
        </w:tblPrEx>
        <w:trPr>
          <w:trHeight w:val="454" w:hRule="atLeast"/>
        </w:trPr>
        <w:tc>
          <w:tcPr>
            <w:tcW w:w="973" w:type="pct"/>
            <w:tcBorders>
              <w:top w:val="nil"/>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项目支出</w:t>
            </w:r>
          </w:p>
        </w:tc>
        <w:tc>
          <w:tcPr>
            <w:tcW w:w="916" w:type="pct"/>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8355.00</w:t>
            </w:r>
          </w:p>
        </w:tc>
        <w:tc>
          <w:tcPr>
            <w:tcW w:w="925" w:type="pct"/>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23235.73</w:t>
            </w:r>
          </w:p>
        </w:tc>
        <w:tc>
          <w:tcPr>
            <w:tcW w:w="1047" w:type="pct"/>
            <w:tcBorders>
              <w:top w:val="nil"/>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22543.73</w:t>
            </w:r>
          </w:p>
        </w:tc>
        <w:tc>
          <w:tcPr>
            <w:tcW w:w="1139" w:type="pct"/>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97.02%</w:t>
            </w:r>
          </w:p>
        </w:tc>
      </w:tr>
      <w:tr>
        <w:tblPrEx>
          <w:tblCellMar>
            <w:top w:w="0" w:type="dxa"/>
            <w:left w:w="108" w:type="dxa"/>
            <w:bottom w:w="0" w:type="dxa"/>
            <w:right w:w="108" w:type="dxa"/>
          </w:tblCellMar>
        </w:tblPrEx>
        <w:trPr>
          <w:trHeight w:val="454" w:hRule="atLeast"/>
        </w:trPr>
        <w:tc>
          <w:tcPr>
            <w:tcW w:w="973" w:type="pct"/>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合计</w:t>
            </w:r>
          </w:p>
        </w:tc>
        <w:tc>
          <w:tcPr>
            <w:tcW w:w="916" w:type="pct"/>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21853.81</w:t>
            </w:r>
          </w:p>
        </w:tc>
        <w:tc>
          <w:tcPr>
            <w:tcW w:w="925" w:type="pct"/>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40282.91</w:t>
            </w:r>
          </w:p>
        </w:tc>
        <w:tc>
          <w:tcPr>
            <w:tcW w:w="1047" w:type="pct"/>
            <w:tcBorders>
              <w:top w:val="nil"/>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37409.40</w:t>
            </w:r>
          </w:p>
        </w:tc>
        <w:tc>
          <w:tcPr>
            <w:tcW w:w="1139" w:type="pct"/>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b w:val="0"/>
                <w:bCs w:val="0"/>
                <w:color w:val="auto"/>
                <w:kern w:val="0"/>
                <w:sz w:val="22"/>
                <w:szCs w:val="22"/>
                <w:highlight w:val="none"/>
              </w:rPr>
            </w:pPr>
            <w:r>
              <w:rPr>
                <w:rFonts w:hint="eastAsia" w:ascii="黑体" w:hAnsi="黑体" w:eastAsia="黑体" w:cs="黑体"/>
                <w:b w:val="0"/>
                <w:bCs w:val="0"/>
                <w:color w:val="auto"/>
                <w:kern w:val="0"/>
                <w:sz w:val="22"/>
                <w:szCs w:val="22"/>
                <w:highlight w:val="none"/>
              </w:rPr>
              <w:t>92.87%</w:t>
            </w:r>
          </w:p>
        </w:tc>
      </w:tr>
    </w:tbl>
    <w:p>
      <w:pPr>
        <w:pStyle w:val="76"/>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⑵</w:t>
      </w:r>
      <w:r>
        <w:rPr>
          <w:rFonts w:hint="eastAsia" w:ascii="仿宋_GB2312" w:hAnsi="仿宋_GB2312" w:eastAsia="仿宋_GB2312" w:cs="仿宋_GB2312"/>
          <w:bCs/>
          <w:color w:val="auto"/>
          <w:sz w:val="32"/>
          <w:szCs w:val="32"/>
          <w:highlight w:val="none"/>
        </w:rPr>
        <w:t>项目支出情况</w:t>
      </w:r>
    </w:p>
    <w:p>
      <w:pPr>
        <w:pStyle w:val="76"/>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lang w:eastAsia="zh-CN"/>
        </w:rPr>
        <w:t>根据</w:t>
      </w:r>
      <w:r>
        <w:rPr>
          <w:rFonts w:hint="eastAsia" w:ascii="仿宋_GB2312" w:hAnsi="仿宋_GB2312" w:eastAsia="仿宋_GB2312" w:cs="仿宋_GB2312"/>
          <w:bCs/>
          <w:color w:val="auto"/>
          <w:kern w:val="0"/>
          <w:sz w:val="32"/>
          <w:szCs w:val="32"/>
          <w:highlight w:val="none"/>
        </w:rPr>
        <w:t>《2020年度青岛市生态环境局决算（汇总）》</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sz w:val="32"/>
          <w:szCs w:val="32"/>
          <w:highlight w:val="none"/>
        </w:rPr>
        <w:t>2020年度</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市生态环境局</w:t>
      </w:r>
      <w:r>
        <w:rPr>
          <w:rFonts w:hint="eastAsia" w:ascii="仿宋_GB2312" w:hAnsi="仿宋_GB2312" w:eastAsia="仿宋_GB2312" w:cs="仿宋_GB2312"/>
          <w:bCs/>
          <w:color w:val="auto"/>
          <w:sz w:val="32"/>
          <w:szCs w:val="32"/>
          <w:highlight w:val="none"/>
          <w:lang w:eastAsia="zh-CN"/>
        </w:rPr>
        <w:t>市级</w:t>
      </w:r>
      <w:r>
        <w:rPr>
          <w:rFonts w:hint="eastAsia" w:ascii="仿宋_GB2312" w:hAnsi="仿宋_GB2312" w:eastAsia="仿宋_GB2312" w:cs="仿宋_GB2312"/>
          <w:bCs/>
          <w:color w:val="auto"/>
          <w:sz w:val="32"/>
          <w:szCs w:val="32"/>
          <w:highlight w:val="none"/>
        </w:rPr>
        <w:t>年初项目支出预算8355.00万元，调整预算23235.73万元</w:t>
      </w:r>
      <w:r>
        <w:rPr>
          <w:rFonts w:hint="eastAsia" w:ascii="仿宋_GB2312" w:hAnsi="仿宋_GB2312" w:eastAsia="仿宋_GB2312" w:cs="仿宋_GB2312"/>
          <w:bCs/>
          <w:color w:val="auto"/>
          <w:sz w:val="32"/>
          <w:szCs w:val="32"/>
          <w:highlight w:val="none"/>
          <w:lang w:eastAsia="zh-CN"/>
        </w:rPr>
        <w:t>（含纳入部门决算的中央污染防治资金</w:t>
      </w:r>
      <w:r>
        <w:rPr>
          <w:rFonts w:hint="eastAsia" w:ascii="仿宋_GB2312" w:hAnsi="仿宋_GB2312" w:eastAsia="仿宋_GB2312" w:cs="仿宋_GB2312"/>
          <w:bCs/>
          <w:color w:val="auto"/>
          <w:sz w:val="32"/>
          <w:szCs w:val="32"/>
          <w:highlight w:val="none"/>
          <w:lang w:val="en-US" w:eastAsia="zh-CN"/>
        </w:rPr>
        <w:t>1963万元、</w:t>
      </w:r>
      <w:r>
        <w:rPr>
          <w:rFonts w:hint="eastAsia" w:ascii="仿宋_GB2312" w:hAnsi="仿宋_GB2312" w:eastAsia="仿宋_GB2312" w:cs="仿宋_GB2312"/>
          <w:bCs/>
          <w:color w:val="auto"/>
          <w:sz w:val="32"/>
          <w:szCs w:val="32"/>
          <w:highlight w:val="none"/>
          <w:lang w:eastAsia="zh-CN"/>
        </w:rPr>
        <w:t>省级环保专项资金</w:t>
      </w:r>
      <w:r>
        <w:rPr>
          <w:rFonts w:hint="eastAsia" w:ascii="仿宋_GB2312" w:hAnsi="仿宋_GB2312" w:eastAsia="仿宋_GB2312" w:cs="仿宋_GB2312"/>
          <w:bCs/>
          <w:color w:val="auto"/>
          <w:sz w:val="32"/>
          <w:szCs w:val="32"/>
          <w:highlight w:val="none"/>
          <w:lang w:val="en-US" w:eastAsia="zh-CN"/>
        </w:rPr>
        <w:t>3812.3万元、</w:t>
      </w:r>
      <w:r>
        <w:rPr>
          <w:rFonts w:hint="eastAsia" w:ascii="仿宋_GB2312" w:hAnsi="仿宋_GB2312" w:eastAsia="仿宋_GB2312" w:cs="仿宋_GB2312"/>
          <w:bCs/>
          <w:color w:val="auto"/>
          <w:sz w:val="32"/>
          <w:szCs w:val="32"/>
          <w:highlight w:val="none"/>
          <w:lang w:eastAsia="zh-CN"/>
        </w:rPr>
        <w:t>市级环保专项资金</w:t>
      </w:r>
      <w:r>
        <w:rPr>
          <w:rFonts w:hint="eastAsia" w:ascii="仿宋_GB2312" w:hAnsi="仿宋_GB2312" w:eastAsia="仿宋_GB2312" w:cs="仿宋_GB2312"/>
          <w:bCs/>
          <w:color w:val="auto"/>
          <w:sz w:val="32"/>
          <w:szCs w:val="32"/>
          <w:highlight w:val="none"/>
          <w:lang w:val="en-US" w:eastAsia="zh-CN"/>
        </w:rPr>
        <w:t>8355万和区（市）配套资金9105.43万元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决算金额</w:t>
      </w:r>
      <w:r>
        <w:rPr>
          <w:rFonts w:hint="eastAsia" w:ascii="仿宋_GB2312" w:hAnsi="仿宋_GB2312" w:eastAsia="仿宋_GB2312" w:cs="仿宋_GB2312"/>
          <w:bCs/>
          <w:color w:val="auto"/>
          <w:sz w:val="32"/>
          <w:szCs w:val="32"/>
          <w:highlight w:val="none"/>
        </w:rPr>
        <w:t>22543.73万元，预算执行率97.02%。</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0"/>
        <w:rPr>
          <w:rFonts w:hint="eastAsia" w:ascii="楷体_GB2312" w:hAnsi="楷体_GB2312" w:eastAsia="楷体_GB2312" w:cs="楷体_GB2312"/>
          <w:bCs/>
          <w:color w:val="auto"/>
          <w:kern w:val="0"/>
          <w:sz w:val="32"/>
          <w:szCs w:val="32"/>
          <w:highlight w:val="none"/>
        </w:rPr>
      </w:pPr>
      <w:bookmarkStart w:id="16" w:name="_Toc30293"/>
      <w:r>
        <w:rPr>
          <w:rFonts w:hint="eastAsia" w:ascii="楷体_GB2312" w:hAnsi="楷体_GB2312" w:eastAsia="楷体_GB2312" w:cs="楷体_GB2312"/>
          <w:bCs/>
          <w:color w:val="auto"/>
          <w:kern w:val="0"/>
          <w:sz w:val="32"/>
          <w:szCs w:val="32"/>
          <w:highlight w:val="none"/>
        </w:rPr>
        <w:t>（</w:t>
      </w:r>
      <w:r>
        <w:rPr>
          <w:rFonts w:hint="eastAsia" w:ascii="楷体_GB2312" w:hAnsi="楷体_GB2312" w:eastAsia="楷体_GB2312" w:cs="楷体_GB2312"/>
          <w:bCs/>
          <w:color w:val="auto"/>
          <w:kern w:val="0"/>
          <w:sz w:val="32"/>
          <w:szCs w:val="32"/>
          <w:highlight w:val="none"/>
          <w:lang w:eastAsia="zh-CN"/>
        </w:rPr>
        <w:t>二</w:t>
      </w:r>
      <w:r>
        <w:rPr>
          <w:rFonts w:hint="eastAsia" w:ascii="楷体_GB2312" w:hAnsi="楷体_GB2312" w:eastAsia="楷体_GB2312" w:cs="楷体_GB2312"/>
          <w:bCs/>
          <w:color w:val="auto"/>
          <w:kern w:val="0"/>
          <w:sz w:val="32"/>
          <w:szCs w:val="32"/>
          <w:highlight w:val="none"/>
        </w:rPr>
        <w:t>）</w:t>
      </w:r>
      <w:r>
        <w:rPr>
          <w:rFonts w:hint="eastAsia" w:ascii="楷体_GB2312" w:hAnsi="楷体_GB2312" w:eastAsia="楷体_GB2312" w:cs="楷体_GB2312"/>
          <w:bCs/>
          <w:color w:val="auto"/>
          <w:kern w:val="0"/>
          <w:sz w:val="32"/>
          <w:szCs w:val="32"/>
          <w:highlight w:val="none"/>
          <w:lang w:eastAsia="zh-CN"/>
        </w:rPr>
        <w:t>部门绩效目标</w:t>
      </w:r>
      <w:bookmarkEnd w:id="15"/>
      <w:bookmarkEnd w:id="16"/>
    </w:p>
    <w:p>
      <w:pPr>
        <w:pStyle w:val="94"/>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outlineLvl w:val="9"/>
        <w:rPr>
          <w:rStyle w:val="95"/>
          <w:rFonts w:hint="eastAsia" w:ascii="仿宋_GB2312" w:hAnsi="仿宋_GB2312" w:eastAsia="仿宋_GB2312" w:cs="仿宋_GB2312"/>
          <w:color w:val="auto"/>
          <w:sz w:val="32"/>
          <w:szCs w:val="32"/>
          <w:highlight w:val="none"/>
          <w:lang w:val="en-US" w:eastAsia="zh-CN"/>
        </w:rPr>
      </w:pPr>
      <w:r>
        <w:rPr>
          <w:rStyle w:val="95"/>
          <w:rFonts w:hint="eastAsia" w:ascii="仿宋_GB2312" w:hAnsi="仿宋_GB2312" w:eastAsia="仿宋_GB2312" w:cs="仿宋_GB2312"/>
          <w:color w:val="auto"/>
          <w:sz w:val="32"/>
          <w:szCs w:val="32"/>
          <w:highlight w:val="none"/>
          <w:lang w:val="en-US" w:eastAsia="zh-CN"/>
        </w:rPr>
        <w:t>1.总体目标</w:t>
      </w:r>
    </w:p>
    <w:p>
      <w:pPr>
        <w:pStyle w:val="93"/>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到2020年</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城乡环境质量明显改善</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主要污染物排放总量显著减少</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生态环境空间布局进一步优化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重点区域生态系统稳定性增强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环境风险得到有效管控</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环境基本公共服务均等化程度大幅提高</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生态环境保护制度体系基本完善</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努力构建环境质量好、污染排放少、生态状况优、监管执法严、环保意识强、绿色循环低碳发展的美丽青岛。</w:t>
      </w:r>
    </w:p>
    <w:p>
      <w:pPr>
        <w:pStyle w:val="94"/>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outlineLvl w:val="9"/>
        <w:rPr>
          <w:rStyle w:val="95"/>
          <w:rFonts w:hint="eastAsia" w:ascii="仿宋_GB2312" w:hAnsi="仿宋_GB2312" w:eastAsia="仿宋_GB2312" w:cs="仿宋_GB2312"/>
          <w:color w:val="auto"/>
          <w:sz w:val="32"/>
          <w:szCs w:val="32"/>
          <w:highlight w:val="none"/>
          <w:lang w:val="en-US" w:eastAsia="zh-CN"/>
        </w:rPr>
      </w:pPr>
      <w:r>
        <w:rPr>
          <w:rStyle w:val="95"/>
          <w:rFonts w:hint="eastAsia" w:ascii="仿宋_GB2312" w:hAnsi="仿宋_GB2312" w:eastAsia="仿宋_GB2312" w:cs="仿宋_GB2312"/>
          <w:color w:val="auto"/>
          <w:sz w:val="32"/>
          <w:szCs w:val="32"/>
          <w:highlight w:val="none"/>
          <w:lang w:val="en-US" w:eastAsia="zh-CN"/>
        </w:rPr>
        <w:t>2.2020年度目标</w:t>
      </w:r>
    </w:p>
    <w:p>
      <w:pPr>
        <w:pStyle w:val="94"/>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outlineLvl w:val="9"/>
        <w:rPr>
          <w:rFonts w:hint="eastAsia" w:ascii="仿宋_GB2312" w:hAnsi="仿宋_GB2312" w:eastAsia="仿宋_GB2312" w:cs="仿宋_GB2312"/>
          <w:color w:val="auto"/>
          <w:sz w:val="32"/>
          <w:szCs w:val="32"/>
          <w:highlight w:val="none"/>
        </w:rPr>
      </w:pPr>
      <w:r>
        <w:rPr>
          <w:rStyle w:val="95"/>
          <w:rFonts w:hint="eastAsia" w:ascii="仿宋_GB2312" w:hAnsi="仿宋_GB2312" w:eastAsia="仿宋_GB2312" w:cs="仿宋_GB2312"/>
          <w:color w:val="auto"/>
          <w:sz w:val="32"/>
          <w:szCs w:val="32"/>
          <w:highlight w:val="none"/>
        </w:rPr>
        <w:t>全面完成省下达的环境质量改善和主要污染物总量及单位国内生产总值二氧化碳减排任务。</w:t>
      </w:r>
      <w:r>
        <w:rPr>
          <w:rFonts w:hint="eastAsia" w:ascii="仿宋_GB2312" w:hAnsi="仿宋_GB2312" w:eastAsia="仿宋_GB2312" w:cs="仿宋_GB2312"/>
          <w:color w:val="auto"/>
          <w:sz w:val="32"/>
          <w:szCs w:val="32"/>
          <w:highlight w:val="none"/>
        </w:rPr>
        <w:t>环境空气</w:t>
      </w:r>
      <w:r>
        <w:rPr>
          <w:rStyle w:val="95"/>
          <w:rFonts w:hint="eastAsia" w:ascii="仿宋_GB2312" w:hAnsi="仿宋_GB2312" w:eastAsia="仿宋_GB2312" w:cs="仿宋_GB2312"/>
          <w:color w:val="auto"/>
          <w:sz w:val="32"/>
          <w:szCs w:val="32"/>
          <w:highlight w:val="none"/>
        </w:rPr>
        <w:t>细颗粒物（PM</w:t>
      </w:r>
      <w:r>
        <w:rPr>
          <w:rStyle w:val="95"/>
          <w:rFonts w:hint="eastAsia" w:ascii="仿宋_GB2312" w:hAnsi="仿宋_GB2312" w:eastAsia="仿宋_GB2312" w:cs="仿宋_GB2312"/>
          <w:color w:val="auto"/>
          <w:sz w:val="32"/>
          <w:szCs w:val="32"/>
          <w:highlight w:val="none"/>
          <w:vertAlign w:val="subscript"/>
        </w:rPr>
        <w:t>2.5</w:t>
      </w:r>
      <w:r>
        <w:rPr>
          <w:rStyle w:val="95"/>
          <w:rFonts w:hint="eastAsia" w:ascii="仿宋_GB2312" w:hAnsi="仿宋_GB2312" w:eastAsia="仿宋_GB2312" w:cs="仿宋_GB2312"/>
          <w:color w:val="auto"/>
          <w:sz w:val="32"/>
          <w:szCs w:val="32"/>
          <w:highlight w:val="none"/>
        </w:rPr>
        <w:t>）平均浓度达到35微克/立方米，空气质量优良天数比例达到80.1%；地表水国控点位全部达到考核目标，省控以上重点河流消除劣V类，县级以上本地水源集中式饮用水源地水质保持总体达标；近岸海域水质优良比例95%以上，胶州湾水质优良比例70%以上；农村生活污水治理率达到40%；</w:t>
      </w:r>
      <w:r>
        <w:rPr>
          <w:rFonts w:hint="eastAsia" w:ascii="仿宋_GB2312" w:hAnsi="仿宋_GB2312" w:eastAsia="仿宋_GB2312" w:cs="仿宋_GB2312"/>
          <w:color w:val="auto"/>
          <w:sz w:val="32"/>
          <w:szCs w:val="32"/>
          <w:highlight w:val="none"/>
        </w:rPr>
        <w:t>土壤环境质量保持稳定</w:t>
      </w:r>
      <w:r>
        <w:rPr>
          <w:rStyle w:val="95"/>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建设用地土壤环境风险得到进一步管控，</w:t>
      </w:r>
      <w:r>
        <w:rPr>
          <w:rStyle w:val="95"/>
          <w:rFonts w:hint="eastAsia" w:ascii="仿宋_GB2312" w:hAnsi="仿宋_GB2312" w:eastAsia="仿宋_GB2312" w:cs="仿宋_GB2312"/>
          <w:color w:val="auto"/>
          <w:sz w:val="32"/>
          <w:szCs w:val="32"/>
          <w:highlight w:val="none"/>
        </w:rPr>
        <w:t>污染地块安全利用率不低于90%；危险废物规范化管理抽查合格率不低于90%；</w:t>
      </w:r>
      <w:r>
        <w:rPr>
          <w:rFonts w:hint="eastAsia" w:ascii="仿宋_GB2312" w:hAnsi="仿宋_GB2312" w:eastAsia="仿宋_GB2312" w:cs="仿宋_GB2312"/>
          <w:color w:val="auto"/>
          <w:sz w:val="32"/>
          <w:szCs w:val="32"/>
          <w:highlight w:val="none"/>
        </w:rPr>
        <w:t>环境辐射水平保持天然本底水平；</w:t>
      </w:r>
      <w:r>
        <w:rPr>
          <w:rStyle w:val="95"/>
          <w:rFonts w:hint="eastAsia" w:ascii="仿宋_GB2312" w:hAnsi="仿宋_GB2312" w:eastAsia="仿宋_GB2312" w:cs="仿宋_GB2312"/>
          <w:color w:val="auto"/>
          <w:sz w:val="32"/>
          <w:szCs w:val="32"/>
          <w:highlight w:val="none"/>
        </w:rPr>
        <w:t>环境安全得到持续保障；</w:t>
      </w:r>
      <w:r>
        <w:rPr>
          <w:rFonts w:hint="eastAsia" w:ascii="仿宋_GB2312" w:hAnsi="仿宋_GB2312" w:eastAsia="仿宋_GB2312" w:cs="仿宋_GB2312"/>
          <w:color w:val="auto"/>
          <w:sz w:val="32"/>
          <w:szCs w:val="32"/>
          <w:highlight w:val="none"/>
        </w:rPr>
        <w:t>群众生态环境满意度不断提高；全面从严治党进一步落实。</w:t>
      </w:r>
    </w:p>
    <w:p>
      <w:pPr>
        <w:pStyle w:val="3"/>
        <w:keepNext w:val="0"/>
        <w:keepLines w:val="0"/>
        <w:pageBreakBefore w:val="0"/>
        <w:widowControl w:val="0"/>
        <w:numPr>
          <w:ilvl w:val="0"/>
          <w:numId w:val="0"/>
        </w:numPr>
        <w:kinsoku/>
        <w:wordWrap/>
        <w:overflowPunct/>
        <w:topLinePunct w:val="0"/>
        <w:autoSpaceDE/>
        <w:autoSpaceDN/>
        <w:bidi w:val="0"/>
        <w:spacing w:before="0" w:after="0" w:line="540" w:lineRule="exact"/>
        <w:ind w:firstLine="640" w:firstLineChars="200"/>
        <w:textAlignment w:val="auto"/>
        <w:rPr>
          <w:rFonts w:hint="default" w:ascii="Times New Roman" w:hAnsi="Times New Roman" w:cs="Times New Roman"/>
          <w:color w:val="auto"/>
          <w:highlight w:val="none"/>
        </w:rPr>
      </w:pPr>
      <w:bookmarkStart w:id="17" w:name="_Toc2893"/>
      <w:r>
        <w:rPr>
          <w:rFonts w:hint="default" w:ascii="Times New Roman" w:hAnsi="Times New Roman" w:cs="Times New Roman"/>
          <w:color w:val="auto"/>
          <w:highlight w:val="none"/>
        </w:rPr>
        <w:t>二、评价</w:t>
      </w:r>
      <w:r>
        <w:rPr>
          <w:rFonts w:hint="eastAsia" w:ascii="Times New Roman" w:hAnsi="Times New Roman" w:cs="Times New Roman"/>
          <w:color w:val="auto"/>
          <w:highlight w:val="none"/>
          <w:lang w:eastAsia="zh-CN"/>
        </w:rPr>
        <w:t>实施情况</w:t>
      </w:r>
      <w:bookmarkEnd w:id="17"/>
    </w:p>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1"/>
        <w:rPr>
          <w:rFonts w:hint="eastAsia" w:ascii="楷体_GB2312" w:hAnsi="楷体_GB2312" w:eastAsia="楷体_GB2312" w:cs="楷体_GB2312"/>
          <w:bCs/>
          <w:color w:val="auto"/>
          <w:kern w:val="0"/>
          <w:sz w:val="32"/>
          <w:szCs w:val="32"/>
          <w:highlight w:val="none"/>
          <w:lang w:eastAsia="zh-CN"/>
        </w:rPr>
      </w:pPr>
      <w:bookmarkStart w:id="18" w:name="_Toc26964733"/>
      <w:bookmarkStart w:id="19" w:name="_Toc23024"/>
      <w:r>
        <w:rPr>
          <w:rFonts w:hint="default" w:ascii="楷体_GB2312" w:hAnsi="楷体_GB2312" w:eastAsia="楷体_GB2312" w:cs="楷体_GB2312"/>
          <w:bCs/>
          <w:color w:val="auto"/>
          <w:kern w:val="0"/>
          <w:sz w:val="32"/>
          <w:szCs w:val="32"/>
          <w:highlight w:val="none"/>
        </w:rPr>
        <w:t>（</w:t>
      </w:r>
      <w:r>
        <w:rPr>
          <w:rFonts w:hint="eastAsia" w:ascii="楷体_GB2312" w:hAnsi="楷体_GB2312" w:eastAsia="楷体_GB2312" w:cs="楷体_GB2312"/>
          <w:bCs/>
          <w:color w:val="auto"/>
          <w:kern w:val="0"/>
          <w:sz w:val="32"/>
          <w:szCs w:val="32"/>
          <w:highlight w:val="none"/>
        </w:rPr>
        <w:t>一）评价目的</w:t>
      </w:r>
      <w:bookmarkEnd w:id="18"/>
      <w:r>
        <w:rPr>
          <w:rFonts w:hint="eastAsia" w:ascii="楷体_GB2312" w:hAnsi="楷体_GB2312" w:eastAsia="楷体_GB2312" w:cs="楷体_GB2312"/>
          <w:bCs/>
          <w:color w:val="auto"/>
          <w:kern w:val="0"/>
          <w:sz w:val="32"/>
          <w:szCs w:val="32"/>
          <w:highlight w:val="none"/>
          <w:lang w:eastAsia="zh-CN"/>
        </w:rPr>
        <w:t>、对象和范围</w:t>
      </w:r>
      <w:bookmarkEnd w:id="19"/>
    </w:p>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bookmarkStart w:id="20" w:name="_Toc26964734"/>
      <w:r>
        <w:rPr>
          <w:rFonts w:hint="eastAsia" w:ascii="Times New Roman" w:hAnsi="Times New Roman" w:eastAsia="仿宋_GB2312" w:cs="Times New Roman"/>
          <w:color w:val="auto"/>
          <w:sz w:val="32"/>
          <w:szCs w:val="32"/>
          <w:highlight w:val="none"/>
          <w:lang w:val="en-US" w:eastAsia="zh-CN"/>
        </w:rPr>
        <w:t>1.评价目的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围绕部门职责、行业发展规划，以预算资金管理为主线，统筹考虑资产和业务活动，从运行成本、管理效率、履职效能、社会效应、可持续发展能力和服务对象满意度等方面，衡量部门整体及核心业务实施效果，强化部门整体支出绩效管理责任，推动提高部门整体绩效管理水平。</w:t>
      </w:r>
    </w:p>
    <w:p>
      <w:pPr>
        <w:pStyle w:val="2"/>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9"/>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2.评估对象和范围</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本次绩效</w:t>
      </w:r>
      <w:r>
        <w:rPr>
          <w:rFonts w:hint="eastAsia" w:ascii="Times New Roman" w:hAnsi="Times New Roman" w:eastAsia="仿宋_GB2312" w:cs="Times New Roman"/>
          <w:color w:val="auto"/>
          <w:sz w:val="32"/>
          <w:szCs w:val="32"/>
          <w:highlight w:val="none"/>
        </w:rPr>
        <w:t>评价对象</w:t>
      </w:r>
      <w:r>
        <w:rPr>
          <w:rFonts w:hint="eastAsia" w:ascii="Times New Roman" w:hAnsi="Times New Roman" w:eastAsia="仿宋_GB2312" w:cs="Times New Roman"/>
          <w:color w:val="auto"/>
          <w:sz w:val="32"/>
          <w:szCs w:val="32"/>
          <w:highlight w:val="none"/>
          <w:lang w:eastAsia="zh-CN"/>
        </w:rPr>
        <w:t>为市生态环境局</w:t>
      </w:r>
      <w:r>
        <w:rPr>
          <w:rFonts w:hint="eastAsia" w:ascii="Times New Roman" w:hAnsi="Times New Roman" w:eastAsia="仿宋_GB2312" w:cs="Times New Roman"/>
          <w:color w:val="auto"/>
          <w:sz w:val="32"/>
          <w:szCs w:val="32"/>
          <w:highlight w:val="none"/>
          <w:lang w:val="en-US" w:eastAsia="zh-CN"/>
        </w:rPr>
        <w:t>2020年度</w:t>
      </w:r>
      <w:r>
        <w:rPr>
          <w:rFonts w:hint="eastAsia" w:ascii="Times New Roman" w:hAnsi="Times New Roman" w:eastAsia="仿宋_GB2312" w:cs="Times New Roman"/>
          <w:color w:val="auto"/>
          <w:sz w:val="32"/>
          <w:szCs w:val="32"/>
          <w:highlight w:val="none"/>
        </w:rPr>
        <w:t>部门整体支出</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zh-TW" w:eastAsia="zh-TW"/>
        </w:rPr>
        <w:t>绩效评价</w:t>
      </w:r>
      <w:r>
        <w:rPr>
          <w:rFonts w:hint="eastAsia" w:ascii="Times New Roman" w:hAnsi="Times New Roman" w:eastAsia="仿宋_GB2312" w:cs="Times New Roman"/>
          <w:color w:val="auto"/>
          <w:sz w:val="32"/>
          <w:szCs w:val="32"/>
          <w:highlight w:val="none"/>
          <w:lang w:val="zh-TW"/>
        </w:rPr>
        <w:t>资金</w:t>
      </w:r>
      <w:r>
        <w:rPr>
          <w:rFonts w:hint="eastAsia" w:ascii="Times New Roman" w:hAnsi="Times New Roman" w:eastAsia="仿宋_GB2312" w:cs="Times New Roman"/>
          <w:color w:val="auto"/>
          <w:sz w:val="32"/>
          <w:szCs w:val="32"/>
          <w:highlight w:val="none"/>
          <w:lang w:val="zh-TW" w:eastAsia="zh-TW"/>
        </w:rPr>
        <w:t>范围为一般公共预算安排的用于</w:t>
      </w:r>
      <w:r>
        <w:rPr>
          <w:rFonts w:hint="eastAsia" w:ascii="Times New Roman" w:hAnsi="Times New Roman" w:eastAsia="仿宋_GB2312" w:cs="Times New Roman"/>
          <w:color w:val="auto"/>
          <w:sz w:val="32"/>
          <w:szCs w:val="32"/>
          <w:highlight w:val="none"/>
          <w:lang w:val="zh-TW"/>
        </w:rPr>
        <w:t>市</w:t>
      </w:r>
      <w:r>
        <w:rPr>
          <w:rFonts w:hint="eastAsia" w:ascii="Times New Roman" w:hAnsi="Times New Roman" w:eastAsia="仿宋_GB2312" w:cs="Times New Roman"/>
          <w:color w:val="auto"/>
          <w:sz w:val="32"/>
          <w:szCs w:val="32"/>
          <w:highlight w:val="none"/>
          <w:lang w:val="zh-TW" w:eastAsia="zh-CN"/>
        </w:rPr>
        <w:t>生态环境</w:t>
      </w:r>
      <w:r>
        <w:rPr>
          <w:rFonts w:hint="eastAsia" w:ascii="Times New Roman" w:hAnsi="Times New Roman" w:eastAsia="仿宋_GB2312" w:cs="Times New Roman"/>
          <w:color w:val="auto"/>
          <w:sz w:val="32"/>
          <w:szCs w:val="32"/>
          <w:highlight w:val="none"/>
          <w:lang w:val="zh-TW"/>
        </w:rPr>
        <w:t>局</w:t>
      </w:r>
      <w:r>
        <w:rPr>
          <w:rFonts w:hint="eastAsia" w:ascii="Times New Roman" w:hAnsi="Times New Roman" w:eastAsia="仿宋_GB2312" w:cs="Times New Roman"/>
          <w:color w:val="auto"/>
          <w:sz w:val="32"/>
          <w:szCs w:val="32"/>
          <w:highlight w:val="none"/>
          <w:lang w:val="zh-TW" w:eastAsia="zh-TW"/>
        </w:rPr>
        <w:t>的基本支出</w:t>
      </w:r>
      <w:r>
        <w:rPr>
          <w:rFonts w:hint="eastAsia" w:ascii="Times New Roman" w:hAnsi="Times New Roman" w:eastAsia="仿宋_GB2312" w:cs="Times New Roman"/>
          <w:color w:val="auto"/>
          <w:sz w:val="32"/>
          <w:szCs w:val="32"/>
          <w:highlight w:val="none"/>
          <w:lang w:val="zh-TW" w:eastAsia="zh-CN"/>
        </w:rPr>
        <w:t>和项目支出。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1"/>
        <w:rPr>
          <w:rFonts w:hint="eastAsia" w:ascii="楷体_GB2312" w:hAnsi="楷体_GB2312" w:eastAsia="楷体_GB2312" w:cs="楷体_GB2312"/>
          <w:bCs/>
          <w:color w:val="auto"/>
          <w:kern w:val="0"/>
          <w:sz w:val="32"/>
          <w:szCs w:val="32"/>
          <w:highlight w:val="none"/>
          <w:lang w:eastAsia="zh-CN"/>
        </w:rPr>
      </w:pPr>
      <w:bookmarkStart w:id="21" w:name="_Toc20691"/>
      <w:r>
        <w:rPr>
          <w:rFonts w:hint="default" w:ascii="楷体_GB2312" w:hAnsi="楷体_GB2312" w:eastAsia="楷体_GB2312" w:cs="楷体_GB2312"/>
          <w:bCs/>
          <w:color w:val="auto"/>
          <w:kern w:val="0"/>
          <w:sz w:val="32"/>
          <w:szCs w:val="32"/>
          <w:highlight w:val="none"/>
        </w:rPr>
        <w:t>（二）评价依据</w:t>
      </w:r>
      <w:bookmarkEnd w:id="20"/>
      <w:r>
        <w:rPr>
          <w:rFonts w:hint="eastAsia" w:ascii="楷体_GB2312" w:hAnsi="楷体_GB2312" w:eastAsia="楷体_GB2312" w:cs="楷体_GB2312"/>
          <w:bCs/>
          <w:color w:val="auto"/>
          <w:kern w:val="0"/>
          <w:sz w:val="32"/>
          <w:szCs w:val="32"/>
          <w:highlight w:val="none"/>
          <w:lang w:eastAsia="zh-CN"/>
        </w:rPr>
        <w:t>、方法、标准、指标体系等</w:t>
      </w:r>
      <w:bookmarkEnd w:id="21"/>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bookmarkStart w:id="22" w:name="_Toc26964735"/>
      <w:r>
        <w:rPr>
          <w:rFonts w:hint="eastAsia" w:ascii="Times New Roman" w:hAnsi="Times New Roman" w:eastAsia="仿宋_GB2312" w:cs="Times New Roman"/>
          <w:color w:val="auto"/>
          <w:sz w:val="32"/>
          <w:szCs w:val="32"/>
          <w:highlight w:val="none"/>
          <w:lang w:val="en-US" w:eastAsia="zh-CN"/>
        </w:rPr>
        <w:t>1.评价依据</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Times New Roman" w:hAnsi="Times New Roman" w:eastAsia="仿宋_GB2312" w:cs="Times New Roman"/>
          <w:color w:val="auto"/>
          <w:sz w:val="32"/>
          <w:szCs w:val="32"/>
          <w:highlight w:val="none"/>
        </w:rPr>
        <w:t>《中共中央 国务院关于全面实施预算绩效管理的意见》（中发〔2018〕34号）；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rPr>
        <w:t>财政部《关于贯彻落实&lt;中共中央 国务院关于全面实施预算绩效管理的意见&gt;的通知》（财预〔2018〕167号）；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rPr>
        <w:t>《中共山东省委 山东省人民政府关于全面推进预算绩效管理的实施意见》（鲁发〔2019〕2号）；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rPr>
        <w:t>《中共青岛市委 青岛市人民政府关于深化预算管理改革全面推进预算绩效管理的实施意见》（青发〔2019〕6号）；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bookmarkStart w:id="23" w:name="_Hlk49088702"/>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lang w:val="zh-TW" w:eastAsia="zh-TW"/>
        </w:rPr>
        <w:t>《</w:t>
      </w:r>
      <w:r>
        <w:rPr>
          <w:rFonts w:hint="eastAsia" w:ascii="Times New Roman" w:hAnsi="Times New Roman" w:eastAsia="仿宋_GB2312" w:cs="Times New Roman"/>
          <w:color w:val="auto"/>
          <w:sz w:val="32"/>
          <w:szCs w:val="32"/>
          <w:highlight w:val="none"/>
          <w:lang w:val="zh-TW"/>
        </w:rPr>
        <w:t>青岛市财政局关于印发&lt;</w:t>
      </w:r>
      <w:r>
        <w:rPr>
          <w:rFonts w:hint="eastAsia" w:ascii="Times New Roman" w:hAnsi="Times New Roman" w:eastAsia="仿宋_GB2312" w:cs="Times New Roman"/>
          <w:color w:val="auto"/>
          <w:sz w:val="32"/>
          <w:szCs w:val="32"/>
          <w:highlight w:val="none"/>
          <w:lang w:val="zh-TW" w:eastAsia="zh-TW"/>
        </w:rPr>
        <w:t>市级财政绩效评价操作指南</w:t>
      </w:r>
      <w:r>
        <w:rPr>
          <w:rFonts w:hint="eastAsia" w:ascii="Times New Roman" w:hAnsi="Times New Roman" w:eastAsia="仿宋_GB2312" w:cs="Times New Roman"/>
          <w:color w:val="auto"/>
          <w:sz w:val="32"/>
          <w:szCs w:val="32"/>
          <w:highlight w:val="none"/>
          <w:lang w:val="zh-TW"/>
        </w:rPr>
        <w:t>&gt;的通知</w:t>
      </w:r>
      <w:r>
        <w:rPr>
          <w:rFonts w:hint="eastAsia" w:ascii="Times New Roman" w:hAnsi="Times New Roman" w:eastAsia="仿宋_GB2312" w:cs="Times New Roman"/>
          <w:color w:val="auto"/>
          <w:sz w:val="32"/>
          <w:szCs w:val="32"/>
          <w:highlight w:val="none"/>
          <w:lang w:val="zh-TW" w:eastAsia="zh-TW"/>
        </w:rPr>
        <w:t>》（青财绩〔</w:t>
      </w:r>
      <w:r>
        <w:rPr>
          <w:rFonts w:hint="eastAsia" w:ascii="Times New Roman" w:hAnsi="Times New Roman" w:eastAsia="仿宋_GB2312" w:cs="Times New Roman"/>
          <w:color w:val="auto"/>
          <w:sz w:val="32"/>
          <w:szCs w:val="32"/>
          <w:highlight w:val="none"/>
          <w:lang w:eastAsia="zh-TW"/>
        </w:rPr>
        <w:t>20</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zh-TW" w:eastAsia="zh-TW"/>
        </w:rPr>
        <w:t>〕</w:t>
      </w:r>
      <w:r>
        <w:rPr>
          <w:rFonts w:hint="eastAsia" w:ascii="Times New Roman" w:hAnsi="Times New Roman" w:eastAsia="仿宋_GB2312" w:cs="Times New Roman"/>
          <w:color w:val="auto"/>
          <w:sz w:val="32"/>
          <w:szCs w:val="32"/>
          <w:highlight w:val="none"/>
        </w:rPr>
        <w:t>6</w:t>
      </w:r>
      <w:r>
        <w:rPr>
          <w:rFonts w:hint="eastAsia" w:ascii="Times New Roman" w:hAnsi="Times New Roman" w:eastAsia="仿宋_GB2312" w:cs="Times New Roman"/>
          <w:color w:val="auto"/>
          <w:sz w:val="32"/>
          <w:szCs w:val="32"/>
          <w:highlight w:val="none"/>
          <w:lang w:val="zh-TW" w:eastAsia="zh-TW"/>
        </w:rPr>
        <w:t>号）</w:t>
      </w:r>
      <w:bookmarkEnd w:id="23"/>
      <w:r>
        <w:rPr>
          <w:rFonts w:hint="eastAsia" w:ascii="Times New Roman" w:hAnsi="Times New Roman" w:eastAsia="仿宋_GB2312" w:cs="Times New Roman"/>
          <w:color w:val="auto"/>
          <w:sz w:val="32"/>
          <w:szCs w:val="32"/>
          <w:highlight w:val="none"/>
          <w:lang w:val="zh-TW"/>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rPr>
        <w:t>青岛市</w:t>
      </w:r>
      <w:r>
        <w:rPr>
          <w:rFonts w:hint="eastAsia" w:ascii="Times New Roman" w:hAnsi="Times New Roman" w:eastAsia="仿宋_GB2312" w:cs="Times New Roman"/>
          <w:color w:val="auto"/>
          <w:sz w:val="32"/>
          <w:szCs w:val="32"/>
          <w:highlight w:val="none"/>
          <w:lang w:eastAsia="zh-CN"/>
        </w:rPr>
        <w:t>生态环境</w:t>
      </w:r>
      <w:r>
        <w:rPr>
          <w:rFonts w:hint="eastAsia" w:ascii="Times New Roman" w:hAnsi="Times New Roman" w:eastAsia="仿宋_GB2312" w:cs="Times New Roman"/>
          <w:color w:val="auto"/>
          <w:sz w:val="32"/>
          <w:szCs w:val="32"/>
          <w:highlight w:val="none"/>
        </w:rPr>
        <w:t>局提报的部门职能文件、工作计划、管理制度、预决算报表、工作开展情况等资料；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s="Times New Roman"/>
          <w:color w:val="auto"/>
          <w:sz w:val="32"/>
          <w:szCs w:val="32"/>
          <w:highlight w:val="none"/>
        </w:rPr>
        <w:t>其他资料。</w:t>
      </w:r>
    </w:p>
    <w:bookmarkEnd w:id="22"/>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9"/>
        <w:rPr>
          <w:rFonts w:hint="default" w:ascii="楷体_GB2312" w:hAnsi="楷体_GB2312" w:eastAsia="楷体_GB2312" w:cs="楷体_GB2312"/>
          <w:bCs/>
          <w:color w:val="auto"/>
          <w:kern w:val="0"/>
          <w:sz w:val="32"/>
          <w:szCs w:val="32"/>
          <w:highlight w:val="none"/>
        </w:rPr>
      </w:pPr>
      <w:bookmarkStart w:id="24" w:name="_Toc26964736"/>
      <w:r>
        <w:rPr>
          <w:rFonts w:hint="eastAsia" w:ascii="楷体_GB2312" w:hAnsi="楷体_GB2312" w:eastAsia="楷体_GB2312" w:cs="楷体_GB2312"/>
          <w:bCs/>
          <w:color w:val="auto"/>
          <w:kern w:val="0"/>
          <w:sz w:val="32"/>
          <w:szCs w:val="32"/>
          <w:highlight w:val="none"/>
          <w:lang w:val="en-US" w:eastAsia="zh-CN"/>
        </w:rPr>
        <w:t>2.</w:t>
      </w:r>
      <w:bookmarkEnd w:id="24"/>
      <w:r>
        <w:rPr>
          <w:rFonts w:hint="default" w:ascii="楷体_GB2312" w:hAnsi="楷体_GB2312" w:eastAsia="楷体_GB2312" w:cs="楷体_GB2312"/>
          <w:bCs/>
          <w:color w:val="auto"/>
          <w:kern w:val="0"/>
          <w:sz w:val="32"/>
          <w:szCs w:val="32"/>
          <w:highlight w:val="none"/>
        </w:rPr>
        <w:t>评价方法</w:t>
      </w:r>
    </w:p>
    <w:p>
      <w:pPr>
        <w:keepNext w:val="0"/>
        <w:keepLines w:val="0"/>
        <w:pageBreakBefore w:val="0"/>
        <w:widowControl w:val="0"/>
        <w:tabs>
          <w:tab w:val="left" w:pos="3771"/>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bookmarkStart w:id="25" w:name="_Toc30942"/>
      <w:bookmarkStart w:id="26" w:name="_Toc15901"/>
      <w:bookmarkStart w:id="27" w:name="_Toc22177"/>
      <w:bookmarkStart w:id="28" w:name="_Toc23822"/>
      <w:bookmarkStart w:id="29" w:name="_Toc24816"/>
      <w:r>
        <w:rPr>
          <w:rFonts w:hint="eastAsia" w:ascii="仿宋_GB2312" w:hAnsi="仿宋_GB2312" w:eastAsia="仿宋_GB2312" w:cs="仿宋_GB2312"/>
          <w:color w:val="auto"/>
          <w:sz w:val="32"/>
          <w:szCs w:val="32"/>
          <w:highlight w:val="none"/>
        </w:rPr>
        <w:t>为准确、全面反映部门履职情况和履职效益，体现绩效评价的公平和客观，本次评价主要采用比较法、因素分析法、专家评议法和公众评判法4种方法。</w:t>
      </w:r>
    </w:p>
    <w:p>
      <w:pPr>
        <w:keepNext w:val="0"/>
        <w:keepLines w:val="0"/>
        <w:pageBreakBefore w:val="0"/>
        <w:widowControl w:val="0"/>
        <w:tabs>
          <w:tab w:val="left" w:pos="3771"/>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（1）比较法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通过对绩效目标与绩效结果、历史情况和考评期情况、不同部门和地区同类支出的比较，综合分析考评绩效目标完成情况的评价方法。</w:t>
      </w:r>
    </w:p>
    <w:p>
      <w:pPr>
        <w:keepNext w:val="0"/>
        <w:keepLines w:val="0"/>
        <w:pageBreakBefore w:val="0"/>
        <w:widowControl w:val="0"/>
        <w:tabs>
          <w:tab w:val="left" w:pos="3771"/>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（2）因素分析法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通过分析影响目标、结果及成本的内外因素，综合分析评价绩效目标完成情况，总结项目实施过程中的经验、问题，提出项目改进建议。</w:t>
      </w:r>
    </w:p>
    <w:p>
      <w:pPr>
        <w:keepNext w:val="0"/>
        <w:keepLines w:val="0"/>
        <w:pageBreakBefore w:val="0"/>
        <w:widowControl w:val="0"/>
        <w:tabs>
          <w:tab w:val="left" w:pos="3771"/>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（3）专家评议法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在定量和定性分析的基础上，以打分等方式做出定量评价。根据需求邀请</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rPr>
        <w:t>专家组成评价小组，到项目单位采取勘察、问询、复核、访谈等方式，对有关情况进行核实，对掌握的有关资料进行整理分析，及时提供专业的咨询意见，专家根据评价标准和行业经验进行评分。</w:t>
      </w:r>
    </w:p>
    <w:p>
      <w:pPr>
        <w:keepNext w:val="0"/>
        <w:keepLines w:val="0"/>
        <w:pageBreakBefore w:val="0"/>
        <w:widowControl w:val="0"/>
        <w:tabs>
          <w:tab w:val="left" w:pos="3771"/>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（4）公众评判法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通过专家评估、公众问卷及抽样调查等方式，对财政支出的效率性和效益性进行评判，评价绩效目标的实现程度。</w:t>
      </w:r>
    </w:p>
    <w:p>
      <w:pPr>
        <w:keepNext w:val="0"/>
        <w:keepLines w:val="0"/>
        <w:pageBreakBefore w:val="0"/>
        <w:widowControl w:val="0"/>
        <w:tabs>
          <w:tab w:val="left" w:pos="3771"/>
        </w:tabs>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.评价</w:t>
      </w:r>
      <w:r>
        <w:rPr>
          <w:rFonts w:hint="eastAsia" w:ascii="仿宋_GB2312" w:hAnsi="仿宋_GB2312" w:eastAsia="仿宋_GB2312" w:cs="仿宋_GB2312"/>
          <w:b w:val="0"/>
          <w:bCs w:val="0"/>
          <w:color w:val="auto"/>
          <w:sz w:val="32"/>
          <w:szCs w:val="32"/>
          <w:highlight w:val="none"/>
          <w:lang w:eastAsia="zh-CN"/>
        </w:rPr>
        <w:t>标准</w:t>
      </w:r>
      <w:bookmarkEnd w:id="25"/>
      <w:bookmarkEnd w:id="26"/>
      <w:bookmarkEnd w:id="27"/>
      <w:bookmarkEnd w:id="28"/>
      <w:bookmarkEnd w:id="29"/>
    </w:p>
    <w:p>
      <w:pPr>
        <w:keepNext w:val="0"/>
        <w:keepLines w:val="0"/>
        <w:pageBreakBefore w:val="0"/>
        <w:widowControl w:val="0"/>
        <w:kinsoku/>
        <w:wordWrap/>
        <w:overflowPunct w:val="0"/>
        <w:topLinePunct w:val="0"/>
        <w:autoSpaceDE/>
        <w:autoSpaceDN/>
        <w:bidi w:val="0"/>
        <w:spacing w:line="540" w:lineRule="exact"/>
        <w:ind w:firstLine="640"/>
        <w:textAlignment w:val="auto"/>
        <w:rPr>
          <w:rFonts w:hint="eastAsia"/>
          <w:color w:val="auto"/>
          <w:highlight w:val="none"/>
        </w:rPr>
      </w:pPr>
      <w:bookmarkStart w:id="30" w:name="_Toc7512"/>
      <w:bookmarkStart w:id="31" w:name="_Toc28408"/>
      <w:bookmarkStart w:id="32" w:name="_Toc29541"/>
      <w:bookmarkStart w:id="33" w:name="_Toc4681"/>
      <w:bookmarkStart w:id="34" w:name="_Toc5126"/>
      <w:r>
        <w:rPr>
          <w:rFonts w:hint="eastAsia" w:ascii="仿宋_GB2312" w:hAnsi="仿宋_GB2312" w:eastAsia="仿宋_GB2312" w:cs="仿宋_GB2312"/>
          <w:color w:val="auto"/>
          <w:sz w:val="32"/>
          <w:szCs w:val="32"/>
          <w:highlight w:val="none"/>
        </w:rPr>
        <w:t>评价标准依据</w:t>
      </w:r>
      <w:r>
        <w:rPr>
          <w:rFonts w:hint="eastAsia" w:ascii="仿宋_GB2312" w:hAnsi="仿宋_GB2312" w:eastAsia="仿宋_GB2312" w:cs="仿宋_GB2312"/>
          <w:color w:val="auto"/>
          <w:sz w:val="32"/>
          <w:szCs w:val="32"/>
          <w:highlight w:val="none"/>
          <w:lang w:eastAsia="zh-CN"/>
        </w:rPr>
        <w:t>青岛市人民政府办公厅</w:t>
      </w:r>
      <w:r>
        <w:rPr>
          <w:rFonts w:hint="eastAsia" w:ascii="仿宋_GB2312" w:hAnsi="仿宋_GB2312" w:eastAsia="仿宋_GB2312" w:cs="仿宋_GB2312"/>
          <w:color w:val="auto"/>
          <w:sz w:val="32"/>
          <w:szCs w:val="32"/>
          <w:highlight w:val="none"/>
        </w:rPr>
        <w:t>《关于印发</w:t>
      </w:r>
      <w:r>
        <w:rPr>
          <w:rFonts w:hint="eastAsia" w:ascii="仿宋_GB2312" w:hAnsi="仿宋_GB2312" w:eastAsia="仿宋_GB2312" w:cs="仿宋_GB2312"/>
          <w:color w:val="auto"/>
          <w:sz w:val="32"/>
          <w:szCs w:val="32"/>
          <w:highlight w:val="none"/>
          <w:lang w:eastAsia="zh-CN"/>
        </w:rPr>
        <w:t>青岛市“十三五”生态环境保护规划的通知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青政办发</w:t>
      </w:r>
      <w:r>
        <w:rPr>
          <w:rFonts w:hint="eastAsia" w:ascii="仿宋_GB2312" w:hAnsi="仿宋_GB2312" w:eastAsia="仿宋_GB2312" w:cs="仿宋_GB2312"/>
          <w:color w:val="auto"/>
          <w:sz w:val="32"/>
          <w:szCs w:val="32"/>
          <w:highlight w:val="none"/>
        </w:rPr>
        <w:t>〔2017〕1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青岛市生态环境局党组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关于印发</w:t>
      </w:r>
      <w:r>
        <w:rPr>
          <w:rFonts w:hint="eastAsia" w:ascii="仿宋_GB2312" w:hAnsi="仿宋_GB2312" w:eastAsia="仿宋_GB2312" w:cs="仿宋_GB2312"/>
          <w:color w:val="auto"/>
          <w:sz w:val="32"/>
          <w:szCs w:val="32"/>
          <w:highlight w:val="none"/>
          <w:lang w:val="en-US" w:eastAsia="zh-CN"/>
        </w:rPr>
        <w:t>2020年全局生态环境工作要点的通知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青环党字</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号）等文件，项目资金及实施管理的有关制度</w:t>
      </w:r>
      <w:r>
        <w:rPr>
          <w:rFonts w:hint="eastAsia" w:ascii="仿宋_GB2312" w:hAnsi="仿宋_GB2312" w:eastAsia="仿宋_GB2312" w:cs="仿宋_GB2312"/>
          <w:color w:val="auto"/>
          <w:sz w:val="32"/>
          <w:szCs w:val="32"/>
          <w:highlight w:val="none"/>
          <w:lang w:eastAsia="zh-CN"/>
        </w:rPr>
        <w:t>、生态环境</w:t>
      </w:r>
      <w:r>
        <w:rPr>
          <w:rFonts w:hint="eastAsia" w:ascii="仿宋_GB2312" w:hAnsi="仿宋_GB2312" w:eastAsia="仿宋_GB2312" w:cs="仿宋_GB2312"/>
          <w:color w:val="auto"/>
          <w:sz w:val="32"/>
          <w:szCs w:val="32"/>
          <w:highlight w:val="none"/>
        </w:rPr>
        <w:t>有关技术标准</w:t>
      </w:r>
      <w:r>
        <w:rPr>
          <w:rFonts w:hint="eastAsia" w:ascii="仿宋_GB2312" w:hAnsi="仿宋_GB2312" w:eastAsia="仿宋_GB2312" w:cs="仿宋_GB2312"/>
          <w:color w:val="auto"/>
          <w:sz w:val="32"/>
          <w:szCs w:val="32"/>
          <w:highlight w:val="none"/>
          <w:lang w:eastAsia="zh-CN"/>
        </w:rPr>
        <w:t>以及部门目标任务完成情况申报表、</w:t>
      </w:r>
      <w:r>
        <w:rPr>
          <w:rFonts w:hint="eastAsia" w:ascii="仿宋_GB2312" w:hAnsi="仿宋_GB2312" w:eastAsia="仿宋_GB2312" w:cs="仿宋_GB2312"/>
          <w:color w:val="auto"/>
          <w:spacing w:val="-4"/>
          <w:sz w:val="32"/>
          <w:szCs w:val="32"/>
          <w:highlight w:val="none"/>
          <w:lang w:bidi="ar"/>
        </w:rPr>
        <w:t>项目绩效目标</w:t>
      </w:r>
      <w:r>
        <w:rPr>
          <w:rFonts w:hint="eastAsia" w:ascii="仿宋_GB2312" w:hAnsi="仿宋_GB2312" w:eastAsia="仿宋_GB2312" w:cs="仿宋_GB2312"/>
          <w:color w:val="auto"/>
          <w:spacing w:val="-4"/>
          <w:sz w:val="32"/>
          <w:szCs w:val="32"/>
          <w:highlight w:val="none"/>
          <w:lang w:eastAsia="zh-CN" w:bidi="ar"/>
        </w:rPr>
        <w:t>批复等</w:t>
      </w:r>
      <w:r>
        <w:rPr>
          <w:rFonts w:hint="eastAsia" w:ascii="仿宋_GB2312" w:hAnsi="仿宋_GB2312" w:eastAsia="仿宋_GB2312" w:cs="仿宋_GB2312"/>
          <w:color w:val="auto"/>
          <w:sz w:val="32"/>
          <w:szCs w:val="32"/>
          <w:highlight w:val="none"/>
          <w:lang w:eastAsia="zh-CN"/>
        </w:rPr>
        <w:t>，评价指标标杆值以相关制度及</w:t>
      </w:r>
      <w:r>
        <w:rPr>
          <w:rFonts w:hint="eastAsia" w:ascii="仿宋_GB2312" w:hAnsi="仿宋_GB2312" w:eastAsia="仿宋_GB2312" w:cs="仿宋_GB2312"/>
          <w:b w:val="0"/>
          <w:bCs w:val="0"/>
          <w:color w:val="auto"/>
          <w:spacing w:val="-4"/>
          <w:sz w:val="32"/>
          <w:szCs w:val="32"/>
          <w:highlight w:val="none"/>
          <w:lang w:bidi="ar"/>
        </w:rPr>
        <w:t>计划标</w:t>
      </w:r>
      <w:r>
        <w:rPr>
          <w:rFonts w:hint="eastAsia" w:ascii="仿宋_GB2312" w:hAnsi="仿宋_GB2312" w:eastAsia="仿宋_GB2312" w:cs="仿宋_GB2312"/>
          <w:color w:val="auto"/>
          <w:spacing w:val="-4"/>
          <w:sz w:val="32"/>
          <w:szCs w:val="32"/>
          <w:highlight w:val="none"/>
          <w:lang w:bidi="ar"/>
        </w:rPr>
        <w:t>准、行业标准</w:t>
      </w:r>
      <w:r>
        <w:rPr>
          <w:rFonts w:hint="eastAsia" w:ascii="仿宋_GB2312" w:hAnsi="仿宋_GB2312" w:eastAsia="仿宋_GB2312" w:cs="仿宋_GB2312"/>
          <w:color w:val="auto"/>
          <w:spacing w:val="-4"/>
          <w:sz w:val="32"/>
          <w:szCs w:val="32"/>
          <w:highlight w:val="none"/>
          <w:lang w:eastAsia="zh-CN" w:bidi="ar"/>
        </w:rPr>
        <w:t>、</w:t>
      </w:r>
      <w:r>
        <w:rPr>
          <w:rFonts w:hint="eastAsia" w:ascii="仿宋_GB2312" w:hAnsi="仿宋_GB2312" w:eastAsia="仿宋_GB2312" w:cs="仿宋_GB2312"/>
          <w:color w:val="auto"/>
          <w:spacing w:val="-4"/>
          <w:sz w:val="32"/>
          <w:szCs w:val="32"/>
          <w:highlight w:val="none"/>
          <w:lang w:bidi="ar"/>
        </w:rPr>
        <w:t>历史标准</w:t>
      </w:r>
      <w:r>
        <w:rPr>
          <w:rFonts w:hint="eastAsia" w:ascii="仿宋_GB2312" w:hAnsi="仿宋_GB2312" w:eastAsia="仿宋_GB2312" w:cs="仿宋_GB2312"/>
          <w:color w:val="auto"/>
          <w:spacing w:val="-4"/>
          <w:sz w:val="32"/>
          <w:szCs w:val="32"/>
          <w:highlight w:val="none"/>
          <w:lang w:eastAsia="zh-CN" w:bidi="ar"/>
        </w:rPr>
        <w:t>和事业发展公报等为依据。</w:t>
      </w:r>
    </w:p>
    <w:bookmarkEnd w:id="30"/>
    <w:bookmarkEnd w:id="31"/>
    <w:bookmarkEnd w:id="32"/>
    <w:bookmarkEnd w:id="33"/>
    <w:bookmarkEnd w:id="34"/>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4.评价指标体系</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9"/>
        <w:rPr>
          <w:rFonts w:ascii="仿宋_GB2312" w:hAnsi="Times New Roman" w:eastAsia="仿宋_GB2312" w:cs="Times New Roman"/>
          <w:color w:val="auto"/>
          <w:sz w:val="32"/>
          <w:szCs w:val="32"/>
          <w:highlight w:val="none"/>
          <w:lang w:val="zh-TW"/>
        </w:rPr>
      </w:pPr>
      <w:r>
        <w:rPr>
          <w:rFonts w:hint="eastAsia" w:ascii="仿宋_GB2312" w:hAnsi="Times New Roman" w:eastAsia="仿宋_GB2312" w:cs="Times New Roman"/>
          <w:color w:val="auto"/>
          <w:kern w:val="0"/>
          <w:sz w:val="32"/>
          <w:szCs w:val="32"/>
          <w:highlight w:val="none"/>
          <w:u w:color="000000"/>
          <w:lang w:val="zh-TW"/>
        </w:rPr>
        <w:t>根据</w:t>
      </w:r>
      <w:r>
        <w:rPr>
          <w:rFonts w:hint="eastAsia" w:ascii="仿宋_GB2312" w:hAnsi="Times New Roman" w:eastAsia="仿宋_GB2312" w:cs="Times New Roman"/>
          <w:color w:val="auto"/>
          <w:sz w:val="32"/>
          <w:szCs w:val="32"/>
          <w:highlight w:val="none"/>
        </w:rPr>
        <w:t>《青岛市财政局关于印发&lt;市级财政绩效评价操作指南&gt;的通知》（青财绩〔2020〕6号）</w:t>
      </w:r>
      <w:r>
        <w:rPr>
          <w:rFonts w:hint="eastAsia" w:ascii="仿宋_GB2312" w:hAnsi="Times New Roman" w:eastAsia="仿宋_GB2312" w:cs="Times New Roman"/>
          <w:color w:val="auto"/>
          <w:kern w:val="0"/>
          <w:sz w:val="32"/>
          <w:szCs w:val="32"/>
          <w:highlight w:val="none"/>
          <w:u w:color="000000"/>
        </w:rPr>
        <w:t>的</w:t>
      </w:r>
      <w:r>
        <w:rPr>
          <w:rFonts w:hint="eastAsia" w:ascii="仿宋_GB2312" w:hAnsi="Times New Roman" w:eastAsia="仿宋_GB2312" w:cs="Times New Roman"/>
          <w:color w:val="auto"/>
          <w:kern w:val="0"/>
          <w:sz w:val="32"/>
          <w:szCs w:val="32"/>
          <w:highlight w:val="none"/>
          <w:u w:color="000000"/>
          <w:lang w:val="zh-TW" w:eastAsia="zh-TW"/>
        </w:rPr>
        <w:t>部门整体支出指标体系框架，</w:t>
      </w:r>
      <w:r>
        <w:rPr>
          <w:rFonts w:hint="eastAsia" w:ascii="仿宋_GB2312" w:hAnsi="Times New Roman" w:eastAsia="仿宋_GB2312" w:cs="Times New Roman"/>
          <w:color w:val="auto"/>
          <w:kern w:val="0"/>
          <w:sz w:val="32"/>
          <w:szCs w:val="32"/>
          <w:highlight w:val="none"/>
          <w:u w:color="000000"/>
          <w:lang w:val="zh-TW"/>
        </w:rPr>
        <w:t>结合工作实际，</w:t>
      </w:r>
      <w:r>
        <w:rPr>
          <w:rFonts w:hint="eastAsia" w:ascii="仿宋_GB2312" w:hAnsi="Times New Roman" w:eastAsia="仿宋_GB2312" w:cs="Times New Roman"/>
          <w:color w:val="auto"/>
          <w:kern w:val="0"/>
          <w:sz w:val="32"/>
          <w:szCs w:val="32"/>
          <w:highlight w:val="none"/>
          <w:u w:color="000000"/>
          <w:lang w:val="zh-TW" w:eastAsia="zh-TW"/>
        </w:rPr>
        <w:t>制定</w:t>
      </w:r>
      <w:r>
        <w:rPr>
          <w:rFonts w:hint="eastAsia" w:ascii="仿宋_GB2312" w:hAnsi="Times New Roman" w:eastAsia="仿宋_GB2312" w:cs="Times New Roman"/>
          <w:color w:val="auto"/>
          <w:kern w:val="0"/>
          <w:sz w:val="32"/>
          <w:szCs w:val="32"/>
          <w:highlight w:val="none"/>
          <w:u w:color="000000"/>
          <w:lang w:val="zh-TW"/>
        </w:rPr>
        <w:t>本次</w:t>
      </w:r>
      <w:r>
        <w:rPr>
          <w:rFonts w:hint="eastAsia" w:ascii="仿宋_GB2312" w:hAnsi="Times New Roman" w:eastAsia="仿宋_GB2312" w:cs="Times New Roman"/>
          <w:color w:val="auto"/>
          <w:kern w:val="0"/>
          <w:sz w:val="32"/>
          <w:szCs w:val="32"/>
          <w:highlight w:val="none"/>
          <w:u w:color="000000"/>
          <w:lang w:val="zh-TW" w:eastAsia="zh-TW"/>
        </w:rPr>
        <w:t>绩效评价指标</w:t>
      </w:r>
      <w:r>
        <w:rPr>
          <w:rFonts w:hint="eastAsia" w:ascii="仿宋_GB2312" w:hAnsi="Times New Roman" w:eastAsia="仿宋_GB2312" w:cs="Times New Roman"/>
          <w:color w:val="auto"/>
          <w:sz w:val="32"/>
          <w:szCs w:val="32"/>
          <w:highlight w:val="none"/>
        </w:rPr>
        <w:t>体系，分为投入、过程、产出、</w:t>
      </w:r>
      <w:r>
        <w:rPr>
          <w:rFonts w:hint="eastAsia" w:ascii="仿宋_GB2312" w:hAnsi="Times New Roman" w:eastAsia="仿宋_GB2312" w:cs="Times New Roman"/>
          <w:color w:val="auto"/>
          <w:sz w:val="32"/>
          <w:szCs w:val="32"/>
          <w:highlight w:val="none"/>
          <w:lang w:eastAsia="zh-CN"/>
        </w:rPr>
        <w:t>效果</w:t>
      </w:r>
      <w:r>
        <w:rPr>
          <w:rFonts w:hint="eastAsia" w:ascii="仿宋_GB2312" w:hAnsi="Times New Roman" w:eastAsia="仿宋_GB2312" w:cs="Times New Roman"/>
          <w:color w:val="auto"/>
          <w:sz w:val="32"/>
          <w:szCs w:val="32"/>
          <w:highlight w:val="none"/>
        </w:rPr>
        <w:t>四个一级指标。</w:t>
      </w:r>
      <w:r>
        <w:rPr>
          <w:rFonts w:hint="eastAsia" w:ascii="仿宋_GB2312" w:hAnsi="Times New Roman" w:eastAsia="仿宋_GB2312" w:cs="Times New Roman"/>
          <w:color w:val="auto"/>
          <w:kern w:val="0"/>
          <w:sz w:val="32"/>
          <w:szCs w:val="32"/>
          <w:highlight w:val="none"/>
          <w:u w:color="000000"/>
          <w:lang w:val="zh-TW" w:eastAsia="zh-TW"/>
        </w:rPr>
        <w:t>“投入”指标主要评价目标设定、预算编制情况；“过程”指标主要评价预算执行、预算管理、资产管理情况；“产出”指标主要评价职责履行完成及时、质量达标和重点工作办结情况；“效</w:t>
      </w:r>
      <w:r>
        <w:rPr>
          <w:rFonts w:hint="eastAsia" w:ascii="仿宋_GB2312" w:hAnsi="Times New Roman" w:eastAsia="仿宋_GB2312" w:cs="Times New Roman"/>
          <w:color w:val="auto"/>
          <w:kern w:val="0"/>
          <w:sz w:val="32"/>
          <w:szCs w:val="32"/>
          <w:highlight w:val="none"/>
          <w:u w:color="000000"/>
          <w:lang w:val="zh-TW" w:eastAsia="zh-CN"/>
        </w:rPr>
        <w:t>果</w:t>
      </w:r>
      <w:r>
        <w:rPr>
          <w:rFonts w:hint="eastAsia" w:ascii="仿宋_GB2312" w:hAnsi="Times New Roman" w:eastAsia="仿宋_GB2312" w:cs="Times New Roman"/>
          <w:color w:val="auto"/>
          <w:kern w:val="0"/>
          <w:sz w:val="32"/>
          <w:szCs w:val="32"/>
          <w:highlight w:val="none"/>
          <w:u w:color="000000"/>
          <w:lang w:val="zh-TW" w:eastAsia="zh-TW"/>
        </w:rPr>
        <w:t>”指标主要评价社会效益、</w:t>
      </w:r>
      <w:r>
        <w:rPr>
          <w:rFonts w:hint="eastAsia" w:ascii="仿宋_GB2312" w:hAnsi="Times New Roman" w:eastAsia="仿宋_GB2312" w:cs="Times New Roman"/>
          <w:color w:val="auto"/>
          <w:kern w:val="0"/>
          <w:sz w:val="32"/>
          <w:szCs w:val="32"/>
          <w:highlight w:val="none"/>
          <w:u w:color="000000"/>
          <w:lang w:val="zh-TW" w:eastAsia="zh-CN"/>
        </w:rPr>
        <w:t>生态效益、</w:t>
      </w:r>
      <w:r>
        <w:rPr>
          <w:rFonts w:hint="eastAsia" w:ascii="仿宋_GB2312" w:hAnsi="Times New Roman" w:eastAsia="仿宋_GB2312" w:cs="Times New Roman"/>
          <w:color w:val="auto"/>
          <w:kern w:val="0"/>
          <w:sz w:val="32"/>
          <w:szCs w:val="32"/>
          <w:highlight w:val="none"/>
          <w:u w:color="000000"/>
          <w:lang w:val="zh-TW" w:eastAsia="zh-TW"/>
        </w:rPr>
        <w:t>行政效能、可持续效益、服务对象满意度情况。</w:t>
      </w:r>
      <w:r>
        <w:rPr>
          <w:rFonts w:hint="eastAsia" w:ascii="仿宋_GB2312" w:hAnsi="Times New Roman" w:eastAsia="仿宋_GB2312" w:cs="Times New Roman"/>
          <w:color w:val="auto"/>
          <w:sz w:val="32"/>
          <w:szCs w:val="32"/>
          <w:highlight w:val="none"/>
        </w:rPr>
        <w:t>同时，按照绩效评价总体要求和部门整体支出内容设计了四级指标。</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1"/>
        <w:rPr>
          <w:rFonts w:hint="default" w:ascii="Times New Roman" w:hAnsi="Times New Roman" w:eastAsia="楷体" w:cs="Times New Roman"/>
          <w:bCs/>
          <w:color w:val="auto"/>
          <w:kern w:val="0"/>
          <w:sz w:val="32"/>
          <w:szCs w:val="32"/>
          <w:highlight w:val="none"/>
        </w:rPr>
      </w:pPr>
      <w:bookmarkStart w:id="35" w:name="_Toc24952"/>
      <w:r>
        <w:rPr>
          <w:rFonts w:hint="default"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eastAsia="zh-CN"/>
        </w:rPr>
        <w:t>三</w:t>
      </w:r>
      <w:r>
        <w:rPr>
          <w:rFonts w:hint="default"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eastAsia="zh-CN"/>
        </w:rPr>
        <w:t>评价实施程序</w:t>
      </w:r>
      <w:bookmarkEnd w:id="35"/>
    </w:p>
    <w:p>
      <w:pPr>
        <w:keepNext w:val="0"/>
        <w:keepLines w:val="0"/>
        <w:pageBreakBefore w:val="0"/>
        <w:widowControl w:val="0"/>
        <w:tabs>
          <w:tab w:val="left" w:pos="312"/>
        </w:tabs>
        <w:kinsoku/>
        <w:wordWrap/>
        <w:overflowPunct/>
        <w:topLinePunct w:val="0"/>
        <w:autoSpaceDE/>
        <w:autoSpaceDN/>
        <w:bidi w:val="0"/>
        <w:spacing w:line="540" w:lineRule="exact"/>
        <w:ind w:firstLine="640" w:firstLineChars="200"/>
        <w:jc w:val="left"/>
        <w:textAlignment w:val="auto"/>
        <w:rPr>
          <w:rFonts w:ascii="仿宋_GB2312" w:hAnsi="Times New Roman" w:eastAsia="仿宋_GB2312" w:cs="Times New Roman"/>
          <w:color w:val="auto"/>
          <w:sz w:val="32"/>
          <w:szCs w:val="32"/>
          <w:highlight w:val="none"/>
        </w:rPr>
      </w:pPr>
      <w:bookmarkStart w:id="36" w:name="_Toc11388"/>
      <w:bookmarkStart w:id="37" w:name="_Toc23810"/>
      <w:bookmarkStart w:id="38" w:name="_Toc12557"/>
      <w:bookmarkStart w:id="39" w:name="_Toc30679"/>
      <w:bookmarkStart w:id="40" w:name="_Toc15315"/>
      <w:r>
        <w:rPr>
          <w:rFonts w:hint="eastAsia" w:ascii="仿宋_GB2312" w:hAnsi="Times New Roman" w:eastAsia="仿宋_GB2312" w:cs="Times New Roman"/>
          <w:color w:val="auto"/>
          <w:sz w:val="32"/>
          <w:szCs w:val="32"/>
          <w:highlight w:val="none"/>
        </w:rPr>
        <w:t>1.评价准备阶段（</w:t>
      </w:r>
      <w:r>
        <w:rPr>
          <w:rFonts w:hint="eastAsia" w:ascii="仿宋_GB2312" w:hAnsi="Times New Roman" w:eastAsia="仿宋_GB2312" w:cs="Times New Roman"/>
          <w:color w:val="auto"/>
          <w:sz w:val="32"/>
          <w:szCs w:val="32"/>
          <w:highlight w:val="none"/>
          <w:lang w:val="en-US" w:eastAsia="zh-CN"/>
        </w:rPr>
        <w:t>6</w:t>
      </w:r>
      <w:r>
        <w:rPr>
          <w:rFonts w:hint="eastAsia" w:ascii="仿宋_GB2312" w:hAnsi="Times New Roman" w:eastAsia="仿宋_GB2312" w:cs="Times New Roman"/>
          <w:color w:val="auto"/>
          <w:sz w:val="32"/>
          <w:szCs w:val="32"/>
          <w:highlight w:val="none"/>
        </w:rPr>
        <w:t>月2</w:t>
      </w:r>
      <w:r>
        <w:rPr>
          <w:rFonts w:hint="eastAsia" w:ascii="仿宋_GB2312"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日-</w:t>
      </w:r>
      <w:r>
        <w:rPr>
          <w:rFonts w:hint="eastAsia" w:ascii="仿宋_GB2312"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月</w:t>
      </w:r>
      <w:r>
        <w:rPr>
          <w:rFonts w:hint="eastAsia" w:ascii="仿宋_GB2312"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日）。结合部门前期提报资料，有针对性的制定了《</w:t>
      </w:r>
      <w:r>
        <w:rPr>
          <w:rFonts w:hint="eastAsia" w:ascii="仿宋_GB2312" w:hAnsi="Times New Roman" w:eastAsia="仿宋_GB2312" w:cs="Times New Roman"/>
          <w:color w:val="auto"/>
          <w:sz w:val="32"/>
          <w:szCs w:val="32"/>
          <w:highlight w:val="none"/>
          <w:lang w:val="en-US" w:eastAsia="zh-CN"/>
        </w:rPr>
        <w:t>2020</w:t>
      </w:r>
      <w:r>
        <w:rPr>
          <w:rFonts w:hint="eastAsia" w:ascii="仿宋_GB2312" w:hAnsi="Times New Roman" w:eastAsia="仿宋_GB2312" w:cs="Times New Roman"/>
          <w:color w:val="auto"/>
          <w:sz w:val="32"/>
          <w:szCs w:val="32"/>
          <w:highlight w:val="none"/>
        </w:rPr>
        <w:t>年度青岛市</w:t>
      </w:r>
      <w:r>
        <w:rPr>
          <w:rFonts w:hint="eastAsia" w:ascii="仿宋_GB2312" w:hAnsi="Times New Roman" w:eastAsia="仿宋_GB2312" w:cs="Times New Roman"/>
          <w:color w:val="auto"/>
          <w:sz w:val="32"/>
          <w:szCs w:val="32"/>
          <w:highlight w:val="none"/>
          <w:lang w:eastAsia="zh-CN"/>
        </w:rPr>
        <w:t>生态环境</w:t>
      </w:r>
      <w:r>
        <w:rPr>
          <w:rFonts w:hint="eastAsia" w:ascii="仿宋_GB2312" w:hAnsi="Times New Roman" w:eastAsia="仿宋_GB2312" w:cs="Times New Roman"/>
          <w:color w:val="auto"/>
          <w:sz w:val="32"/>
          <w:szCs w:val="32"/>
          <w:highlight w:val="none"/>
        </w:rPr>
        <w:t>局整体支出绩效评价工作方案》，明确评价思路、指标体系、评价方法等内容。</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2.评价实施阶段（</w:t>
      </w:r>
      <w:r>
        <w:rPr>
          <w:rFonts w:hint="eastAsia" w:ascii="仿宋_GB2312"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月</w:t>
      </w:r>
      <w:r>
        <w:rPr>
          <w:rFonts w:hint="eastAsia" w:ascii="仿宋_GB2312"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rPr>
        <w:t>日-</w:t>
      </w:r>
      <w:r>
        <w:rPr>
          <w:rFonts w:hint="eastAsia" w:ascii="仿宋_GB2312"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月</w:t>
      </w:r>
      <w:r>
        <w:rPr>
          <w:rFonts w:hint="eastAsia" w:ascii="仿宋_GB2312" w:hAnsi="Times New Roman" w:eastAsia="仿宋_GB2312" w:cs="Times New Roman"/>
          <w:color w:val="auto"/>
          <w:sz w:val="32"/>
          <w:szCs w:val="32"/>
          <w:highlight w:val="none"/>
          <w:lang w:val="en-US" w:eastAsia="zh-CN"/>
        </w:rPr>
        <w:t>14</w:t>
      </w:r>
      <w:r>
        <w:rPr>
          <w:rFonts w:hint="eastAsia" w:ascii="仿宋_GB2312" w:hAnsi="Times New Roman" w:eastAsia="仿宋_GB2312" w:cs="Times New Roman"/>
          <w:color w:val="auto"/>
          <w:sz w:val="32"/>
          <w:szCs w:val="32"/>
          <w:highlight w:val="none"/>
        </w:rPr>
        <w:t>日）。对被评价部门的基本情况、财政资金使用情况、项目组织实施情况、预算评审报告、绩效目标、绩效监控和绩效自评等评价资料，采用现场调研、座谈和调查问卷等形式进行现场查验核实取证，按照绩效评价指标体系进行综合评定打分。</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3.出具报告阶段（</w:t>
      </w:r>
      <w:r>
        <w:rPr>
          <w:rFonts w:hint="eastAsia" w:ascii="仿宋_GB2312"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月</w:t>
      </w:r>
      <w:r>
        <w:rPr>
          <w:rFonts w:hint="eastAsia" w:ascii="仿宋_GB2312" w:hAnsi="Times New Roman" w:eastAsia="仿宋_GB2312" w:cs="Times New Roman"/>
          <w:color w:val="auto"/>
          <w:sz w:val="32"/>
          <w:szCs w:val="32"/>
          <w:highlight w:val="none"/>
          <w:lang w:val="en-US" w:eastAsia="zh-CN"/>
        </w:rPr>
        <w:t>15</w:t>
      </w:r>
      <w:r>
        <w:rPr>
          <w:rFonts w:hint="eastAsia" w:ascii="仿宋_GB2312" w:hAnsi="Times New Roman" w:eastAsia="仿宋_GB2312" w:cs="Times New Roman"/>
          <w:color w:val="auto"/>
          <w:sz w:val="32"/>
          <w:szCs w:val="32"/>
          <w:highlight w:val="none"/>
        </w:rPr>
        <w:t>日-</w:t>
      </w:r>
      <w:r>
        <w:rPr>
          <w:rFonts w:hint="eastAsia" w:ascii="仿宋_GB2312"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月</w:t>
      </w:r>
      <w:r>
        <w:rPr>
          <w:rFonts w:hint="eastAsia" w:ascii="仿宋_GB2312" w:hAnsi="Times New Roman" w:eastAsia="仿宋_GB2312" w:cs="Times New Roman"/>
          <w:color w:val="auto"/>
          <w:sz w:val="32"/>
          <w:szCs w:val="32"/>
          <w:highlight w:val="none"/>
          <w:lang w:val="en-US" w:eastAsia="zh-CN"/>
        </w:rPr>
        <w:t>19</w:t>
      </w:r>
      <w:r>
        <w:rPr>
          <w:rFonts w:hint="eastAsia" w:ascii="仿宋_GB2312" w:hAnsi="Times New Roman" w:eastAsia="仿宋_GB2312" w:cs="Times New Roman"/>
          <w:color w:val="auto"/>
          <w:sz w:val="32"/>
          <w:szCs w:val="32"/>
          <w:highlight w:val="none"/>
        </w:rPr>
        <w:t>日）。撰写绩效评价报告，征求财政部门和被评价部门的意见，按期出具绩效评价报告终稿。</w:t>
      </w:r>
    </w:p>
    <w:p>
      <w:pPr>
        <w:keepNext w:val="0"/>
        <w:keepLines w:val="0"/>
        <w:pageBreakBefore w:val="0"/>
        <w:widowControl w:val="0"/>
        <w:kinsoku/>
        <w:wordWrap/>
        <w:overflowPunct/>
        <w:topLinePunct w:val="0"/>
        <w:autoSpaceDE/>
        <w:autoSpaceDN/>
        <w:bidi w:val="0"/>
        <w:spacing w:line="540" w:lineRule="exact"/>
        <w:ind w:firstLine="640"/>
        <w:textAlignment w:val="auto"/>
        <w:rPr>
          <w:rFonts w:hint="default" w:ascii="仿宋_GB2312" w:hAnsi="Times New Roman" w:eastAsia="仿宋_GB2312" w:cs="Times New Roman"/>
          <w:color w:val="auto"/>
          <w:sz w:val="32"/>
          <w:szCs w:val="32"/>
          <w:highlight w:val="none"/>
        </w:rPr>
      </w:pPr>
      <w:r>
        <w:rPr>
          <w:rFonts w:hint="default" w:ascii="仿宋_GB2312" w:hAnsi="Times New Roman" w:eastAsia="仿宋_GB2312" w:cs="Times New Roman"/>
          <w:color w:val="auto"/>
          <w:sz w:val="32"/>
          <w:szCs w:val="32"/>
          <w:highlight w:val="none"/>
        </w:rPr>
        <w:t>4.档案整理与提交</w:t>
      </w:r>
      <w:bookmarkEnd w:id="36"/>
      <w:bookmarkEnd w:id="37"/>
      <w:bookmarkEnd w:id="38"/>
      <w:bookmarkEnd w:id="39"/>
      <w:bookmarkEnd w:id="40"/>
    </w:p>
    <w:p>
      <w:pPr>
        <w:keepNext w:val="0"/>
        <w:keepLines w:val="0"/>
        <w:pageBreakBefore w:val="0"/>
        <w:widowControl w:val="0"/>
        <w:kinsoku/>
        <w:wordWrap/>
        <w:overflowPunct/>
        <w:topLinePunct w:val="0"/>
        <w:autoSpaceDE/>
        <w:autoSpaceDN/>
        <w:bidi w:val="0"/>
        <w:spacing w:line="540" w:lineRule="exact"/>
        <w:ind w:firstLine="640"/>
        <w:textAlignment w:val="auto"/>
        <w:rPr>
          <w:rFonts w:hint="default" w:ascii="仿宋_GB2312" w:hAnsi="Times New Roman" w:eastAsia="仿宋_GB2312" w:cs="Times New Roman"/>
          <w:color w:val="auto"/>
          <w:sz w:val="32"/>
          <w:szCs w:val="32"/>
          <w:highlight w:val="none"/>
          <w:lang w:val="en-US"/>
        </w:rPr>
      </w:pPr>
      <w:r>
        <w:rPr>
          <w:rFonts w:hint="default" w:ascii="仿宋_GB2312" w:hAnsi="Times New Roman" w:eastAsia="仿宋_GB2312" w:cs="Times New Roman"/>
          <w:color w:val="auto"/>
          <w:sz w:val="32"/>
          <w:szCs w:val="32"/>
          <w:highlight w:val="none"/>
        </w:rPr>
        <w:t>整理项目绩效评价各阶段的评价底稿、收集的</w:t>
      </w:r>
      <w:r>
        <w:rPr>
          <w:rFonts w:hint="default" w:ascii="仿宋_GB2312" w:hAnsi="Times New Roman" w:eastAsia="仿宋_GB2312" w:cs="Times New Roman"/>
          <w:color w:val="auto"/>
          <w:sz w:val="32"/>
          <w:szCs w:val="32"/>
          <w:highlight w:val="none"/>
          <w:lang w:val="en-US" w:eastAsia="zh-CN"/>
        </w:rPr>
        <w:t>资料照片</w:t>
      </w:r>
      <w:r>
        <w:rPr>
          <w:rFonts w:hint="default" w:ascii="仿宋_GB2312" w:hAnsi="Times New Roman" w:eastAsia="仿宋_GB2312" w:cs="Times New Roman"/>
          <w:color w:val="auto"/>
          <w:sz w:val="32"/>
          <w:szCs w:val="32"/>
          <w:highlight w:val="none"/>
        </w:rPr>
        <w:t>、现场评价的图片及影像资料等，进行归档</w:t>
      </w:r>
      <w:r>
        <w:rPr>
          <w:rFonts w:hint="default" w:ascii="仿宋_GB2312" w:hAnsi="Times New Roman" w:eastAsia="仿宋_GB2312" w:cs="Times New Roman"/>
          <w:color w:val="auto"/>
          <w:sz w:val="32"/>
          <w:szCs w:val="32"/>
          <w:highlight w:val="none"/>
          <w:lang w:val="en-US"/>
        </w:rPr>
        <w:t>。</w:t>
      </w:r>
    </w:p>
    <w:p>
      <w:pPr>
        <w:pStyle w:val="3"/>
        <w:keepNext w:val="0"/>
        <w:keepLines w:val="0"/>
        <w:pageBreakBefore w:val="0"/>
        <w:widowControl w:val="0"/>
        <w:numPr>
          <w:ilvl w:val="0"/>
          <w:numId w:val="0"/>
        </w:numPr>
        <w:kinsoku/>
        <w:wordWrap/>
        <w:overflowPunct/>
        <w:topLinePunct w:val="0"/>
        <w:autoSpaceDE/>
        <w:autoSpaceDN/>
        <w:bidi w:val="0"/>
        <w:spacing w:before="0" w:after="0" w:line="540" w:lineRule="exact"/>
        <w:ind w:firstLine="640" w:firstLineChars="200"/>
        <w:textAlignment w:val="auto"/>
        <w:rPr>
          <w:rFonts w:hint="default" w:ascii="Times New Roman" w:hAnsi="Times New Roman" w:cs="Times New Roman"/>
          <w:color w:val="auto"/>
          <w:highlight w:val="none"/>
        </w:rPr>
      </w:pPr>
      <w:bookmarkStart w:id="41" w:name="_Toc13969"/>
      <w:bookmarkStart w:id="42" w:name="_Toc26964738"/>
      <w:r>
        <w:rPr>
          <w:rFonts w:hint="default" w:ascii="Times New Roman" w:hAnsi="Times New Roman" w:cs="Times New Roman"/>
          <w:color w:val="auto"/>
          <w:highlight w:val="none"/>
        </w:rPr>
        <w:t>三、</w:t>
      </w:r>
      <w:r>
        <w:rPr>
          <w:rFonts w:hint="eastAsia" w:ascii="Times New Roman" w:hAnsi="Times New Roman" w:cs="Times New Roman"/>
          <w:color w:val="auto"/>
          <w:highlight w:val="none"/>
          <w:lang w:eastAsia="zh-CN"/>
        </w:rPr>
        <w:t>指标分析及评价结论</w:t>
      </w:r>
      <w:bookmarkEnd w:id="41"/>
      <w:bookmarkEnd w:id="42"/>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1"/>
        <w:rPr>
          <w:rFonts w:hint="default" w:ascii="Times New Roman" w:hAnsi="Times New Roman" w:eastAsia="楷体" w:cs="Times New Roman"/>
          <w:bCs/>
          <w:color w:val="auto"/>
          <w:kern w:val="0"/>
          <w:sz w:val="32"/>
          <w:szCs w:val="32"/>
          <w:highlight w:val="none"/>
        </w:rPr>
      </w:pPr>
      <w:bookmarkStart w:id="43" w:name="_Toc11610"/>
      <w:bookmarkStart w:id="44" w:name="_Toc26964739"/>
      <w:r>
        <w:rPr>
          <w:rFonts w:hint="default"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eastAsia="zh-CN"/>
        </w:rPr>
        <w:t>一</w:t>
      </w:r>
      <w:r>
        <w:rPr>
          <w:rFonts w:hint="default"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eastAsia="zh-CN"/>
        </w:rPr>
        <w:t>绩效评价指标体系分析</w:t>
      </w:r>
      <w:bookmarkEnd w:id="43"/>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
          <w:color w:val="auto"/>
          <w:sz w:val="32"/>
          <w:szCs w:val="32"/>
          <w:highlight w:val="none"/>
        </w:rPr>
      </w:pPr>
      <w:bookmarkStart w:id="45" w:name="_Toc31872"/>
      <w:bookmarkStart w:id="46" w:name="_Toc20159"/>
      <w:bookmarkStart w:id="47" w:name="_Toc20490"/>
      <w:r>
        <w:rPr>
          <w:rFonts w:hint="eastAsia" w:ascii="仿宋_GB2312" w:hAnsi="仿宋_GB2312" w:eastAsia="仿宋_GB2312" w:cs="仿宋_GB2312"/>
          <w:b/>
          <w:color w:val="auto"/>
          <w:sz w:val="32"/>
          <w:szCs w:val="32"/>
          <w:highlight w:val="none"/>
        </w:rPr>
        <w:t>1.过程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指标分值30分，得分</w:t>
      </w:r>
      <w:r>
        <w:rPr>
          <w:rFonts w:hint="eastAsia" w:ascii="仿宋_GB2312" w:hAnsi="仿宋_GB2312" w:eastAsia="仿宋_GB2312" w:cs="仿宋_GB2312"/>
          <w:b w:val="0"/>
          <w:bCs/>
          <w:color w:val="auto"/>
          <w:sz w:val="32"/>
          <w:szCs w:val="32"/>
          <w:highlight w:val="none"/>
          <w:lang w:val="en-US" w:eastAsia="zh-CN"/>
        </w:rPr>
        <w:t>22.98</w:t>
      </w:r>
      <w:r>
        <w:rPr>
          <w:rFonts w:hint="eastAsia" w:ascii="仿宋_GB2312" w:hAnsi="仿宋_GB2312" w:eastAsia="仿宋_GB2312" w:cs="仿宋_GB2312"/>
          <w:b w:val="0"/>
          <w:bCs/>
          <w:color w:val="auto"/>
          <w:sz w:val="32"/>
          <w:szCs w:val="32"/>
          <w:highlight w:val="none"/>
        </w:rPr>
        <w:t>分，扣减</w:t>
      </w:r>
      <w:r>
        <w:rPr>
          <w:rFonts w:hint="eastAsia" w:ascii="仿宋_GB2312" w:hAnsi="仿宋_GB2312" w:eastAsia="仿宋_GB2312" w:cs="仿宋_GB2312"/>
          <w:b w:val="0"/>
          <w:bCs/>
          <w:color w:val="auto"/>
          <w:sz w:val="32"/>
          <w:szCs w:val="32"/>
          <w:highlight w:val="none"/>
          <w:lang w:val="en-US" w:eastAsia="zh-CN"/>
        </w:rPr>
        <w:t>7.02</w:t>
      </w:r>
      <w:r>
        <w:rPr>
          <w:rFonts w:hint="eastAsia" w:ascii="仿宋_GB2312" w:hAnsi="仿宋_GB2312" w:eastAsia="仿宋_GB2312" w:cs="仿宋_GB2312"/>
          <w:b w:val="0"/>
          <w:bCs/>
          <w:color w:val="auto"/>
          <w:sz w:val="32"/>
          <w:szCs w:val="32"/>
          <w:highlight w:val="none"/>
        </w:rPr>
        <w:t>分。</w:t>
      </w:r>
    </w:p>
    <w:p>
      <w:pPr>
        <w:keepNext w:val="0"/>
        <w:keepLines w:val="0"/>
        <w:pageBreakBefore w:val="0"/>
        <w:widowControl w:val="0"/>
        <w:kinsoku/>
        <w:wordWrap/>
        <w:overflowPunct/>
        <w:topLinePunct w:val="0"/>
        <w:autoSpaceDE/>
        <w:autoSpaceDN/>
        <w:bidi w:val="0"/>
        <w:adjustRightInd/>
        <w:spacing w:line="540" w:lineRule="exact"/>
        <w:ind w:firstLine="48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（1）“预算执行率”扣减</w:t>
      </w:r>
      <w:r>
        <w:rPr>
          <w:rFonts w:hint="eastAsia" w:ascii="仿宋_GB2312" w:hAnsi="仿宋_GB2312" w:eastAsia="仿宋_GB2312" w:cs="仿宋_GB2312"/>
          <w:color w:val="auto"/>
          <w:sz w:val="32"/>
          <w:szCs w:val="32"/>
          <w:highlight w:val="none"/>
          <w:lang w:val="en-US" w:eastAsia="zh-CN"/>
        </w:rPr>
        <w:t>1.07</w:t>
      </w:r>
      <w:r>
        <w:rPr>
          <w:rFonts w:hint="eastAsia" w:ascii="仿宋_GB2312" w:hAnsi="仿宋_GB2312" w:eastAsia="仿宋_GB2312" w:cs="仿宋_GB2312"/>
          <w:color w:val="auto"/>
          <w:sz w:val="32"/>
          <w:szCs w:val="32"/>
          <w:highlight w:val="none"/>
        </w:rPr>
        <w:t>分。原因为：20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年年初</w:t>
      </w:r>
      <w:r>
        <w:rPr>
          <w:rFonts w:hint="eastAsia" w:ascii="仿宋_GB2312" w:hAnsi="仿宋_GB2312" w:eastAsia="仿宋_GB2312" w:cs="仿宋_GB2312"/>
          <w:color w:val="auto"/>
          <w:sz w:val="32"/>
          <w:szCs w:val="32"/>
          <w:highlight w:val="none"/>
          <w:lang w:eastAsia="zh-CN"/>
        </w:rPr>
        <w:t>市财政</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21853.81</w:t>
      </w:r>
      <w:r>
        <w:rPr>
          <w:rFonts w:hint="eastAsia" w:ascii="仿宋_GB2312" w:hAnsi="仿宋_GB2312" w:eastAsia="仿宋_GB2312" w:cs="仿宋_GB2312"/>
          <w:color w:val="auto"/>
          <w:sz w:val="32"/>
          <w:szCs w:val="32"/>
          <w:highlight w:val="none"/>
        </w:rPr>
        <w:t>万元，调整后预算</w:t>
      </w:r>
      <w:r>
        <w:rPr>
          <w:rFonts w:hint="eastAsia" w:ascii="仿宋_GB2312" w:hAnsi="仿宋_GB2312" w:eastAsia="仿宋_GB2312" w:cs="仿宋_GB2312"/>
          <w:color w:val="auto"/>
          <w:sz w:val="32"/>
          <w:szCs w:val="32"/>
          <w:highlight w:val="none"/>
          <w:lang w:val="en-US" w:eastAsia="zh-CN"/>
        </w:rPr>
        <w:t>40282.91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（含市财政拨付资金、中央环保专项资金、省级环保专项资金及区（市）项目配套）</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决算</w:t>
      </w:r>
      <w:r>
        <w:rPr>
          <w:rFonts w:hint="eastAsia" w:ascii="仿宋_GB2312" w:hAnsi="仿宋_GB2312" w:eastAsia="仿宋_GB2312" w:cs="仿宋_GB2312"/>
          <w:color w:val="auto"/>
          <w:sz w:val="32"/>
          <w:szCs w:val="32"/>
          <w:highlight w:val="none"/>
        </w:rPr>
        <w:t>数</w:t>
      </w:r>
      <w:r>
        <w:rPr>
          <w:rFonts w:hint="eastAsia" w:ascii="仿宋_GB2312" w:hAnsi="仿宋_GB2312" w:eastAsia="仿宋_GB2312" w:cs="仿宋_GB2312"/>
          <w:color w:val="auto"/>
          <w:sz w:val="32"/>
          <w:szCs w:val="32"/>
          <w:highlight w:val="none"/>
          <w:lang w:val="en-US" w:eastAsia="zh-CN"/>
        </w:rPr>
        <w:t>37409.40</w:t>
      </w:r>
      <w:r>
        <w:rPr>
          <w:rFonts w:hint="eastAsia" w:ascii="仿宋_GB2312" w:hAnsi="仿宋_GB2312" w:eastAsia="仿宋_GB2312" w:cs="仿宋_GB2312"/>
          <w:color w:val="auto"/>
          <w:sz w:val="32"/>
          <w:szCs w:val="32"/>
          <w:highlight w:val="none"/>
        </w:rPr>
        <w:t>万元，执行率=（</w:t>
      </w:r>
      <w:r>
        <w:rPr>
          <w:rFonts w:hint="eastAsia" w:ascii="仿宋_GB2312" w:hAnsi="仿宋_GB2312" w:eastAsia="仿宋_GB2312" w:cs="仿宋_GB2312"/>
          <w:color w:val="auto"/>
          <w:sz w:val="32"/>
          <w:szCs w:val="32"/>
          <w:highlight w:val="none"/>
          <w:lang w:val="en-US" w:eastAsia="zh-CN"/>
        </w:rPr>
        <w:t>37409.40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40282.91</w:t>
      </w:r>
      <w:r>
        <w:rPr>
          <w:rFonts w:hint="eastAsia"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lang w:val="en-US" w:eastAsia="zh-CN"/>
        </w:rPr>
        <w:t>92.87</w:t>
      </w:r>
      <w:r>
        <w:rPr>
          <w:rFonts w:hint="eastAsia" w:ascii="仿宋_GB2312" w:hAnsi="仿宋_GB2312" w:eastAsia="仿宋_GB2312" w:cs="仿宋_GB2312"/>
          <w:color w:val="auto"/>
          <w:sz w:val="32"/>
          <w:szCs w:val="32"/>
          <w:highlight w:val="none"/>
        </w:rPr>
        <w:t>%。扣分=（1-9</w:t>
      </w:r>
      <w:r>
        <w:rPr>
          <w:rFonts w:hint="eastAsia" w:ascii="仿宋_GB2312" w:hAnsi="仿宋_GB2312" w:eastAsia="仿宋_GB2312" w:cs="仿宋_GB2312"/>
          <w:color w:val="auto"/>
          <w:sz w:val="32"/>
          <w:szCs w:val="32"/>
          <w:highlight w:val="none"/>
          <w:lang w:val="en-US" w:eastAsia="zh-CN"/>
        </w:rPr>
        <w:t>2.87</w:t>
      </w:r>
      <w:r>
        <w:rPr>
          <w:rFonts w:hint="eastAsia"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1.07</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pacing w:line="540" w:lineRule="exact"/>
        <w:ind w:firstLine="48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（2）“支付进度率”扣减</w:t>
      </w:r>
      <w:r>
        <w:rPr>
          <w:rFonts w:hint="eastAsia" w:ascii="仿宋_GB2312" w:hAnsi="仿宋_GB2312" w:eastAsia="仿宋_GB2312" w:cs="仿宋_GB2312"/>
          <w:color w:val="auto"/>
          <w:sz w:val="32"/>
          <w:szCs w:val="32"/>
          <w:highlight w:val="none"/>
          <w:lang w:val="en-US" w:eastAsia="zh-CN"/>
        </w:rPr>
        <w:t>1.29</w:t>
      </w:r>
      <w:r>
        <w:rPr>
          <w:rFonts w:hint="eastAsia" w:ascii="仿宋_GB2312" w:hAnsi="仿宋_GB2312" w:eastAsia="仿宋_GB2312" w:cs="仿宋_GB2312"/>
          <w:color w:val="auto"/>
          <w:sz w:val="32"/>
          <w:szCs w:val="32"/>
          <w:highlight w:val="none"/>
        </w:rPr>
        <w:t>分。原因为：</w:t>
      </w:r>
      <w:r>
        <w:rPr>
          <w:rFonts w:hint="eastAsia" w:ascii="仿宋_GB2312" w:hAnsi="仿宋_GB2312" w:eastAsia="仿宋_GB2312" w:cs="仿宋_GB2312"/>
          <w:color w:val="auto"/>
          <w:sz w:val="32"/>
          <w:szCs w:val="32"/>
          <w:highlight w:val="none"/>
          <w:lang w:val="en-US" w:eastAsia="zh-CN"/>
        </w:rPr>
        <w:t>2020年市财政批复环保专项资金11025万元，实际执行10078.61万元，支付进度率91.42%。扣分=</w:t>
      </w:r>
      <w:r>
        <w:rPr>
          <w:rFonts w:hint="eastAsia" w:ascii="仿宋_GB2312" w:hAnsi="仿宋_GB2312" w:eastAsia="仿宋_GB2312" w:cs="仿宋_GB2312"/>
          <w:color w:val="auto"/>
          <w:sz w:val="32"/>
          <w:szCs w:val="32"/>
          <w:highlight w:val="none"/>
        </w:rPr>
        <w:t>（1-9</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1.29</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pacing w:line="540" w:lineRule="exact"/>
        <w:ind w:firstLine="48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）“上年结转资金执行率”扣减</w:t>
      </w:r>
      <w:r>
        <w:rPr>
          <w:rFonts w:hint="eastAsia" w:ascii="仿宋_GB2312" w:hAnsi="仿宋_GB2312" w:eastAsia="仿宋_GB2312" w:cs="仿宋_GB2312"/>
          <w:color w:val="auto"/>
          <w:sz w:val="32"/>
          <w:szCs w:val="32"/>
          <w:highlight w:val="none"/>
          <w:lang w:val="en-US" w:eastAsia="zh-CN"/>
        </w:rPr>
        <w:t>2分。原因为：</w:t>
      </w:r>
      <w:r>
        <w:rPr>
          <w:rFonts w:hint="eastAsia" w:ascii="仿宋_GB2312" w:hAnsi="仿宋_GB2312" w:eastAsia="仿宋_GB2312" w:cs="仿宋_GB2312"/>
          <w:bCs/>
          <w:color w:val="auto"/>
          <w:kern w:val="0"/>
          <w:sz w:val="32"/>
          <w:szCs w:val="32"/>
          <w:highlight w:val="none"/>
        </w:rPr>
        <w:t>根据《2020年度青岛市生态环境局决算（汇总）》，上年结转资金执行率=（3442.52-2873.51）/3442.52</w:t>
      </w:r>
      <w:r>
        <w:rPr>
          <w:rFonts w:hint="eastAsia" w:ascii="仿宋_GB2312" w:hAnsi="仿宋_GB2312" w:eastAsia="仿宋_GB2312" w:cs="仿宋_GB2312"/>
          <w:bCs/>
          <w:color w:val="auto"/>
          <w:kern w:val="0"/>
          <w:sz w:val="32"/>
          <w:szCs w:val="32"/>
          <w:highlight w:val="none"/>
          <w:lang w:val="en-US" w:eastAsia="zh-CN"/>
        </w:rPr>
        <w:t>*100%</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val="en-US" w:eastAsia="zh-CN"/>
        </w:rPr>
        <w:t>16.53</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color w:val="auto"/>
          <w:sz w:val="32"/>
          <w:szCs w:val="32"/>
          <w:highlight w:val="none"/>
          <w:lang w:eastAsia="zh-CN"/>
        </w:rPr>
        <w:t>上年结转资金</w:t>
      </w:r>
      <w:r>
        <w:rPr>
          <w:rFonts w:hint="eastAsia" w:ascii="仿宋_GB2312" w:hAnsi="仿宋_GB2312" w:eastAsia="仿宋_GB2312" w:cs="仿宋_GB2312"/>
          <w:bCs/>
          <w:color w:val="auto"/>
          <w:kern w:val="0"/>
          <w:sz w:val="32"/>
          <w:szCs w:val="32"/>
          <w:highlight w:val="none"/>
          <w:lang w:eastAsia="zh-CN"/>
        </w:rPr>
        <w:t>执行率低于</w:t>
      </w:r>
      <w:r>
        <w:rPr>
          <w:rFonts w:hint="eastAsia" w:ascii="仿宋_GB2312" w:hAnsi="仿宋_GB2312" w:eastAsia="仿宋_GB2312" w:cs="仿宋_GB2312"/>
          <w:bCs/>
          <w:color w:val="auto"/>
          <w:kern w:val="0"/>
          <w:sz w:val="32"/>
          <w:szCs w:val="32"/>
          <w:highlight w:val="none"/>
          <w:lang w:val="en-US" w:eastAsia="zh-CN"/>
        </w:rPr>
        <w:t>80%，</w:t>
      </w:r>
      <w:r>
        <w:rPr>
          <w:rFonts w:hint="eastAsia" w:ascii="仿宋_GB2312" w:hAnsi="仿宋_GB2312" w:eastAsia="仿宋_GB2312" w:cs="仿宋_GB2312"/>
          <w:bCs/>
          <w:color w:val="auto"/>
          <w:kern w:val="0"/>
          <w:sz w:val="32"/>
          <w:szCs w:val="32"/>
          <w:highlight w:val="none"/>
          <w:lang w:eastAsia="zh-CN"/>
        </w:rPr>
        <w:t>扣减</w:t>
      </w:r>
      <w:r>
        <w:rPr>
          <w:rFonts w:hint="eastAsia" w:ascii="仿宋_GB2312" w:hAnsi="仿宋_GB2312" w:eastAsia="仿宋_GB2312" w:cs="仿宋_GB2312"/>
          <w:bCs/>
          <w:color w:val="auto"/>
          <w:kern w:val="0"/>
          <w:sz w:val="32"/>
          <w:szCs w:val="32"/>
          <w:highlight w:val="none"/>
          <w:lang w:val="en-US" w:eastAsia="zh-CN"/>
        </w:rPr>
        <w:t>2</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pacing w:line="540" w:lineRule="exact"/>
        <w:ind w:firstLine="48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三公经费</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变动情况”扣减</w:t>
      </w:r>
      <w:r>
        <w:rPr>
          <w:rFonts w:hint="eastAsia" w:ascii="仿宋_GB2312" w:hAnsi="仿宋_GB2312" w:eastAsia="仿宋_GB2312" w:cs="仿宋_GB2312"/>
          <w:color w:val="auto"/>
          <w:sz w:val="32"/>
          <w:szCs w:val="32"/>
          <w:highlight w:val="none"/>
          <w:lang w:val="en-US" w:eastAsia="zh-CN"/>
        </w:rPr>
        <w:t>2分。原因为：2020年“三公经费”决算数204.52万元，大于2019年“三公经费”决算数166.03万元</w:t>
      </w:r>
      <w:r>
        <w:rPr>
          <w:rFonts w:hint="eastAsia" w:ascii="仿宋_GB2312" w:hAnsi="仿宋_GB2312" w:eastAsia="仿宋_GB2312" w:cs="仿宋_GB2312"/>
          <w:bCs/>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40" w:lineRule="exact"/>
        <w:ind w:firstLine="48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）“固定资产利用率”扣减0.</w:t>
      </w:r>
      <w:r>
        <w:rPr>
          <w:rFonts w:hint="eastAsia" w:ascii="仿宋_GB2312" w:hAnsi="仿宋_GB2312" w:eastAsia="仿宋_GB2312" w:cs="仿宋_GB2312"/>
          <w:color w:val="auto"/>
          <w:sz w:val="32"/>
          <w:szCs w:val="32"/>
          <w:highlight w:val="none"/>
          <w:lang w:val="en-US" w:eastAsia="zh-CN"/>
        </w:rPr>
        <w:t>66</w:t>
      </w:r>
      <w:r>
        <w:rPr>
          <w:rFonts w:hint="eastAsia" w:ascii="仿宋_GB2312" w:hAnsi="仿宋_GB2312" w:eastAsia="仿宋_GB2312" w:cs="仿宋_GB2312"/>
          <w:color w:val="auto"/>
          <w:sz w:val="32"/>
          <w:szCs w:val="32"/>
          <w:highlight w:val="none"/>
        </w:rPr>
        <w:t>分。原因为：</w:t>
      </w:r>
      <w:r>
        <w:rPr>
          <w:rFonts w:hint="eastAsia" w:ascii="仿宋_GB2312" w:hAnsi="仿宋_GB2312" w:eastAsia="仿宋_GB2312" w:cs="仿宋_GB2312"/>
          <w:bCs/>
          <w:color w:val="auto"/>
          <w:kern w:val="0"/>
          <w:sz w:val="32"/>
          <w:szCs w:val="32"/>
          <w:highlight w:val="none"/>
        </w:rPr>
        <w:t>根据市生态环境局关于报送资产清查工作报告的函，</w:t>
      </w:r>
      <w:r>
        <w:rPr>
          <w:rFonts w:hint="eastAsia" w:ascii="仿宋_GB2312" w:hAnsi="仿宋_GB2312" w:eastAsia="仿宋_GB2312" w:cs="仿宋_GB2312"/>
          <w:color w:val="auto"/>
          <w:sz w:val="32"/>
          <w:szCs w:val="32"/>
          <w:highlight w:val="none"/>
        </w:rPr>
        <w:t>闲置818.34万元，占账面固定资产总额的4.4%</w:t>
      </w:r>
      <w:r>
        <w:rPr>
          <w:rFonts w:hint="eastAsia" w:ascii="仿宋_GB2312" w:hAnsi="仿宋_GB2312" w:eastAsia="仿宋_GB2312" w:cs="仿宋_GB2312"/>
          <w:color w:val="auto"/>
          <w:sz w:val="32"/>
          <w:szCs w:val="32"/>
          <w:highlight w:val="none"/>
          <w:lang w:eastAsia="zh-CN"/>
        </w:rPr>
        <w:t>，固定资产利用率</w:t>
      </w:r>
      <w:r>
        <w:rPr>
          <w:rFonts w:hint="eastAsia" w:ascii="仿宋_GB2312" w:hAnsi="仿宋_GB2312" w:eastAsia="仿宋_GB2312" w:cs="仿宋_GB2312"/>
          <w:color w:val="auto"/>
          <w:sz w:val="32"/>
          <w:szCs w:val="32"/>
          <w:highlight w:val="none"/>
          <w:lang w:val="en-US" w:eastAsia="zh-CN"/>
        </w:rPr>
        <w:t>95.6%</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eastAsia="zh-CN"/>
        </w:rPr>
        <w:t>扣分</w:t>
      </w:r>
      <w:r>
        <w:rPr>
          <w:rFonts w:hint="eastAsia" w:ascii="仿宋_GB2312" w:hAnsi="仿宋_GB2312" w:eastAsia="仿宋_GB2312" w:cs="仿宋_GB2312"/>
          <w:bCs/>
          <w:color w:val="auto"/>
          <w:kern w:val="0"/>
          <w:sz w:val="32"/>
          <w:szCs w:val="32"/>
          <w:highlight w:val="none"/>
          <w:lang w:val="en-US"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95.60</w:t>
      </w:r>
      <w:r>
        <w:rPr>
          <w:rFonts w:hint="eastAsia"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0.66</w:t>
      </w:r>
      <w:r>
        <w:rPr>
          <w:rFonts w:hint="eastAsia" w:ascii="仿宋_GB2312" w:hAnsi="仿宋_GB2312" w:eastAsia="仿宋_GB2312" w:cs="仿宋_GB2312"/>
          <w:color w:val="auto"/>
          <w:sz w:val="32"/>
          <w:szCs w:val="32"/>
          <w:highlight w:val="none"/>
        </w:rPr>
        <w:t>分。</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2</w:t>
      </w:r>
      <w:r>
        <w:rPr>
          <w:rFonts w:hint="eastAsia" w:ascii="仿宋_GB2312" w:hAnsi="仿宋_GB2312" w:eastAsia="仿宋_GB2312" w:cs="仿宋_GB2312"/>
          <w:b/>
          <w:color w:val="auto"/>
          <w:sz w:val="32"/>
          <w:szCs w:val="32"/>
          <w:highlight w:val="none"/>
        </w:rPr>
        <w:t>.产出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val="0"/>
          <w:bCs/>
          <w:color w:val="auto"/>
          <w:sz w:val="32"/>
          <w:szCs w:val="32"/>
          <w:highlight w:val="none"/>
        </w:rPr>
        <w:t>指标分值30分，得分</w:t>
      </w:r>
      <w:r>
        <w:rPr>
          <w:rFonts w:hint="eastAsia" w:ascii="仿宋_GB2312" w:hAnsi="仿宋_GB2312" w:eastAsia="仿宋_GB2312" w:cs="仿宋_GB2312"/>
          <w:b w:val="0"/>
          <w:bCs/>
          <w:color w:val="auto"/>
          <w:sz w:val="32"/>
          <w:szCs w:val="32"/>
          <w:highlight w:val="none"/>
          <w:lang w:val="en-US" w:eastAsia="zh-CN"/>
        </w:rPr>
        <w:t>25.5</w:t>
      </w:r>
      <w:r>
        <w:rPr>
          <w:rFonts w:hint="eastAsia" w:ascii="仿宋_GB2312" w:hAnsi="仿宋_GB2312" w:eastAsia="仿宋_GB2312" w:cs="仿宋_GB2312"/>
          <w:b w:val="0"/>
          <w:bCs/>
          <w:color w:val="auto"/>
          <w:sz w:val="32"/>
          <w:szCs w:val="32"/>
          <w:highlight w:val="none"/>
        </w:rPr>
        <w:t>分，扣减</w:t>
      </w:r>
      <w:r>
        <w:rPr>
          <w:rFonts w:hint="eastAsia" w:ascii="仿宋_GB2312" w:hAnsi="仿宋_GB2312" w:eastAsia="仿宋_GB2312" w:cs="仿宋_GB2312"/>
          <w:b w:val="0"/>
          <w:bCs/>
          <w:color w:val="auto"/>
          <w:sz w:val="32"/>
          <w:szCs w:val="32"/>
          <w:highlight w:val="none"/>
          <w:lang w:val="en-US" w:eastAsia="zh-CN"/>
        </w:rPr>
        <w:t>4.5</w:t>
      </w:r>
      <w:r>
        <w:rPr>
          <w:rFonts w:hint="eastAsia" w:ascii="仿宋_GB2312" w:hAnsi="仿宋_GB2312" w:eastAsia="仿宋_GB2312" w:cs="仿宋_GB2312"/>
          <w:b w:val="0"/>
          <w:bCs/>
          <w:color w:val="auto"/>
          <w:sz w:val="32"/>
          <w:szCs w:val="32"/>
          <w:highlight w:val="none"/>
        </w:rPr>
        <w:t>分。</w:t>
      </w:r>
    </w:p>
    <w:p>
      <w:pPr>
        <w:keepNext w:val="0"/>
        <w:keepLines w:val="0"/>
        <w:pageBreakBefore w:val="0"/>
        <w:widowControl w:val="0"/>
        <w:kinsoku/>
        <w:wordWrap/>
        <w:overflowPunct/>
        <w:topLinePunct w:val="0"/>
        <w:autoSpaceDE/>
        <w:autoSpaceDN/>
        <w:bidi w:val="0"/>
        <w:adjustRightInd/>
        <w:spacing w:line="540" w:lineRule="exact"/>
        <w:ind w:firstLine="48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实际完成</w:t>
      </w:r>
      <w:r>
        <w:rPr>
          <w:rFonts w:hint="eastAsia" w:ascii="仿宋_GB2312" w:hAnsi="仿宋_GB2312" w:eastAsia="仿宋_GB2312" w:cs="仿宋_GB2312"/>
          <w:color w:val="auto"/>
          <w:sz w:val="32"/>
          <w:szCs w:val="32"/>
          <w:highlight w:val="none"/>
        </w:rPr>
        <w:t>率”扣减</w:t>
      </w: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分。原因为：</w:t>
      </w:r>
      <w:r>
        <w:rPr>
          <w:rFonts w:hint="eastAsia" w:ascii="仿宋_GB2312" w:hAnsi="仿宋_GB2312" w:eastAsia="仿宋_GB2312" w:cs="仿宋_GB2312"/>
          <w:color w:val="auto"/>
          <w:sz w:val="32"/>
          <w:szCs w:val="32"/>
          <w:highlight w:val="none"/>
          <w:lang w:val="en-US" w:eastAsia="zh-CN"/>
        </w:rPr>
        <w:t>2020年度中央污染防治资金，共支持36个项目，完成项目数量30个，完成率83.33%；省级污染防治资金，共支持12个项目，实际完成11个，完成率91.67%；市级环保专项资金李沧区场地土壤污染治理与修复项目未开展。根据评分标准，扣分=1.5*3=4.5分。</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Times New Roman" w:eastAsia="仿宋_GB2312" w:cs="Times New Roman"/>
          <w:b/>
          <w:color w:val="auto"/>
          <w:sz w:val="32"/>
          <w:szCs w:val="32"/>
          <w:highlight w:val="none"/>
          <w:lang w:eastAsia="zh-CN"/>
        </w:rPr>
      </w:pPr>
      <w:r>
        <w:rPr>
          <w:rFonts w:hint="eastAsia" w:ascii="仿宋_GB2312" w:hAnsi="Times New Roman" w:eastAsia="仿宋_GB2312" w:cs="Times New Roman"/>
          <w:b/>
          <w:color w:val="auto"/>
          <w:sz w:val="32"/>
          <w:szCs w:val="32"/>
          <w:highlight w:val="none"/>
          <w:lang w:val="en-US" w:eastAsia="zh-CN"/>
        </w:rPr>
        <w:t>3</w:t>
      </w:r>
      <w:r>
        <w:rPr>
          <w:rFonts w:hint="eastAsia" w:ascii="仿宋_GB2312" w:hAnsi="Times New Roman" w:eastAsia="仿宋_GB2312" w:cs="Times New Roman"/>
          <w:b/>
          <w:color w:val="auto"/>
          <w:sz w:val="32"/>
          <w:szCs w:val="32"/>
          <w:highlight w:val="none"/>
        </w:rPr>
        <w:t>.效</w:t>
      </w:r>
      <w:r>
        <w:rPr>
          <w:rFonts w:hint="eastAsia" w:ascii="仿宋_GB2312" w:hAnsi="Times New Roman" w:eastAsia="仿宋_GB2312" w:cs="Times New Roman"/>
          <w:b/>
          <w:color w:val="auto"/>
          <w:sz w:val="32"/>
          <w:szCs w:val="32"/>
          <w:highlight w:val="none"/>
          <w:lang w:eastAsia="zh-CN"/>
        </w:rPr>
        <w:t>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hAnsi="Times New Roman" w:eastAsia="仿宋_GB2312" w:cs="Times New Roman"/>
          <w:b/>
          <w:color w:val="auto"/>
          <w:sz w:val="32"/>
          <w:szCs w:val="32"/>
          <w:highlight w:val="none"/>
        </w:rPr>
      </w:pPr>
      <w:r>
        <w:rPr>
          <w:rFonts w:hint="eastAsia" w:ascii="仿宋_GB2312" w:hAnsi="Times New Roman" w:eastAsia="仿宋_GB2312" w:cs="Times New Roman"/>
          <w:b w:val="0"/>
          <w:bCs/>
          <w:color w:val="auto"/>
          <w:sz w:val="32"/>
          <w:szCs w:val="32"/>
          <w:highlight w:val="none"/>
        </w:rPr>
        <w:t>指标分值30分，得分</w:t>
      </w:r>
      <w:r>
        <w:rPr>
          <w:rFonts w:hint="eastAsia" w:ascii="仿宋_GB2312" w:hAnsi="Times New Roman" w:eastAsia="仿宋_GB2312" w:cs="Times New Roman"/>
          <w:b w:val="0"/>
          <w:bCs/>
          <w:color w:val="auto"/>
          <w:sz w:val="32"/>
          <w:szCs w:val="32"/>
          <w:highlight w:val="none"/>
          <w:lang w:val="en-US" w:eastAsia="zh-CN"/>
        </w:rPr>
        <w:t>27.97</w:t>
      </w:r>
      <w:r>
        <w:rPr>
          <w:rFonts w:hint="eastAsia" w:ascii="仿宋_GB2312" w:hAnsi="Times New Roman" w:eastAsia="仿宋_GB2312" w:cs="Times New Roman"/>
          <w:b w:val="0"/>
          <w:bCs/>
          <w:color w:val="auto"/>
          <w:sz w:val="32"/>
          <w:szCs w:val="32"/>
          <w:highlight w:val="none"/>
        </w:rPr>
        <w:t>分，扣减</w:t>
      </w:r>
      <w:r>
        <w:rPr>
          <w:rFonts w:hint="eastAsia" w:ascii="仿宋_GB2312" w:hAnsi="Times New Roman" w:eastAsia="仿宋_GB2312" w:cs="Times New Roman"/>
          <w:b w:val="0"/>
          <w:bCs/>
          <w:color w:val="auto"/>
          <w:sz w:val="32"/>
          <w:szCs w:val="32"/>
          <w:highlight w:val="none"/>
          <w:lang w:val="en-US" w:eastAsia="zh-CN"/>
        </w:rPr>
        <w:t>2.03</w:t>
      </w:r>
      <w:r>
        <w:rPr>
          <w:rFonts w:hint="eastAsia" w:ascii="仿宋_GB2312" w:hAnsi="Times New Roman" w:eastAsia="仿宋_GB2312" w:cs="Times New Roman"/>
          <w:b w:val="0"/>
          <w:bCs/>
          <w:color w:val="auto"/>
          <w:sz w:val="32"/>
          <w:szCs w:val="32"/>
          <w:highlight w:val="none"/>
        </w:rPr>
        <w:t>分。</w:t>
      </w:r>
    </w:p>
    <w:p>
      <w:pPr>
        <w:pStyle w:val="76"/>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kern w:val="2"/>
          <w:sz w:val="32"/>
          <w:szCs w:val="32"/>
          <w:highlight w:val="none"/>
          <w:lang w:val="en-US" w:eastAsia="zh-CN" w:bidi="ar-SA"/>
        </w:rPr>
        <w:t>“行政效能”扣减0.5分。原因为：2020年部门在上级考核取得良好成绩。扣分=25%*2=0.5分。</w:t>
      </w:r>
    </w:p>
    <w:p>
      <w:pPr>
        <w:pStyle w:val="2"/>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Times New Roman" w:eastAsia="仿宋_GB2312" w:cs="Times New Roman"/>
          <w:color w:val="auto"/>
          <w:kern w:val="2"/>
          <w:sz w:val="32"/>
          <w:szCs w:val="32"/>
          <w:highlight w:val="none"/>
          <w:lang w:val="en-US" w:eastAsia="zh-CN" w:bidi="ar-SA"/>
        </w:rPr>
        <w:t>（</w:t>
      </w:r>
      <w:r>
        <w:rPr>
          <w:rFonts w:hint="eastAsia" w:ascii="仿宋_GB2312" w:hAnsi="Times New Roman" w:cs="Times New Roman"/>
          <w:color w:val="auto"/>
          <w:kern w:val="2"/>
          <w:sz w:val="32"/>
          <w:szCs w:val="32"/>
          <w:highlight w:val="none"/>
          <w:lang w:val="en-US" w:eastAsia="zh-CN" w:bidi="ar-SA"/>
        </w:rPr>
        <w:t>2</w:t>
      </w:r>
      <w:r>
        <w:rPr>
          <w:rFonts w:hint="eastAsia" w:ascii="仿宋_GB2312" w:hAnsi="Times New Roman" w:eastAsia="仿宋_GB2312" w:cs="Times New Roman"/>
          <w:color w:val="auto"/>
          <w:kern w:val="2"/>
          <w:sz w:val="32"/>
          <w:szCs w:val="32"/>
          <w:highlight w:val="none"/>
          <w:lang w:val="en-US" w:eastAsia="zh-CN" w:bidi="ar-SA"/>
        </w:rPr>
        <w:t>）“社会公众满意度”扣减1.53分。原因为：</w:t>
      </w:r>
      <w:r>
        <w:rPr>
          <w:rFonts w:hint="eastAsia" w:ascii="仿宋_GB2312" w:hAnsi="仿宋_GB2312" w:cs="仿宋_GB2312"/>
          <w:color w:val="auto"/>
          <w:sz w:val="32"/>
          <w:szCs w:val="32"/>
          <w:highlight w:val="none"/>
          <w:lang w:eastAsia="zh-CN"/>
        </w:rPr>
        <w:t>根据工作要求，评价组于</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cs="仿宋_GB2312"/>
          <w:color w:val="auto"/>
          <w:sz w:val="32"/>
          <w:szCs w:val="32"/>
          <w:highlight w:val="none"/>
          <w:lang w:val="en-US" w:eastAsia="zh-CN"/>
        </w:rPr>
        <w:t>至</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cs="仿宋_GB2312"/>
          <w:color w:val="auto"/>
          <w:sz w:val="32"/>
          <w:szCs w:val="32"/>
          <w:highlight w:val="none"/>
          <w:lang w:eastAsia="zh-CN"/>
        </w:rPr>
        <w:t>，面向</w:t>
      </w:r>
      <w:r>
        <w:rPr>
          <w:rFonts w:hint="eastAsia" w:ascii="仿宋_GB2312" w:hAnsi="仿宋_GB2312" w:cs="仿宋_GB2312"/>
          <w:color w:val="auto"/>
          <w:sz w:val="32"/>
          <w:szCs w:val="32"/>
          <w:highlight w:val="none"/>
          <w:lang w:val="en-US" w:eastAsia="zh-CN"/>
        </w:rPr>
        <w:t>社会公众开展网络问卷调查，共计</w:t>
      </w:r>
      <w:r>
        <w:rPr>
          <w:rFonts w:hint="eastAsia" w:ascii="仿宋_GB2312" w:hAnsi="仿宋_GB2312" w:cs="仿宋_GB2312"/>
          <w:color w:val="auto"/>
          <w:sz w:val="32"/>
          <w:szCs w:val="32"/>
          <w:highlight w:val="none"/>
          <w:lang w:eastAsia="zh-CN"/>
        </w:rPr>
        <w:t>回收</w:t>
      </w:r>
      <w:r>
        <w:rPr>
          <w:rFonts w:hint="eastAsia" w:ascii="仿宋_GB2312" w:hAnsi="仿宋_GB2312" w:eastAsia="仿宋_GB2312" w:cs="仿宋_GB2312"/>
          <w:color w:val="auto"/>
          <w:sz w:val="32"/>
          <w:szCs w:val="32"/>
          <w:highlight w:val="none"/>
          <w:lang w:eastAsia="zh-CN"/>
        </w:rPr>
        <w:t>问卷</w:t>
      </w:r>
      <w:r>
        <w:rPr>
          <w:rFonts w:hint="eastAsia" w:ascii="仿宋_GB2312" w:hAnsi="仿宋_GB2312" w:cs="仿宋_GB2312"/>
          <w:color w:val="auto"/>
          <w:sz w:val="32"/>
          <w:szCs w:val="32"/>
          <w:highlight w:val="none"/>
          <w:lang w:val="en-US" w:eastAsia="zh-CN"/>
        </w:rPr>
        <w:t>231</w:t>
      </w:r>
      <w:r>
        <w:rPr>
          <w:rFonts w:hint="eastAsia" w:ascii="仿宋_GB2312" w:hAnsi="仿宋_GB2312" w:eastAsia="仿宋_GB2312" w:cs="仿宋_GB2312"/>
          <w:color w:val="auto"/>
          <w:sz w:val="32"/>
          <w:szCs w:val="32"/>
          <w:highlight w:val="none"/>
          <w:lang w:eastAsia="zh-CN"/>
        </w:rPr>
        <w:t>份，问卷有效率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，经统计，社会公众满意度</w:t>
      </w:r>
      <w:r>
        <w:rPr>
          <w:rFonts w:hint="eastAsia" w:ascii="仿宋_GB2312" w:hAnsi="仿宋_GB2312" w:cs="仿宋_GB2312"/>
          <w:color w:val="auto"/>
          <w:sz w:val="32"/>
          <w:szCs w:val="32"/>
          <w:highlight w:val="none"/>
          <w:lang w:val="en-US" w:eastAsia="zh-CN"/>
        </w:rPr>
        <w:t>81.18%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cs="仿宋_GB2312"/>
          <w:color w:val="auto"/>
          <w:sz w:val="32"/>
          <w:szCs w:val="32"/>
          <w:highlight w:val="none"/>
          <w:lang w:eastAsia="zh-CN"/>
        </w:rPr>
        <w:t>扣分</w:t>
      </w:r>
      <w:r>
        <w:rPr>
          <w:rFonts w:hint="eastAsia" w:ascii="仿宋_GB2312" w:hAnsi="仿宋_GB2312" w:cs="仿宋_GB2312"/>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w:t>
      </w:r>
      <w:r>
        <w:rPr>
          <w:rFonts w:hint="eastAsia" w:ascii="仿宋_GB2312" w:hAnsi="Times New Roman" w:cs="Times New Roman"/>
          <w:color w:val="auto"/>
          <w:sz w:val="32"/>
          <w:szCs w:val="32"/>
          <w:highlight w:val="none"/>
          <w:lang w:val="en-US" w:eastAsia="zh-CN"/>
        </w:rPr>
        <w:t>85</w:t>
      </w:r>
      <w:r>
        <w:rPr>
          <w:rFonts w:hint="eastAsia" w:ascii="仿宋_GB2312" w:hAnsi="Times New Roman"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w:t>
      </w:r>
      <w:r>
        <w:rPr>
          <w:rFonts w:hint="eastAsia" w:ascii="仿宋_GB2312" w:hAnsi="Times New Roman" w:cs="Times New Roman"/>
          <w:color w:val="auto"/>
          <w:sz w:val="32"/>
          <w:szCs w:val="32"/>
          <w:highlight w:val="none"/>
          <w:lang w:val="en-US" w:eastAsia="zh-CN"/>
        </w:rPr>
        <w:t>81.18</w:t>
      </w:r>
      <w:r>
        <w:rPr>
          <w:rFonts w:hint="eastAsia" w:ascii="仿宋_GB2312" w:hAnsi="Times New Roman" w:eastAsia="仿宋_GB2312" w:cs="Times New Roman"/>
          <w:color w:val="auto"/>
          <w:sz w:val="32"/>
          <w:szCs w:val="32"/>
          <w:highlight w:val="none"/>
        </w:rPr>
        <w:t>%）/1%*</w:t>
      </w:r>
      <w:r>
        <w:rPr>
          <w:rFonts w:hint="eastAsia" w:ascii="仿宋_GB2312" w:hAnsi="Times New Roman"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w:t>
      </w:r>
      <w:r>
        <w:rPr>
          <w:rFonts w:hint="eastAsia" w:ascii="仿宋_GB2312" w:hAnsi="Times New Roman"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rPr>
        <w:t>=</w:t>
      </w:r>
      <w:r>
        <w:rPr>
          <w:rFonts w:hint="eastAsia" w:ascii="仿宋_GB2312" w:hAnsi="Times New Roman" w:cs="Times New Roman"/>
          <w:color w:val="auto"/>
          <w:sz w:val="32"/>
          <w:szCs w:val="32"/>
          <w:highlight w:val="none"/>
          <w:lang w:val="en-US" w:eastAsia="zh-CN"/>
        </w:rPr>
        <w:t>1.53</w:t>
      </w:r>
      <w:r>
        <w:rPr>
          <w:rFonts w:hint="eastAsia" w:ascii="仿宋_GB2312" w:hAnsi="Times New Roman" w:eastAsia="仿宋_GB2312" w:cs="Times New Roman"/>
          <w:color w:val="auto"/>
          <w:sz w:val="32"/>
          <w:szCs w:val="32"/>
          <w:highlight w:val="none"/>
        </w:rPr>
        <w:t>分。</w:t>
      </w:r>
    </w:p>
    <w:bookmarkEnd w:id="45"/>
    <w:bookmarkEnd w:id="46"/>
    <w:bookmarkEnd w:id="47"/>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1"/>
        <w:rPr>
          <w:rFonts w:hint="default" w:ascii="Times New Roman" w:hAnsi="Times New Roman" w:eastAsia="楷体" w:cs="Times New Roman"/>
          <w:bCs/>
          <w:color w:val="auto"/>
          <w:kern w:val="0"/>
          <w:sz w:val="32"/>
          <w:szCs w:val="32"/>
          <w:highlight w:val="none"/>
        </w:rPr>
      </w:pPr>
      <w:bookmarkStart w:id="48" w:name="_Toc1329"/>
      <w:r>
        <w:rPr>
          <w:rFonts w:hint="default" w:ascii="Times New Roman" w:hAnsi="Times New Roman" w:eastAsia="楷体" w:cs="Times New Roman"/>
          <w:bCs/>
          <w:color w:val="auto"/>
          <w:kern w:val="0"/>
          <w:sz w:val="32"/>
          <w:szCs w:val="32"/>
          <w:highlight w:val="none"/>
        </w:rPr>
        <w:t>（</w:t>
      </w:r>
      <w:r>
        <w:rPr>
          <w:rFonts w:hint="eastAsia" w:ascii="Times New Roman" w:hAnsi="Times New Roman" w:eastAsia="楷体" w:cs="Times New Roman"/>
          <w:bCs/>
          <w:color w:val="auto"/>
          <w:kern w:val="0"/>
          <w:sz w:val="32"/>
          <w:szCs w:val="32"/>
          <w:highlight w:val="none"/>
          <w:lang w:eastAsia="zh-CN"/>
        </w:rPr>
        <w:t>二</w:t>
      </w:r>
      <w:r>
        <w:rPr>
          <w:rFonts w:hint="default" w:ascii="Times New Roman" w:hAnsi="Times New Roman" w:eastAsia="楷体" w:cs="Times New Roman"/>
          <w:bCs/>
          <w:color w:val="auto"/>
          <w:kern w:val="0"/>
          <w:sz w:val="32"/>
          <w:szCs w:val="32"/>
          <w:highlight w:val="none"/>
        </w:rPr>
        <w:t>）评价结论</w:t>
      </w:r>
      <w:bookmarkEnd w:id="44"/>
      <w:bookmarkEnd w:id="48"/>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outlineLvl w:val="1"/>
        <w:rPr>
          <w:rFonts w:hint="default" w:ascii="仿宋_GB2312" w:hAnsi="仿宋_GB2312" w:eastAsia="仿宋_GB2312" w:cs="仿宋_GB2312"/>
          <w:b/>
          <w:bCs/>
          <w:color w:val="auto"/>
          <w:sz w:val="32"/>
          <w:szCs w:val="32"/>
          <w:highlight w:val="none"/>
          <w:lang w:val="en-US" w:eastAsia="zh-CN"/>
        </w:rPr>
      </w:pPr>
      <w:bookmarkStart w:id="49" w:name="_Toc11719"/>
      <w:bookmarkStart w:id="50" w:name="_Toc26964742"/>
      <w:r>
        <w:rPr>
          <w:rFonts w:hint="eastAsia" w:ascii="仿宋_GB2312" w:hAnsi="仿宋_GB2312" w:eastAsia="仿宋_GB2312" w:cs="仿宋_GB2312"/>
          <w:b/>
          <w:bCs/>
          <w:color w:val="auto"/>
          <w:sz w:val="32"/>
          <w:szCs w:val="32"/>
          <w:highlight w:val="none"/>
          <w:lang w:val="en-US" w:eastAsia="zh-CN"/>
        </w:rPr>
        <w:t>1.评价分数和等级</w:t>
      </w:r>
      <w:bookmarkEnd w:id="49"/>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年度青岛市</w:t>
      </w:r>
      <w:r>
        <w:rPr>
          <w:rFonts w:hint="eastAsia" w:ascii="仿宋_GB2312" w:hAnsi="仿宋_GB2312" w:eastAsia="仿宋_GB2312" w:cs="仿宋_GB2312"/>
          <w:color w:val="auto"/>
          <w:sz w:val="32"/>
          <w:szCs w:val="32"/>
          <w:highlight w:val="none"/>
          <w:lang w:eastAsia="zh-CN"/>
        </w:rPr>
        <w:t>生态环境局</w:t>
      </w:r>
      <w:r>
        <w:rPr>
          <w:rFonts w:hint="eastAsia" w:ascii="仿宋_GB2312" w:hAnsi="仿宋_GB2312" w:eastAsia="仿宋_GB2312" w:cs="仿宋_GB2312"/>
          <w:color w:val="auto"/>
          <w:sz w:val="32"/>
          <w:szCs w:val="32"/>
          <w:highlight w:val="none"/>
        </w:rPr>
        <w:t>整体支出绩效评价指标</w:t>
      </w:r>
      <w:r>
        <w:rPr>
          <w:rFonts w:hint="eastAsia" w:ascii="仿宋_GB2312" w:hAnsi="仿宋_GB2312" w:eastAsia="仿宋_GB2312" w:cs="仿宋_GB2312"/>
          <w:color w:val="auto"/>
          <w:sz w:val="32"/>
          <w:szCs w:val="32"/>
          <w:highlight w:val="none"/>
          <w:lang w:eastAsia="zh-CN"/>
        </w:rPr>
        <w:t>体系</w:t>
      </w:r>
      <w:r>
        <w:rPr>
          <w:rFonts w:hint="eastAsia" w:ascii="仿宋_GB2312" w:hAnsi="仿宋_GB2312" w:eastAsia="仿宋_GB2312" w:cs="仿宋_GB2312"/>
          <w:color w:val="auto"/>
          <w:sz w:val="32"/>
          <w:szCs w:val="32"/>
          <w:highlight w:val="none"/>
        </w:rPr>
        <w:t>，绩效评价工作组从投入、过程、产出、</w:t>
      </w:r>
      <w:r>
        <w:rPr>
          <w:rFonts w:hint="eastAsia" w:ascii="仿宋_GB2312" w:hAnsi="仿宋_GB2312" w:eastAsia="仿宋_GB2312" w:cs="仿宋_GB2312"/>
          <w:color w:val="auto"/>
          <w:sz w:val="32"/>
          <w:szCs w:val="32"/>
          <w:highlight w:val="none"/>
          <w:lang w:eastAsia="zh-CN"/>
        </w:rPr>
        <w:t>效果</w:t>
      </w:r>
      <w:r>
        <w:rPr>
          <w:rFonts w:hint="eastAsia" w:ascii="仿宋_GB2312" w:hAnsi="仿宋_GB2312" w:eastAsia="仿宋_GB2312" w:cs="仿宋_GB2312"/>
          <w:color w:val="auto"/>
          <w:sz w:val="32"/>
          <w:szCs w:val="32"/>
          <w:highlight w:val="none"/>
        </w:rPr>
        <w:t>四个方面进行了评价打分和分析。该部门整体绩效评价得分为</w:t>
      </w:r>
      <w:r>
        <w:rPr>
          <w:rFonts w:hint="eastAsia" w:ascii="仿宋_GB2312" w:hAnsi="仿宋_GB2312" w:eastAsia="仿宋_GB2312" w:cs="仿宋_GB2312"/>
          <w:color w:val="auto"/>
          <w:sz w:val="32"/>
          <w:szCs w:val="32"/>
          <w:highlight w:val="none"/>
          <w:lang w:val="en-US" w:eastAsia="zh-CN"/>
        </w:rPr>
        <w:t>86.45</w:t>
      </w:r>
      <w:r>
        <w:rPr>
          <w:rFonts w:hint="eastAsia" w:ascii="仿宋_GB2312" w:hAnsi="仿宋_GB2312" w:eastAsia="仿宋_GB2312" w:cs="仿宋_GB2312"/>
          <w:color w:val="auto"/>
          <w:sz w:val="32"/>
          <w:szCs w:val="32"/>
          <w:highlight w:val="none"/>
        </w:rPr>
        <w:t>分，等级为“</w:t>
      </w:r>
      <w:r>
        <w:rPr>
          <w:rFonts w:hint="eastAsia" w:ascii="仿宋_GB2312" w:hAnsi="仿宋_GB2312" w:eastAsia="仿宋_GB2312" w:cs="仿宋_GB2312"/>
          <w:color w:val="auto"/>
          <w:sz w:val="32"/>
          <w:szCs w:val="32"/>
          <w:highlight w:val="none"/>
          <w:lang w:eastAsia="zh-CN"/>
        </w:rPr>
        <w:t>良</w:t>
      </w:r>
      <w:r>
        <w:rPr>
          <w:rFonts w:hint="eastAsia" w:ascii="仿宋_GB2312" w:hAnsi="仿宋_GB2312" w:eastAsia="仿宋_GB2312" w:cs="仿宋_GB2312"/>
          <w:color w:val="auto"/>
          <w:sz w:val="32"/>
          <w:szCs w:val="32"/>
          <w:highlight w:val="none"/>
        </w:rPr>
        <w:t>”。绩效得分整体情况如下</w:t>
      </w:r>
      <w:r>
        <w:rPr>
          <w:rFonts w:hint="eastAsia" w:ascii="仿宋_GB2312"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lang w:eastAsia="zh-CN"/>
        </w:rPr>
        <w:t>表</w:t>
      </w:r>
      <w:r>
        <w:rPr>
          <w:rFonts w:hint="eastAsia" w:ascii="黑体" w:hAnsi="黑体" w:eastAsia="黑体" w:cs="黑体"/>
          <w:b w:val="0"/>
          <w:bCs/>
          <w:color w:val="auto"/>
          <w:sz w:val="28"/>
          <w:szCs w:val="28"/>
          <w:highlight w:val="none"/>
          <w:lang w:val="en-US" w:eastAsia="zh-CN"/>
        </w:rPr>
        <w:t xml:space="preserve">2 </w:t>
      </w:r>
      <w:r>
        <w:rPr>
          <w:rFonts w:hint="eastAsia" w:ascii="黑体" w:hAnsi="黑体" w:eastAsia="黑体" w:cs="黑体"/>
          <w:b w:val="0"/>
          <w:bCs/>
          <w:color w:val="auto"/>
          <w:sz w:val="28"/>
          <w:szCs w:val="28"/>
          <w:highlight w:val="none"/>
        </w:rPr>
        <w:t>绩效得分整体情况表</w:t>
      </w:r>
    </w:p>
    <w:tbl>
      <w:tblPr>
        <w:tblStyle w:val="23"/>
        <w:tblpPr w:leftFromText="180" w:rightFromText="180" w:vertAnchor="text" w:horzAnchor="page" w:tblpX="1974" w:tblpY="1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049"/>
        <w:gridCol w:w="2050"/>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2049" w:type="dxa"/>
            <w:shd w:val="clear" w:color="auto" w:fill="auto"/>
          </w:tcPr>
          <w:p>
            <w:pPr>
              <w:widowControl/>
              <w:spacing w:line="360" w:lineRule="auto"/>
              <w:jc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指标</w:t>
            </w:r>
          </w:p>
        </w:tc>
        <w:tc>
          <w:tcPr>
            <w:tcW w:w="2049" w:type="dxa"/>
            <w:shd w:val="clear" w:color="auto" w:fill="auto"/>
            <w:vAlign w:val="top"/>
          </w:tcPr>
          <w:p>
            <w:pPr>
              <w:widowControl/>
              <w:spacing w:line="360" w:lineRule="auto"/>
              <w:jc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标准分值</w:t>
            </w:r>
          </w:p>
        </w:tc>
        <w:tc>
          <w:tcPr>
            <w:tcW w:w="2050" w:type="dxa"/>
            <w:shd w:val="clear" w:color="auto" w:fill="auto"/>
          </w:tcPr>
          <w:p>
            <w:pPr>
              <w:widowControl/>
              <w:spacing w:line="360" w:lineRule="auto"/>
              <w:jc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实际得分</w:t>
            </w:r>
          </w:p>
        </w:tc>
        <w:tc>
          <w:tcPr>
            <w:tcW w:w="2050" w:type="dxa"/>
            <w:shd w:val="clear" w:color="auto" w:fill="auto"/>
          </w:tcPr>
          <w:p>
            <w:pPr>
              <w:widowControl/>
              <w:spacing w:line="360" w:lineRule="auto"/>
              <w:jc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9" w:type="dxa"/>
          </w:tcPr>
          <w:p>
            <w:pPr>
              <w:widowControl/>
              <w:spacing w:line="360" w:lineRule="auto"/>
              <w:jc w:val="center"/>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投入</w:t>
            </w:r>
          </w:p>
        </w:tc>
        <w:tc>
          <w:tcPr>
            <w:tcW w:w="2049" w:type="dxa"/>
            <w:vAlign w:val="center"/>
          </w:tcPr>
          <w:p>
            <w:pPr>
              <w:keepNext w:val="0"/>
              <w:keepLines w:val="0"/>
              <w:widowControl/>
              <w:suppressLineNumbers w:val="0"/>
              <w:jc w:val="center"/>
              <w:textAlignment w:val="top"/>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50" w:type="dxa"/>
            <w:vAlign w:val="center"/>
          </w:tcPr>
          <w:p>
            <w:pPr>
              <w:keepNext w:val="0"/>
              <w:keepLines w:val="0"/>
              <w:widowControl/>
              <w:suppressLineNumbers w:val="0"/>
              <w:jc w:val="center"/>
              <w:textAlignment w:val="top"/>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default" w:ascii="宋体" w:hAnsi="宋体" w:eastAsia="宋体" w:cs="宋体"/>
                <w:i w:val="0"/>
                <w:iCs w:val="0"/>
                <w:color w:val="auto"/>
                <w:kern w:val="0"/>
                <w:sz w:val="24"/>
                <w:szCs w:val="24"/>
                <w:highlight w:val="none"/>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9" w:type="dxa"/>
          </w:tcPr>
          <w:p>
            <w:pPr>
              <w:widowControl/>
              <w:spacing w:line="360" w:lineRule="auto"/>
              <w:jc w:val="center"/>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过程</w:t>
            </w:r>
          </w:p>
        </w:tc>
        <w:tc>
          <w:tcPr>
            <w:tcW w:w="2049" w:type="dxa"/>
            <w:vAlign w:val="center"/>
          </w:tcPr>
          <w:p>
            <w:pPr>
              <w:keepNext w:val="0"/>
              <w:keepLines w:val="0"/>
              <w:widowControl/>
              <w:suppressLineNumbers w:val="0"/>
              <w:jc w:val="center"/>
              <w:textAlignment w:val="top"/>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default" w:ascii="宋体" w:hAnsi="宋体" w:eastAsia="宋体" w:cs="宋体"/>
                <w:i w:val="0"/>
                <w:iCs w:val="0"/>
                <w:color w:val="auto"/>
                <w:kern w:val="0"/>
                <w:sz w:val="24"/>
                <w:szCs w:val="24"/>
                <w:highlight w:val="none"/>
                <w:u w:val="none"/>
                <w:lang w:val="en-US" w:eastAsia="zh-CN" w:bidi="ar"/>
              </w:rPr>
              <w:t>22.98</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default" w:ascii="宋体" w:hAnsi="宋体" w:eastAsia="宋体" w:cs="宋体"/>
                <w:i w:val="0"/>
                <w:iCs w:val="0"/>
                <w:color w:val="auto"/>
                <w:kern w:val="0"/>
                <w:sz w:val="24"/>
                <w:szCs w:val="24"/>
                <w:highlight w:val="none"/>
                <w:u w:val="none"/>
                <w:lang w:val="en-US" w:eastAsia="zh-CN" w:bidi="ar"/>
              </w:rPr>
              <w:t>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9" w:type="dxa"/>
          </w:tcPr>
          <w:p>
            <w:pPr>
              <w:widowControl/>
              <w:spacing w:line="360" w:lineRule="auto"/>
              <w:jc w:val="center"/>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产出</w:t>
            </w:r>
          </w:p>
        </w:tc>
        <w:tc>
          <w:tcPr>
            <w:tcW w:w="2049" w:type="dxa"/>
            <w:vAlign w:val="center"/>
          </w:tcPr>
          <w:p>
            <w:pPr>
              <w:keepNext w:val="0"/>
              <w:keepLines w:val="0"/>
              <w:widowControl/>
              <w:suppressLineNumbers w:val="0"/>
              <w:jc w:val="center"/>
              <w:textAlignment w:val="top"/>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50" w:type="dxa"/>
            <w:vAlign w:val="center"/>
          </w:tcPr>
          <w:p>
            <w:pPr>
              <w:pStyle w:val="2"/>
              <w:jc w:val="center"/>
              <w:rPr>
                <w:rFonts w:hint="default"/>
                <w:color w:val="auto"/>
                <w:highlight w:val="none"/>
                <w:lang w:val="en-US" w:eastAsia="zh-CN"/>
              </w:rPr>
            </w:pPr>
            <w:r>
              <w:rPr>
                <w:rFonts w:hint="eastAsia"/>
                <w:color w:val="auto"/>
                <w:highlight w:val="none"/>
                <w:lang w:val="en-US" w:eastAsia="zh-CN"/>
              </w:rPr>
              <w:t>25.50</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85.00</w:t>
            </w:r>
            <w:r>
              <w:rPr>
                <w:rFonts w:hint="default" w:ascii="宋体" w:hAnsi="宋体" w:eastAsia="宋体" w:cs="宋体"/>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9" w:type="dxa"/>
          </w:tcPr>
          <w:p>
            <w:pPr>
              <w:widowControl/>
              <w:spacing w:line="360" w:lineRule="auto"/>
              <w:jc w:val="center"/>
              <w:rPr>
                <w:rFonts w:hint="eastAsia" w:ascii="黑体" w:hAnsi="黑体" w:eastAsia="黑体" w:cs="黑体"/>
                <w:b w:val="0"/>
                <w:bCs/>
                <w:color w:val="auto"/>
                <w:kern w:val="0"/>
                <w:sz w:val="24"/>
                <w:szCs w:val="24"/>
                <w:highlight w:val="none"/>
                <w:lang w:eastAsia="zh-CN"/>
              </w:rPr>
            </w:pPr>
            <w:r>
              <w:rPr>
                <w:rFonts w:hint="eastAsia" w:ascii="黑体" w:hAnsi="黑体" w:eastAsia="黑体" w:cs="黑体"/>
                <w:b w:val="0"/>
                <w:bCs/>
                <w:color w:val="auto"/>
                <w:kern w:val="0"/>
                <w:sz w:val="24"/>
                <w:szCs w:val="24"/>
                <w:highlight w:val="none"/>
                <w:lang w:eastAsia="zh-CN"/>
              </w:rPr>
              <w:t>效果</w:t>
            </w:r>
          </w:p>
        </w:tc>
        <w:tc>
          <w:tcPr>
            <w:tcW w:w="2049" w:type="dxa"/>
            <w:vAlign w:val="center"/>
          </w:tcPr>
          <w:p>
            <w:pPr>
              <w:keepNext w:val="0"/>
              <w:keepLines w:val="0"/>
              <w:widowControl/>
              <w:suppressLineNumbers w:val="0"/>
              <w:jc w:val="center"/>
              <w:textAlignment w:val="top"/>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27.97</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default" w:ascii="宋体" w:hAnsi="宋体" w:eastAsia="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3.23</w:t>
            </w:r>
            <w:r>
              <w:rPr>
                <w:rFonts w:hint="default" w:ascii="宋体" w:hAnsi="宋体" w:eastAsia="宋体" w:cs="宋体"/>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9" w:type="dxa"/>
          </w:tcPr>
          <w:p>
            <w:pPr>
              <w:widowControl/>
              <w:spacing w:line="360" w:lineRule="auto"/>
              <w:jc w:val="center"/>
              <w:rPr>
                <w:rFonts w:hint="eastAsia" w:ascii="黑体" w:hAnsi="黑体" w:eastAsia="黑体" w:cs="黑体"/>
                <w:b w:val="0"/>
                <w:bCs/>
                <w:color w:val="auto"/>
                <w:kern w:val="0"/>
                <w:sz w:val="24"/>
                <w:szCs w:val="24"/>
                <w:highlight w:val="none"/>
              </w:rPr>
            </w:pPr>
            <w:r>
              <w:rPr>
                <w:rFonts w:hint="eastAsia" w:ascii="黑体" w:hAnsi="黑体" w:eastAsia="黑体" w:cs="黑体"/>
                <w:b w:val="0"/>
                <w:bCs/>
                <w:color w:val="auto"/>
                <w:kern w:val="0"/>
                <w:sz w:val="24"/>
                <w:szCs w:val="24"/>
                <w:highlight w:val="none"/>
              </w:rPr>
              <w:t>综合绩效</w:t>
            </w:r>
          </w:p>
        </w:tc>
        <w:tc>
          <w:tcPr>
            <w:tcW w:w="2049" w:type="dxa"/>
            <w:vAlign w:val="center"/>
          </w:tcPr>
          <w:p>
            <w:pPr>
              <w:keepNext w:val="0"/>
              <w:keepLines w:val="0"/>
              <w:widowControl/>
              <w:suppressLineNumbers w:val="0"/>
              <w:jc w:val="center"/>
              <w:textAlignment w:val="top"/>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100</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86.45</w:t>
            </w:r>
          </w:p>
        </w:tc>
        <w:tc>
          <w:tcPr>
            <w:tcW w:w="2050" w:type="dxa"/>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86.45</w:t>
            </w:r>
            <w:r>
              <w:rPr>
                <w:rFonts w:hint="default" w:ascii="宋体" w:hAnsi="宋体" w:eastAsia="宋体" w:cs="宋体"/>
                <w:i w:val="0"/>
                <w:iCs w:val="0"/>
                <w:color w:val="auto"/>
                <w:kern w:val="0"/>
                <w:sz w:val="24"/>
                <w:szCs w:val="24"/>
                <w:highlight w:val="none"/>
                <w:u w:val="none"/>
                <w:lang w:val="en-US" w:eastAsia="zh-CN" w:bidi="ar"/>
              </w:rPr>
              <w:t>%</w:t>
            </w:r>
          </w:p>
        </w:tc>
      </w:tr>
    </w:tbl>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从上表可以看出，过程</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产出对部门得分影响较大，具体评价结果及得分情况见附件1。</w:t>
      </w:r>
    </w:p>
    <w:bookmarkEnd w:id="50"/>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3" w:firstLineChars="200"/>
        <w:textAlignment w:val="auto"/>
        <w:outlineLvl w:val="1"/>
        <w:rPr>
          <w:rFonts w:hint="default" w:ascii="仿宋_GB2312" w:hAnsi="仿宋_GB2312" w:eastAsia="仿宋_GB2312" w:cs="仿宋_GB2312"/>
          <w:b/>
          <w:bCs/>
          <w:color w:val="auto"/>
          <w:kern w:val="2"/>
          <w:sz w:val="32"/>
          <w:szCs w:val="32"/>
          <w:highlight w:val="none"/>
          <w:shd w:val="clear" w:color="auto" w:fill="auto"/>
          <w:lang w:val="en-US" w:eastAsia="zh-CN" w:bidi="ar-SA"/>
        </w:rPr>
      </w:pPr>
      <w:bookmarkStart w:id="51" w:name="_Toc5141"/>
      <w:bookmarkStart w:id="52" w:name="_Toc13732"/>
      <w:bookmarkStart w:id="53" w:name="_Toc26964743"/>
      <w:r>
        <w:rPr>
          <w:rFonts w:hint="eastAsia" w:ascii="仿宋_GB2312" w:hAnsi="仿宋_GB2312" w:eastAsia="仿宋_GB2312" w:cs="仿宋_GB2312"/>
          <w:b/>
          <w:bCs/>
          <w:color w:val="auto"/>
          <w:kern w:val="2"/>
          <w:sz w:val="32"/>
          <w:szCs w:val="32"/>
          <w:highlight w:val="none"/>
          <w:shd w:val="clear" w:color="auto" w:fill="auto"/>
          <w:lang w:val="en-US" w:eastAsia="zh-CN" w:bidi="ar-SA"/>
        </w:rPr>
        <w:t>2.工作成效</w:t>
      </w:r>
      <w:bookmarkEnd w:id="51"/>
      <w:bookmarkEnd w:id="52"/>
      <w:bookmarkEnd w:id="53"/>
      <w:bookmarkStart w:id="54" w:name="_Toc26964745"/>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全面超额完成国家、省下达目标任务，全部6项指标全面达到国家环境空气质量二级标准，为2013年国家实施新标准以来最优水平。其中，PM2.5浓度31微克/立方米，同比改善16.2%；空气质量优良率86.3%，同比提高7.7个百分点。坚持水陆统筹、河海兼顾，城市建成区黑臭水体消除比例100%，全部11个国省控断面全面达标，超额完成年度任务，其中6个断面优于“十三五”目标，近岸海域水质优良比例提升至98.8%。健全攻坚机制，构建“1+1+8”污染综合防治工作体系。推进生态环境大数据建设，拓展大气、水、土壤、海洋环境监测网络，全市142个镇街全部建设空气自动监测站，在重点流域水域建设58座水质自动监测站。全市主要污染物排放量减排超额完成国家和省目标。在全国率先印发适应气候变化城市规划，打造首个“零碳社区”，提前完成碳排放强度约束任务。积极推动经济绿色复苏，在全省率先实施环评“三项改革”，率先制定建设用地土壤污染状况调查报告评审指南，环评审批和土壤调查报告评审时限大幅压缩了95%和75%，走在全国前列。启动生态环境损害赔偿案件353起，在全省率先实现生态环境损害赔偿案件全覆盖，综合评价列全省首位。农村生活污水治理</w:t>
      </w:r>
      <w:r>
        <w:rPr>
          <w:rFonts w:hint="eastAsia" w:ascii="仿宋_GB2312" w:hAnsi="仿宋_GB2312" w:eastAsia="仿宋_GB2312" w:cs="仿宋_GB2312"/>
          <w:color w:val="auto"/>
          <w:sz w:val="32"/>
          <w:szCs w:val="32"/>
          <w:highlight w:val="none"/>
          <w:shd w:val="clear" w:color="auto" w:fill="auto"/>
          <w:lang w:eastAsia="zh-CN"/>
        </w:rPr>
        <w:t>率达到</w:t>
      </w:r>
      <w:r>
        <w:rPr>
          <w:rFonts w:hint="eastAsia" w:ascii="仿宋_GB2312" w:hAnsi="仿宋_GB2312" w:eastAsia="仿宋_GB2312" w:cs="仿宋_GB2312"/>
          <w:color w:val="auto"/>
          <w:sz w:val="32"/>
          <w:szCs w:val="32"/>
          <w:highlight w:val="none"/>
          <w:shd w:val="clear" w:color="auto" w:fill="auto"/>
          <w:lang w:val="en-US" w:eastAsia="zh-CN"/>
        </w:rPr>
        <w:t>61.75%，</w:t>
      </w:r>
      <w:r>
        <w:rPr>
          <w:rFonts w:hint="eastAsia" w:ascii="仿宋_GB2312" w:hAnsi="仿宋_GB2312" w:eastAsia="仿宋_GB2312" w:cs="仿宋_GB2312"/>
          <w:color w:val="auto"/>
          <w:sz w:val="32"/>
          <w:szCs w:val="32"/>
          <w:highlight w:val="none"/>
          <w:shd w:val="clear" w:color="auto" w:fill="auto"/>
        </w:rPr>
        <w:t>持续走在全省前列。生态文明示范创建成果丰硕，莱西市成功创建全国“绿水青山就是金山银山”实践创新基地，青岛经济技术开发区成功创建全国生态工业示范园区，西海岸新区红石崖街道、莱西市院上镇成功创建省级生态文明建设示范区。</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3" w:firstLineChars="200"/>
        <w:textAlignment w:val="auto"/>
        <w:outlineLvl w:val="1"/>
        <w:rPr>
          <w:rFonts w:hint="default" w:ascii="仿宋_GB2312" w:hAnsi="仿宋_GB2312" w:eastAsia="仿宋_GB2312" w:cs="仿宋_GB2312"/>
          <w:b/>
          <w:bCs/>
          <w:color w:val="auto"/>
          <w:kern w:val="2"/>
          <w:sz w:val="32"/>
          <w:szCs w:val="32"/>
          <w:highlight w:val="none"/>
          <w:shd w:val="clear" w:color="auto" w:fill="auto"/>
          <w:lang w:val="en-US" w:eastAsia="zh-CN" w:bidi="ar-SA"/>
        </w:rPr>
      </w:pPr>
      <w:bookmarkStart w:id="55" w:name="_Toc9062"/>
      <w:r>
        <w:rPr>
          <w:rFonts w:hint="eastAsia" w:ascii="仿宋_GB2312" w:hAnsi="仿宋_GB2312" w:eastAsia="仿宋_GB2312" w:cs="仿宋_GB2312"/>
          <w:b/>
          <w:bCs/>
          <w:color w:val="auto"/>
          <w:kern w:val="2"/>
          <w:sz w:val="32"/>
          <w:szCs w:val="32"/>
          <w:highlight w:val="none"/>
          <w:shd w:val="clear" w:color="auto" w:fill="auto"/>
          <w:lang w:val="en-US" w:eastAsia="zh-CN" w:bidi="ar-SA"/>
        </w:rPr>
        <w:t>3.主要问题</w:t>
      </w:r>
      <w:bookmarkEnd w:id="55"/>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shd w:val="clear" w:color="auto" w:fill="auto"/>
          <w:lang w:eastAsia="zh-CN"/>
        </w:rPr>
      </w:pPr>
      <w:bookmarkStart w:id="56" w:name="_Toc19728"/>
      <w:bookmarkStart w:id="57" w:name="_Toc20248"/>
      <w:bookmarkStart w:id="58" w:name="_Toc18165"/>
      <w:bookmarkStart w:id="59" w:name="_Toc26964744"/>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1</w:t>
      </w:r>
      <w:r>
        <w:rPr>
          <w:rFonts w:hint="eastAsia" w:ascii="仿宋_GB2312" w:hAnsi="仿宋_GB2312" w:eastAsia="仿宋_GB2312" w:cs="仿宋_GB2312"/>
          <w:bCs/>
          <w:color w:val="auto"/>
          <w:kern w:val="0"/>
          <w:sz w:val="32"/>
          <w:szCs w:val="32"/>
          <w:highlight w:val="none"/>
          <w:shd w:val="clear" w:color="auto" w:fill="auto"/>
        </w:rPr>
        <w:t>）</w:t>
      </w:r>
      <w:bookmarkEnd w:id="56"/>
      <w:r>
        <w:rPr>
          <w:rFonts w:hint="eastAsia" w:ascii="仿宋_GB2312" w:hAnsi="仿宋_GB2312" w:eastAsia="仿宋_GB2312" w:cs="仿宋_GB2312"/>
          <w:bCs/>
          <w:color w:val="auto"/>
          <w:kern w:val="0"/>
          <w:sz w:val="32"/>
          <w:szCs w:val="32"/>
          <w:highlight w:val="none"/>
          <w:shd w:val="clear" w:color="auto" w:fill="auto"/>
          <w:lang w:eastAsia="zh-CN"/>
        </w:rPr>
        <w:t>部门评价较客观、合理，但个别评价数据不够准确</w:t>
      </w:r>
    </w:p>
    <w:p>
      <w:pPr>
        <w:pStyle w:val="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仿宋_GB2312" w:hAnsi="仿宋_GB2312" w:cs="仿宋_GB2312"/>
          <w:bCs/>
          <w:color w:val="auto"/>
          <w:sz w:val="32"/>
          <w:szCs w:val="32"/>
          <w:highlight w:val="none"/>
          <w:lang w:val="en-US" w:eastAsia="zh-CN" w:bidi="ar-SA"/>
        </w:rPr>
      </w:pPr>
      <w:r>
        <w:rPr>
          <w:rFonts w:hint="eastAsia" w:ascii="仿宋_GB2312" w:hAnsi="仿宋_GB2312" w:cs="仿宋_GB2312"/>
          <w:bCs/>
          <w:color w:val="auto"/>
          <w:sz w:val="32"/>
          <w:szCs w:val="32"/>
          <w:highlight w:val="none"/>
          <w:lang w:val="en-US" w:eastAsia="zh-CN" w:bidi="ar-SA"/>
        </w:rPr>
        <w:t>a.</w:t>
      </w:r>
      <w:r>
        <w:rPr>
          <w:rFonts w:hint="eastAsia" w:ascii="仿宋_GB2312" w:hAnsi="仿宋_GB2312" w:eastAsia="仿宋_GB2312" w:cs="仿宋_GB2312"/>
          <w:bCs/>
          <w:color w:val="auto"/>
          <w:sz w:val="32"/>
          <w:szCs w:val="32"/>
          <w:highlight w:val="none"/>
          <w:lang w:val="en-US" w:eastAsia="zh-CN" w:bidi="ar-SA"/>
        </w:rPr>
        <w:t>部门</w:t>
      </w:r>
      <w:r>
        <w:rPr>
          <w:rFonts w:hint="eastAsia" w:ascii="仿宋_GB2312" w:hAnsi="仿宋_GB2312" w:cs="仿宋_GB2312"/>
          <w:bCs/>
          <w:color w:val="auto"/>
          <w:sz w:val="32"/>
          <w:szCs w:val="32"/>
          <w:highlight w:val="none"/>
          <w:lang w:val="en-US" w:eastAsia="zh-CN" w:bidi="ar-SA"/>
        </w:rPr>
        <w:t>整体支出</w:t>
      </w:r>
      <w:r>
        <w:rPr>
          <w:rFonts w:hint="eastAsia" w:ascii="仿宋_GB2312" w:hAnsi="仿宋_GB2312" w:eastAsia="仿宋_GB2312" w:cs="仿宋_GB2312"/>
          <w:bCs/>
          <w:color w:val="auto"/>
          <w:sz w:val="32"/>
          <w:szCs w:val="32"/>
          <w:highlight w:val="none"/>
          <w:lang w:val="en-US" w:eastAsia="zh-CN" w:bidi="ar-SA"/>
        </w:rPr>
        <w:t>评价</w:t>
      </w:r>
      <w:r>
        <w:rPr>
          <w:rFonts w:hint="eastAsia" w:ascii="仿宋_GB2312" w:hAnsi="仿宋_GB2312" w:cs="仿宋_GB2312"/>
          <w:bCs/>
          <w:color w:val="auto"/>
          <w:sz w:val="32"/>
          <w:szCs w:val="32"/>
          <w:highlight w:val="none"/>
          <w:lang w:val="en-US" w:eastAsia="zh-CN" w:bidi="ar-SA"/>
        </w:rPr>
        <w:t>：</w:t>
      </w:r>
      <w:r>
        <w:rPr>
          <w:rFonts w:hint="eastAsia" w:ascii="仿宋_GB2312" w:hAnsi="仿宋_GB2312" w:eastAsia="仿宋_GB2312" w:cs="仿宋_GB2312"/>
          <w:bCs/>
          <w:color w:val="auto"/>
          <w:sz w:val="32"/>
          <w:szCs w:val="32"/>
          <w:highlight w:val="none"/>
          <w:lang w:val="en-US" w:eastAsia="zh-CN" w:bidi="ar-SA"/>
        </w:rPr>
        <w:t>重点任务办结率</w:t>
      </w:r>
      <w:r>
        <w:rPr>
          <w:rFonts w:hint="eastAsia" w:ascii="仿宋_GB2312" w:hAnsi="仿宋_GB2312" w:cs="仿宋_GB2312"/>
          <w:bCs/>
          <w:color w:val="auto"/>
          <w:sz w:val="32"/>
          <w:szCs w:val="32"/>
          <w:highlight w:val="none"/>
          <w:lang w:val="en-US" w:eastAsia="zh-CN" w:bidi="ar-SA"/>
        </w:rPr>
        <w:t>一项中</w:t>
      </w:r>
      <w:r>
        <w:rPr>
          <w:rFonts w:hint="eastAsia" w:ascii="仿宋_GB2312" w:hAnsi="仿宋_GB2312" w:eastAsia="仿宋_GB2312" w:cs="仿宋_GB2312"/>
          <w:bCs/>
          <w:color w:val="auto"/>
          <w:sz w:val="32"/>
          <w:szCs w:val="32"/>
          <w:highlight w:val="none"/>
          <w:lang w:val="en-US" w:eastAsia="zh-CN" w:bidi="ar-SA"/>
        </w:rPr>
        <w:t>对“中央生态环保督察及“回头看”、省生态环保督察反馈问题共100项，已完成84项一项</w:t>
      </w:r>
      <w:r>
        <w:rPr>
          <w:rFonts w:hint="eastAsia" w:ascii="仿宋_GB2312" w:hAnsi="仿宋_GB2312" w:cs="仿宋_GB2312"/>
          <w:bCs/>
          <w:color w:val="auto"/>
          <w:sz w:val="32"/>
          <w:szCs w:val="32"/>
          <w:highlight w:val="none"/>
          <w:lang w:val="en-US" w:eastAsia="zh-CN" w:bidi="ar-SA"/>
        </w:rPr>
        <w:t>列为未完成，</w:t>
      </w:r>
      <w:r>
        <w:rPr>
          <w:rFonts w:hint="eastAsia" w:ascii="仿宋_GB2312" w:hAnsi="仿宋_GB2312" w:eastAsia="仿宋_GB2312" w:cs="仿宋_GB2312"/>
          <w:bCs/>
          <w:color w:val="auto"/>
          <w:sz w:val="32"/>
          <w:szCs w:val="32"/>
          <w:highlight w:val="none"/>
          <w:lang w:val="en-US" w:eastAsia="zh-CN" w:bidi="ar-SA"/>
        </w:rPr>
        <w:t>进行了扣分，</w:t>
      </w:r>
      <w:r>
        <w:rPr>
          <w:rFonts w:hint="eastAsia" w:ascii="仿宋_GB2312" w:hAnsi="仿宋_GB2312" w:cs="仿宋_GB2312"/>
          <w:bCs/>
          <w:color w:val="auto"/>
          <w:sz w:val="32"/>
          <w:szCs w:val="32"/>
          <w:highlight w:val="none"/>
          <w:lang w:val="en-US" w:eastAsia="zh-CN" w:bidi="ar-SA"/>
        </w:rPr>
        <w:t xml:space="preserve">经核实业务处室，100项问题中含长期目标任务，84项问题为截至2020年底的累计完成数，未完成整改事项均未到期、且均已达到序时进度，分解至2020年度的目标任务数实际为44项，已完成。 </w:t>
      </w:r>
    </w:p>
    <w:p>
      <w:pPr>
        <w:pStyle w:val="2"/>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cs="仿宋_GB2312"/>
          <w:bCs/>
          <w:color w:val="auto"/>
          <w:sz w:val="32"/>
          <w:szCs w:val="32"/>
          <w:highlight w:val="none"/>
          <w:lang w:val="en-US" w:eastAsia="zh-CN" w:bidi="ar-SA"/>
        </w:rPr>
      </w:pPr>
      <w:r>
        <w:rPr>
          <w:rFonts w:hint="eastAsia" w:ascii="仿宋_GB2312" w:hAnsi="仿宋_GB2312" w:cs="仿宋_GB2312"/>
          <w:bCs/>
          <w:color w:val="auto"/>
          <w:sz w:val="32"/>
          <w:szCs w:val="32"/>
          <w:highlight w:val="none"/>
          <w:lang w:val="en-US" w:eastAsia="zh-CN" w:bidi="ar-SA"/>
        </w:rPr>
        <w:t>b.市级环保专项资金评价：李沧区场地土壤污染治理与修复项目未开展，自评对该项资金未执行进行说明，但未对项目未开展的原因及目标偏离情况进行具体分析。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shd w:val="clear" w:color="auto" w:fill="auto"/>
          <w:lang w:eastAsia="zh-CN"/>
        </w:rPr>
      </w:pPr>
      <w:r>
        <w:rPr>
          <w:rFonts w:hint="eastAsia" w:ascii="仿宋_GB2312" w:hAnsi="仿宋_GB2312" w:eastAsia="仿宋_GB2312" w:cs="仿宋_GB2312"/>
          <w:bCs/>
          <w:color w:val="auto"/>
          <w:kern w:val="0"/>
          <w:sz w:val="32"/>
          <w:szCs w:val="32"/>
          <w:highlight w:val="none"/>
          <w:shd w:val="clear" w:color="auto" w:fill="auto"/>
          <w:lang w:eastAsia="zh-CN"/>
        </w:rPr>
        <w:t>（</w:t>
      </w:r>
      <w:r>
        <w:rPr>
          <w:rFonts w:hint="eastAsia" w:ascii="仿宋_GB2312" w:hAnsi="仿宋_GB2312" w:eastAsia="仿宋_GB2312" w:cs="仿宋_GB2312"/>
          <w:bCs/>
          <w:color w:val="auto"/>
          <w:kern w:val="0"/>
          <w:sz w:val="32"/>
          <w:szCs w:val="32"/>
          <w:highlight w:val="none"/>
          <w:shd w:val="clear" w:color="auto" w:fill="auto"/>
          <w:lang w:val="en-US" w:eastAsia="zh-CN"/>
        </w:rPr>
        <w:t>2</w:t>
      </w:r>
      <w:r>
        <w:rPr>
          <w:rFonts w:hint="eastAsia" w:ascii="仿宋_GB2312" w:hAnsi="仿宋_GB2312" w:eastAsia="仿宋_GB2312" w:cs="仿宋_GB2312"/>
          <w:bCs/>
          <w:color w:val="auto"/>
          <w:kern w:val="0"/>
          <w:sz w:val="32"/>
          <w:szCs w:val="32"/>
          <w:highlight w:val="none"/>
          <w:shd w:val="clear" w:color="auto" w:fill="auto"/>
          <w:lang w:eastAsia="zh-CN"/>
        </w:rPr>
        <w:t>）部门</w:t>
      </w:r>
      <w:r>
        <w:rPr>
          <w:rFonts w:hint="eastAsia" w:ascii="仿宋_GB2312" w:hAnsi="仿宋_GB2312" w:eastAsia="仿宋_GB2312" w:cs="仿宋_GB2312"/>
          <w:bCs/>
          <w:color w:val="auto"/>
          <w:kern w:val="0"/>
          <w:sz w:val="32"/>
          <w:szCs w:val="32"/>
          <w:highlight w:val="none"/>
          <w:shd w:val="clear" w:color="auto" w:fill="auto"/>
          <w:lang w:val="en-US" w:eastAsia="zh-CN"/>
        </w:rPr>
        <w:t>预算管理需进一步加强</w:t>
      </w:r>
    </w:p>
    <w:p>
      <w:pPr>
        <w:pStyle w:val="76"/>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eastAsia"/>
          <w:color w:val="auto"/>
          <w:highlight w:val="none"/>
        </w:rPr>
      </w:pPr>
      <w:bookmarkStart w:id="60" w:name="_Toc26276"/>
      <w:bookmarkStart w:id="61" w:name="_Toc9228"/>
      <w:bookmarkStart w:id="62" w:name="_Toc24209"/>
      <w:r>
        <w:rPr>
          <w:rFonts w:hint="eastAsia" w:ascii="仿宋_GB2312" w:hAnsi="仿宋_GB2312" w:eastAsia="仿宋_GB2312" w:cs="仿宋_GB2312"/>
          <w:b/>
          <w:bCs w:val="0"/>
          <w:color w:val="auto"/>
          <w:sz w:val="32"/>
          <w:szCs w:val="32"/>
          <w:highlight w:val="none"/>
          <w:lang w:eastAsia="zh-CN"/>
        </w:rPr>
        <w:t>一是</w:t>
      </w:r>
      <w:r>
        <w:rPr>
          <w:rFonts w:hint="eastAsia" w:ascii="仿宋_GB2312" w:hAnsi="仿宋_GB2312" w:eastAsia="仿宋_GB2312" w:cs="仿宋_GB2312"/>
          <w:bCs/>
          <w:color w:val="auto"/>
          <w:sz w:val="32"/>
          <w:szCs w:val="32"/>
          <w:highlight w:val="none"/>
          <w:lang w:eastAsia="zh-CN"/>
        </w:rPr>
        <w:t>基本支出执行率略低。</w:t>
      </w:r>
      <w:r>
        <w:rPr>
          <w:rFonts w:hint="eastAsia" w:ascii="仿宋_GB2312" w:hAnsi="仿宋_GB2312" w:eastAsia="仿宋_GB2312" w:cs="仿宋_GB2312"/>
          <w:bCs/>
          <w:color w:val="auto"/>
          <w:sz w:val="32"/>
          <w:szCs w:val="32"/>
          <w:highlight w:val="none"/>
        </w:rPr>
        <w:t>2</w:t>
      </w:r>
      <w:r>
        <w:rPr>
          <w:rFonts w:ascii="仿宋_GB2312" w:hAnsi="仿宋_GB2312" w:eastAsia="仿宋_GB2312" w:cs="仿宋_GB2312"/>
          <w:bCs/>
          <w:color w:val="auto"/>
          <w:sz w:val="32"/>
          <w:szCs w:val="32"/>
          <w:highlight w:val="none"/>
        </w:rPr>
        <w:t>020年度</w:t>
      </w:r>
      <w:r>
        <w:rPr>
          <w:rFonts w:hint="eastAsia" w:ascii="仿宋_GB2312" w:hAnsi="仿宋_GB2312" w:eastAsia="仿宋_GB2312" w:cs="仿宋_GB2312"/>
          <w:bCs/>
          <w:color w:val="auto"/>
          <w:sz w:val="32"/>
          <w:szCs w:val="32"/>
          <w:highlight w:val="none"/>
        </w:rPr>
        <w:t>市生态环境</w:t>
      </w:r>
      <w:r>
        <w:rPr>
          <w:rFonts w:ascii="仿宋_GB2312" w:hAnsi="仿宋_GB2312" w:eastAsia="仿宋_GB2312" w:cs="仿宋_GB2312"/>
          <w:bCs/>
          <w:color w:val="auto"/>
          <w:sz w:val="32"/>
          <w:szCs w:val="32"/>
          <w:highlight w:val="none"/>
        </w:rPr>
        <w:t>局部门</w:t>
      </w:r>
      <w:r>
        <w:rPr>
          <w:rFonts w:hint="eastAsia" w:ascii="仿宋_GB2312" w:hAnsi="仿宋_GB2312" w:eastAsia="仿宋_GB2312" w:cs="仿宋_GB2312"/>
          <w:bCs/>
          <w:color w:val="auto"/>
          <w:sz w:val="32"/>
          <w:szCs w:val="32"/>
          <w:highlight w:val="none"/>
          <w:lang w:eastAsia="zh-CN"/>
        </w:rPr>
        <w:t>基本支出调整预算数</w:t>
      </w:r>
      <w:r>
        <w:rPr>
          <w:rFonts w:hint="eastAsia" w:ascii="仿宋_GB2312" w:hAnsi="仿宋_GB2312" w:eastAsia="仿宋_GB2312" w:cs="仿宋_GB2312"/>
          <w:bCs/>
          <w:color w:val="auto"/>
          <w:sz w:val="32"/>
          <w:szCs w:val="32"/>
          <w:highlight w:val="none"/>
          <w:lang w:val="en-US" w:eastAsia="zh-CN"/>
        </w:rPr>
        <w:t>17047.18万元，实际执行14865.67万元，执行率87.20%</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
          <w:bCs w:val="0"/>
          <w:color w:val="auto"/>
          <w:sz w:val="32"/>
          <w:szCs w:val="32"/>
          <w:highlight w:val="none"/>
          <w:lang w:eastAsia="zh-CN"/>
        </w:rPr>
        <w:t>二是</w:t>
      </w:r>
      <w:r>
        <w:rPr>
          <w:rFonts w:hint="eastAsia" w:ascii="仿宋_GB2312" w:hAnsi="仿宋_GB2312" w:eastAsia="仿宋_GB2312" w:cs="仿宋_GB2312"/>
          <w:bCs/>
          <w:color w:val="auto"/>
          <w:sz w:val="32"/>
          <w:szCs w:val="32"/>
          <w:highlight w:val="none"/>
          <w:lang w:eastAsia="zh-CN"/>
        </w:rPr>
        <w:t>上年结转资金执行率低。</w:t>
      </w:r>
      <w:r>
        <w:rPr>
          <w:rFonts w:hint="eastAsia" w:ascii="仿宋_GB2312" w:hAnsi="仿宋_GB2312" w:eastAsia="仿宋_GB2312" w:cs="仿宋_GB2312"/>
          <w:bCs/>
          <w:color w:val="auto"/>
          <w:sz w:val="32"/>
          <w:szCs w:val="32"/>
          <w:highlight w:val="none"/>
          <w:lang w:val="en-US" w:eastAsia="zh-CN"/>
        </w:rPr>
        <w:t>2019年，年末结转和结余3442.52万元，2020年，年末结转和结余2873.51万元，结转资金</w:t>
      </w:r>
      <w:r>
        <w:rPr>
          <w:rFonts w:hint="eastAsia" w:ascii="仿宋_GB2312" w:hAnsi="仿宋_GB2312" w:eastAsia="仿宋_GB2312" w:cs="仿宋_GB2312"/>
          <w:bCs/>
          <w:color w:val="auto"/>
          <w:sz w:val="32"/>
          <w:szCs w:val="32"/>
          <w:highlight w:val="none"/>
        </w:rPr>
        <w:t>执行率</w:t>
      </w:r>
      <w:r>
        <w:rPr>
          <w:rFonts w:hint="eastAsia" w:ascii="仿宋_GB2312" w:hAnsi="仿宋_GB2312" w:eastAsia="仿宋_GB2312" w:cs="仿宋_GB2312"/>
          <w:bCs/>
          <w:color w:val="auto"/>
          <w:sz w:val="32"/>
          <w:szCs w:val="32"/>
          <w:highlight w:val="none"/>
          <w:lang w:val="en-US" w:eastAsia="zh-CN"/>
        </w:rPr>
        <w:t>16.53</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val="0"/>
          <w:color w:val="auto"/>
          <w:sz w:val="32"/>
          <w:szCs w:val="32"/>
          <w:highlight w:val="none"/>
          <w:lang w:eastAsia="zh-CN"/>
        </w:rPr>
        <w:t>三是</w:t>
      </w:r>
      <w:r>
        <w:rPr>
          <w:rFonts w:hint="eastAsia" w:ascii="仿宋_GB2312" w:hAnsi="仿宋_GB2312" w:eastAsia="仿宋_GB2312" w:cs="仿宋_GB2312"/>
          <w:bCs/>
          <w:color w:val="auto"/>
          <w:sz w:val="32"/>
          <w:szCs w:val="32"/>
          <w:highlight w:val="none"/>
          <w:lang w:eastAsia="zh-CN"/>
        </w:rPr>
        <w:t>“三公经费”同比提升。</w:t>
      </w:r>
      <w:r>
        <w:rPr>
          <w:rFonts w:hint="eastAsia" w:ascii="仿宋_GB2312" w:hAnsi="仿宋_GB2312" w:eastAsia="仿宋_GB2312" w:cs="仿宋_GB2312"/>
          <w:bCs/>
          <w:color w:val="auto"/>
          <w:sz w:val="32"/>
          <w:szCs w:val="32"/>
          <w:highlight w:val="none"/>
        </w:rPr>
        <w:t>2020年度“三公经费”</w:t>
      </w:r>
      <w:r>
        <w:rPr>
          <w:rFonts w:hint="eastAsia" w:ascii="仿宋_GB2312" w:hAnsi="仿宋_GB2312" w:eastAsia="仿宋_GB2312" w:cs="仿宋_GB2312"/>
          <w:bCs/>
          <w:color w:val="auto"/>
          <w:sz w:val="32"/>
          <w:szCs w:val="32"/>
          <w:highlight w:val="none"/>
          <w:lang w:eastAsia="zh-CN"/>
        </w:rPr>
        <w:t>决算</w:t>
      </w:r>
      <w:r>
        <w:rPr>
          <w:rFonts w:hint="eastAsia" w:ascii="仿宋_GB2312" w:hAnsi="仿宋_GB2312" w:eastAsia="仿宋_GB2312" w:cs="仿宋_GB2312"/>
          <w:bCs/>
          <w:color w:val="auto"/>
          <w:sz w:val="32"/>
          <w:szCs w:val="32"/>
          <w:highlight w:val="none"/>
        </w:rPr>
        <w:t>数为204.5万元，较2019年度</w:t>
      </w:r>
      <w:r>
        <w:rPr>
          <w:rFonts w:hint="eastAsia" w:ascii="仿宋_GB2312" w:hAnsi="仿宋_GB2312" w:eastAsia="仿宋_GB2312" w:cs="仿宋_GB2312"/>
          <w:bCs/>
          <w:color w:val="auto"/>
          <w:sz w:val="32"/>
          <w:szCs w:val="32"/>
          <w:highlight w:val="none"/>
          <w:lang w:eastAsia="zh-CN"/>
        </w:rPr>
        <w:t>决算数</w:t>
      </w:r>
      <w:r>
        <w:rPr>
          <w:rFonts w:hint="eastAsia" w:ascii="仿宋_GB2312" w:hAnsi="仿宋_GB2312" w:eastAsia="仿宋_GB2312" w:cs="仿宋_GB2312"/>
          <w:bCs/>
          <w:color w:val="auto"/>
          <w:sz w:val="32"/>
          <w:szCs w:val="32"/>
          <w:highlight w:val="none"/>
          <w:lang w:val="en-US" w:eastAsia="zh-CN"/>
        </w:rPr>
        <w:t>166.03万元</w:t>
      </w:r>
      <w:r>
        <w:rPr>
          <w:rFonts w:hint="eastAsia" w:ascii="仿宋_GB2312" w:hAnsi="仿宋_GB2312" w:eastAsia="仿宋_GB2312" w:cs="仿宋_GB2312"/>
          <w:bCs/>
          <w:color w:val="auto"/>
          <w:sz w:val="32"/>
          <w:szCs w:val="32"/>
          <w:highlight w:val="none"/>
        </w:rPr>
        <w:t>增</w:t>
      </w:r>
      <w:r>
        <w:rPr>
          <w:rFonts w:hint="eastAsia" w:ascii="仿宋_GB2312" w:hAnsi="仿宋_GB2312" w:eastAsia="仿宋_GB2312" w:cs="仿宋_GB2312"/>
          <w:bCs/>
          <w:color w:val="auto"/>
          <w:sz w:val="32"/>
          <w:szCs w:val="32"/>
          <w:highlight w:val="none"/>
          <w:lang w:eastAsia="zh-CN"/>
        </w:rPr>
        <w:t>长</w:t>
      </w:r>
      <w:r>
        <w:rPr>
          <w:rFonts w:hint="eastAsia" w:ascii="仿宋_GB2312" w:hAnsi="仿宋_GB2312" w:eastAsia="仿宋_GB2312" w:cs="仿宋_GB2312"/>
          <w:bCs/>
          <w:color w:val="auto"/>
          <w:sz w:val="32"/>
          <w:szCs w:val="32"/>
          <w:highlight w:val="none"/>
          <w:lang w:val="en-US" w:eastAsia="zh-CN"/>
        </w:rPr>
        <w:t>23.17%，</w:t>
      </w:r>
      <w:r>
        <w:rPr>
          <w:rFonts w:hint="eastAsia" w:ascii="仿宋_GB2312" w:hAnsi="仿宋_GB2312" w:eastAsia="仿宋_GB2312" w:cs="仿宋_GB2312"/>
          <w:bCs/>
          <w:color w:val="auto"/>
          <w:sz w:val="32"/>
          <w:szCs w:val="32"/>
          <w:highlight w:val="none"/>
        </w:rPr>
        <w:t>主要原因</w:t>
      </w:r>
      <w:r>
        <w:rPr>
          <w:rFonts w:ascii="仿宋_GB2312" w:hAnsi="仿宋_GB2312" w:eastAsia="仿宋_GB2312" w:cs="仿宋_GB2312"/>
          <w:bCs/>
          <w:color w:val="auto"/>
          <w:sz w:val="32"/>
          <w:szCs w:val="32"/>
          <w:highlight w:val="none"/>
        </w:rPr>
        <w:t>是新增执法车辆</w:t>
      </w:r>
      <w:r>
        <w:rPr>
          <w:rFonts w:hint="eastAsia" w:ascii="仿宋_GB2312" w:hAnsi="仿宋_GB2312" w:eastAsia="仿宋_GB2312" w:cs="仿宋_GB2312"/>
          <w:bCs/>
          <w:color w:val="auto"/>
          <w:sz w:val="32"/>
          <w:szCs w:val="32"/>
          <w:highlight w:val="none"/>
        </w:rPr>
        <w:t>7辆</w:t>
      </w:r>
      <w:r>
        <w:rPr>
          <w:rFonts w:ascii="仿宋_GB2312" w:hAnsi="仿宋_GB2312" w:eastAsia="仿宋_GB2312" w:cs="仿宋_GB2312"/>
          <w:bCs/>
          <w:color w:val="auto"/>
          <w:sz w:val="32"/>
          <w:szCs w:val="32"/>
          <w:highlight w:val="none"/>
        </w:rPr>
        <w:t>。</w:t>
      </w:r>
    </w:p>
    <w:bookmarkEnd w:id="60"/>
    <w:bookmarkEnd w:id="61"/>
    <w:bookmarkEnd w:id="62"/>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shd w:val="clear" w:color="auto" w:fill="auto"/>
        </w:rPr>
      </w:pPr>
      <w:bookmarkStart w:id="63" w:name="_Toc4994"/>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3</w:t>
      </w:r>
      <w:r>
        <w:rPr>
          <w:rFonts w:hint="eastAsia" w:ascii="仿宋_GB2312" w:hAnsi="仿宋_GB2312" w:eastAsia="仿宋_GB2312" w:cs="仿宋_GB2312"/>
          <w:bCs/>
          <w:color w:val="auto"/>
          <w:kern w:val="0"/>
          <w:sz w:val="32"/>
          <w:szCs w:val="32"/>
          <w:highlight w:val="none"/>
          <w:shd w:val="clear" w:color="auto" w:fill="auto"/>
        </w:rPr>
        <w:t>）</w:t>
      </w:r>
      <w:bookmarkEnd w:id="63"/>
      <w:r>
        <w:rPr>
          <w:rFonts w:hint="eastAsia" w:ascii="仿宋_GB2312" w:hAnsi="仿宋_GB2312" w:eastAsia="仿宋_GB2312" w:cs="仿宋_GB2312"/>
          <w:bCs/>
          <w:color w:val="auto"/>
          <w:kern w:val="0"/>
          <w:sz w:val="32"/>
          <w:szCs w:val="32"/>
          <w:highlight w:val="none"/>
          <w:shd w:val="clear" w:color="auto" w:fill="auto"/>
        </w:rPr>
        <w:t>部分专项资金实施进度较慢，资金效益发挥不够充分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color w:val="auto"/>
          <w:kern w:val="0"/>
          <w:sz w:val="32"/>
          <w:szCs w:val="32"/>
          <w:highlight w:val="none"/>
          <w:shd w:val="clear" w:color="auto" w:fill="auto"/>
          <w:lang w:val="en-US" w:eastAsia="zh-CN"/>
        </w:rPr>
      </w:pPr>
      <w:bookmarkStart w:id="64" w:name="_Toc9184"/>
      <w:bookmarkStart w:id="65" w:name="_Toc22950"/>
      <w:bookmarkStart w:id="66" w:name="_Toc22670"/>
      <w:r>
        <w:rPr>
          <w:rFonts w:hint="eastAsia" w:ascii="仿宋_GB2312" w:hAnsi="仿宋_GB2312" w:eastAsia="仿宋_GB2312" w:cs="仿宋_GB2312"/>
          <w:b w:val="0"/>
          <w:bCs/>
          <w:color w:val="auto"/>
          <w:kern w:val="0"/>
          <w:sz w:val="32"/>
          <w:szCs w:val="32"/>
          <w:highlight w:val="none"/>
          <w:shd w:val="clear" w:color="auto" w:fill="auto"/>
          <w:lang w:val="en-US" w:eastAsia="zh-CN"/>
        </w:rPr>
        <w:t>a.2020年中央污染防治资金</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2020年，下达中央污染防治资金12305.3万元，共支持36个项目，预算执行金额10117.61万元，完成项目数量30个，预算执行率82.22%，项目完成率83.33%。具体如下表：</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7040" w:firstLineChars="3200"/>
        <w:textAlignment w:val="auto"/>
        <w:rPr>
          <w:rFonts w:ascii="Times New Roman" w:hAnsi="Times New Roman" w:cs="Times New Roman"/>
          <w:color w:val="auto"/>
          <w:sz w:val="22"/>
          <w:szCs w:val="22"/>
          <w:highlight w:val="none"/>
        </w:rPr>
      </w:pPr>
      <w:r>
        <w:rPr>
          <w:rFonts w:ascii="Times New Roman" w:hAnsi="Times New Roman" w:cs="Times New Roman"/>
          <w:color w:val="auto"/>
          <w:sz w:val="22"/>
          <w:szCs w:val="22"/>
          <w:highlight w:val="none"/>
        </w:rPr>
        <w:t>金额单位：万元</w:t>
      </w:r>
    </w:p>
    <w:tbl>
      <w:tblPr>
        <w:tblStyle w:val="23"/>
        <w:tblW w:w="8647" w:type="dxa"/>
        <w:tblInd w:w="91" w:type="dxa"/>
        <w:tblLayout w:type="autofit"/>
        <w:tblCellMar>
          <w:top w:w="0" w:type="dxa"/>
          <w:left w:w="108" w:type="dxa"/>
          <w:bottom w:w="0" w:type="dxa"/>
          <w:right w:w="108" w:type="dxa"/>
        </w:tblCellMar>
      </w:tblPr>
      <w:tblGrid>
        <w:gridCol w:w="645"/>
        <w:gridCol w:w="3851"/>
        <w:gridCol w:w="1070"/>
        <w:gridCol w:w="1070"/>
        <w:gridCol w:w="1070"/>
        <w:gridCol w:w="941"/>
      </w:tblGrid>
      <w:tr>
        <w:tblPrEx>
          <w:tblCellMar>
            <w:top w:w="0" w:type="dxa"/>
            <w:left w:w="108" w:type="dxa"/>
            <w:bottom w:w="0" w:type="dxa"/>
            <w:right w:w="108" w:type="dxa"/>
          </w:tblCellMar>
        </w:tblPrEx>
        <w:trPr>
          <w:trHeight w:val="443" w:hRule="atLeast"/>
          <w:tblHeader/>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序号</w:t>
            </w:r>
          </w:p>
        </w:tc>
        <w:tc>
          <w:tcPr>
            <w:tcW w:w="3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项目</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预算数</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执行数</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结余数</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执行率</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1</w:t>
            </w:r>
          </w:p>
        </w:tc>
        <w:tc>
          <w:tcPr>
            <w:tcW w:w="38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中央大气污染防治资金</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6792.3</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5727.15</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1065.15</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84.32%</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2</w:t>
            </w:r>
          </w:p>
        </w:tc>
        <w:tc>
          <w:tcPr>
            <w:tcW w:w="38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中央水污染防治资金</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2829</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1706.46</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1122.54</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60.32%</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3</w:t>
            </w:r>
          </w:p>
        </w:tc>
        <w:tc>
          <w:tcPr>
            <w:tcW w:w="38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中央农村环境整治资金</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2112</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2112</w:t>
            </w:r>
          </w:p>
        </w:tc>
        <w:tc>
          <w:tcPr>
            <w:tcW w:w="10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c>
          <w:tcPr>
            <w:tcW w:w="9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100.00%</w:t>
            </w:r>
          </w:p>
        </w:tc>
      </w:tr>
      <w:tr>
        <w:tblPrEx>
          <w:tblCellMar>
            <w:top w:w="0" w:type="dxa"/>
            <w:left w:w="108" w:type="dxa"/>
            <w:bottom w:w="0" w:type="dxa"/>
            <w:right w:w="108" w:type="dxa"/>
          </w:tblCellMar>
        </w:tblPrEx>
        <w:trPr>
          <w:trHeight w:val="443"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4</w:t>
            </w:r>
          </w:p>
        </w:tc>
        <w:tc>
          <w:tcPr>
            <w:tcW w:w="3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中央土壤污染防治资金</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572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572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0</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100.00%</w:t>
            </w:r>
          </w:p>
        </w:tc>
      </w:tr>
      <w:tr>
        <w:tblPrEx>
          <w:tblCellMar>
            <w:top w:w="0" w:type="dxa"/>
            <w:left w:w="108" w:type="dxa"/>
            <w:bottom w:w="0" w:type="dxa"/>
            <w:right w:w="108" w:type="dxa"/>
          </w:tblCellMar>
        </w:tblPrEx>
        <w:trPr>
          <w:trHeight w:val="443" w:hRule="atLeast"/>
        </w:trPr>
        <w:tc>
          <w:tcPr>
            <w:tcW w:w="44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小  计</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b/>
                <w:bCs/>
                <w:color w:val="auto"/>
                <w:kern w:val="0"/>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12305.3</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b/>
                <w:bCs/>
                <w:color w:val="auto"/>
                <w:kern w:val="0"/>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10117.61</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ascii="Times New Roman" w:hAnsi="Times New Roman" w:eastAsia="宋体" w:cs="Times New Roman"/>
                <w:b/>
                <w:bCs/>
                <w:color w:val="auto"/>
                <w:kern w:val="0"/>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2187.69</w:t>
            </w:r>
          </w:p>
        </w:tc>
        <w:tc>
          <w:tcPr>
            <w:tcW w:w="9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Times New Roman" w:hAnsi="Times New Roman" w:eastAsia="宋体" w:cs="Times New Roman"/>
                <w:b/>
                <w:bCs/>
                <w:color w:val="auto"/>
                <w:kern w:val="0"/>
                <w:sz w:val="18"/>
                <w:szCs w:val="18"/>
                <w:highlight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82.22%</w:t>
            </w:r>
          </w:p>
        </w:tc>
      </w:tr>
    </w:tbl>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从整体看，中央水污染防治资金预算执行率</w:t>
      </w:r>
      <w:r>
        <w:rPr>
          <w:rFonts w:hint="eastAsia" w:ascii="仿宋_GB2312" w:hAnsi="仿宋_GB2312" w:cs="仿宋_GB2312"/>
          <w:b w:val="0"/>
          <w:bCs w:val="0"/>
          <w:color w:val="auto"/>
          <w:kern w:val="2"/>
          <w:sz w:val="32"/>
          <w:szCs w:val="32"/>
          <w:highlight w:val="none"/>
          <w:shd w:val="clear" w:color="auto" w:fill="auto"/>
          <w:lang w:val="en-US" w:eastAsia="zh-CN" w:bidi="ar-SA"/>
        </w:rPr>
        <w:t>较低</w:t>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。主要原因为：中央水污染防治</w:t>
      </w:r>
      <w:r>
        <w:rPr>
          <w:rFonts w:hint="eastAsia" w:ascii="仿宋_GB2312" w:hAnsi="仿宋_GB2312" w:cs="仿宋_GB2312"/>
          <w:b w:val="0"/>
          <w:bCs w:val="0"/>
          <w:color w:val="auto"/>
          <w:kern w:val="2"/>
          <w:sz w:val="32"/>
          <w:szCs w:val="32"/>
          <w:highlight w:val="none"/>
          <w:shd w:val="clear" w:color="auto" w:fill="auto"/>
          <w:lang w:val="en-US" w:eastAsia="zh-CN" w:bidi="ar-SA"/>
        </w:rPr>
        <w:t>资金共支持3个项目，实际完成2个，项目完成率66.67%。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b.2020年省级污染防治资金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2020年，下达省级污染防治资金9190万元，调减后金额4976万元，共支持12个项目，实际执行4900.88万元，已完成项目数量11个，预算执行率98.49%，项目完成率91.67%，主要原因为：①黄河区域陆源污染治理资金预算金额2015.88万元，实际执行1940.76万元，预算执行率96.27%；②地表水环境质量生态补偿资金支持2个项目，目前完成1个，另外1个项目正在运维期，项目完成率50%。</w:t>
      </w:r>
    </w:p>
    <w:bookmarkEnd w:id="64"/>
    <w:bookmarkEnd w:id="65"/>
    <w:bookmarkEnd w:id="66"/>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bookmarkStart w:id="67" w:name="_Toc9646"/>
      <w:r>
        <w:rPr>
          <w:rFonts w:hint="eastAsia" w:ascii="仿宋_GB2312" w:hAnsi="仿宋_GB2312" w:eastAsia="仿宋_GB2312" w:cs="仿宋_GB2312"/>
          <w:b w:val="0"/>
          <w:bCs w:val="0"/>
          <w:color w:val="auto"/>
          <w:sz w:val="32"/>
          <w:szCs w:val="32"/>
          <w:highlight w:val="none"/>
          <w:shd w:val="clear" w:color="auto" w:fill="auto"/>
          <w:lang w:val="en-US" w:eastAsia="zh-CN"/>
        </w:rPr>
        <w:t>c.市级环保专项资金项目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①个别项目预算执行率偏低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default" w:ascii="仿宋_GB2312" w:hAnsi="仿宋_GB2312" w:eastAsia="仿宋_GB2312" w:cs="仿宋_GB2312"/>
          <w:b w:val="0"/>
          <w:bCs w:val="0"/>
          <w:color w:val="auto"/>
          <w:sz w:val="32"/>
          <w:szCs w:val="32"/>
          <w:highlight w:val="none"/>
          <w:shd w:val="clear" w:color="auto" w:fill="auto"/>
          <w:lang w:val="en-US" w:eastAsia="zh-CN"/>
        </w:rPr>
        <w:t>2020年市财政批复环保专项资金11025万元，</w:t>
      </w:r>
      <w:r>
        <w:rPr>
          <w:rFonts w:hint="eastAsia" w:ascii="仿宋_GB2312" w:hAnsi="仿宋_GB2312" w:eastAsia="仿宋_GB2312" w:cs="仿宋_GB2312"/>
          <w:b w:val="0"/>
          <w:bCs w:val="0"/>
          <w:color w:val="auto"/>
          <w:sz w:val="32"/>
          <w:szCs w:val="32"/>
          <w:highlight w:val="none"/>
          <w:shd w:val="clear" w:color="auto" w:fill="auto"/>
          <w:lang w:val="en-US" w:eastAsia="zh-CN"/>
        </w:rPr>
        <w:t>从市本级看，</w:t>
      </w:r>
      <w:r>
        <w:rPr>
          <w:rFonts w:hint="default" w:ascii="仿宋_GB2312" w:hAnsi="仿宋_GB2312" w:eastAsia="仿宋_GB2312" w:cs="仿宋_GB2312"/>
          <w:b w:val="0"/>
          <w:bCs w:val="0"/>
          <w:color w:val="auto"/>
          <w:sz w:val="32"/>
          <w:szCs w:val="32"/>
          <w:highlight w:val="none"/>
          <w:shd w:val="clear" w:color="auto" w:fill="auto"/>
          <w:lang w:val="en-US" w:eastAsia="zh-CN"/>
        </w:rPr>
        <w:t>实际执行10078.61万元，</w:t>
      </w:r>
      <w:r>
        <w:rPr>
          <w:rFonts w:hint="eastAsia" w:ascii="仿宋_GB2312" w:hAnsi="仿宋_GB2312" w:eastAsia="仿宋_GB2312" w:cs="仿宋_GB2312"/>
          <w:b w:val="0"/>
          <w:bCs w:val="0"/>
          <w:color w:val="auto"/>
          <w:sz w:val="32"/>
          <w:szCs w:val="32"/>
          <w:highlight w:val="none"/>
          <w:shd w:val="clear" w:color="auto" w:fill="auto"/>
          <w:lang w:val="en-US" w:eastAsia="zh-CN"/>
        </w:rPr>
        <w:t>执行</w:t>
      </w:r>
      <w:r>
        <w:rPr>
          <w:rFonts w:hint="default" w:ascii="仿宋_GB2312" w:hAnsi="仿宋_GB2312" w:eastAsia="仿宋_GB2312" w:cs="仿宋_GB2312"/>
          <w:b w:val="0"/>
          <w:bCs w:val="0"/>
          <w:color w:val="auto"/>
          <w:sz w:val="32"/>
          <w:szCs w:val="32"/>
          <w:highlight w:val="none"/>
          <w:shd w:val="clear" w:color="auto" w:fill="auto"/>
          <w:lang w:val="en-US" w:eastAsia="zh-CN"/>
        </w:rPr>
        <w:t>率91.4</w:t>
      </w:r>
      <w:r>
        <w:rPr>
          <w:rFonts w:hint="eastAsia" w:ascii="仿宋_GB2312" w:hAnsi="仿宋_GB2312" w:eastAsia="仿宋_GB2312" w:cs="仿宋_GB2312"/>
          <w:b w:val="0"/>
          <w:bCs w:val="0"/>
          <w:color w:val="auto"/>
          <w:sz w:val="32"/>
          <w:szCs w:val="32"/>
          <w:highlight w:val="none"/>
          <w:shd w:val="clear" w:color="auto" w:fill="auto"/>
          <w:lang w:val="en-US" w:eastAsia="zh-CN"/>
        </w:rPr>
        <w:t>2</w:t>
      </w:r>
      <w:r>
        <w:rPr>
          <w:rFonts w:hint="default" w:ascii="仿宋_GB2312" w:hAnsi="仿宋_GB2312" w:eastAsia="仿宋_GB2312" w:cs="仿宋_GB2312"/>
          <w:b w:val="0"/>
          <w:bCs w:val="0"/>
          <w:color w:val="auto"/>
          <w:sz w:val="32"/>
          <w:szCs w:val="32"/>
          <w:highlight w:val="none"/>
          <w:shd w:val="clear" w:color="auto" w:fill="auto"/>
          <w:lang w:val="en-US" w:eastAsia="zh-CN"/>
        </w:rPr>
        <w:t>%。</w:t>
      </w:r>
      <w:r>
        <w:rPr>
          <w:rFonts w:hint="eastAsia" w:ascii="仿宋_GB2312" w:hAnsi="仿宋_GB2312" w:eastAsia="仿宋_GB2312" w:cs="仿宋_GB2312"/>
          <w:b w:val="0"/>
          <w:bCs w:val="0"/>
          <w:color w:val="auto"/>
          <w:sz w:val="32"/>
          <w:szCs w:val="32"/>
          <w:highlight w:val="none"/>
          <w:shd w:val="clear" w:color="auto" w:fill="auto"/>
          <w:lang w:val="en-US" w:eastAsia="zh-CN"/>
        </w:rPr>
        <w:t>具体如下表：</w:t>
      </w:r>
    </w:p>
    <w:p>
      <w:pPr>
        <w:pStyle w:val="2"/>
        <w:keepNext w:val="0"/>
        <w:keepLines w:val="0"/>
        <w:pageBreakBefore w:val="0"/>
        <w:widowControl w:val="0"/>
        <w:kinsoku/>
        <w:wordWrap/>
        <w:overflowPunct/>
        <w:topLinePunct w:val="0"/>
        <w:autoSpaceDE/>
        <w:autoSpaceDN/>
        <w:bidi w:val="0"/>
        <w:adjustRightInd/>
        <w:snapToGrid/>
        <w:spacing w:line="540" w:lineRule="exact"/>
        <w:ind w:firstLine="7040" w:firstLineChars="3200"/>
        <w:textAlignment w:val="auto"/>
        <w:rPr>
          <w:rFonts w:ascii="Times New Roman" w:hAnsi="Times New Roman" w:cs="Times New Roman"/>
          <w:color w:val="auto"/>
          <w:sz w:val="22"/>
          <w:szCs w:val="22"/>
          <w:highlight w:val="none"/>
        </w:rPr>
      </w:pPr>
      <w:r>
        <w:rPr>
          <w:rFonts w:ascii="Times New Roman" w:hAnsi="Times New Roman" w:cs="Times New Roman"/>
          <w:color w:val="auto"/>
          <w:sz w:val="22"/>
          <w:szCs w:val="22"/>
          <w:highlight w:val="none"/>
        </w:rPr>
        <w:t>金额单位：万元</w:t>
      </w:r>
    </w:p>
    <w:tbl>
      <w:tblPr>
        <w:tblStyle w:val="23"/>
        <w:tblW w:w="8647" w:type="dxa"/>
        <w:tblInd w:w="91" w:type="dxa"/>
        <w:tblLayout w:type="autofit"/>
        <w:tblCellMar>
          <w:top w:w="0" w:type="dxa"/>
          <w:left w:w="108" w:type="dxa"/>
          <w:bottom w:w="0" w:type="dxa"/>
          <w:right w:w="108" w:type="dxa"/>
        </w:tblCellMar>
      </w:tblPr>
      <w:tblGrid>
        <w:gridCol w:w="645"/>
        <w:gridCol w:w="3851"/>
        <w:gridCol w:w="1070"/>
        <w:gridCol w:w="1070"/>
        <w:gridCol w:w="1070"/>
        <w:gridCol w:w="941"/>
      </w:tblGrid>
      <w:tr>
        <w:tblPrEx>
          <w:tblCellMar>
            <w:top w:w="0" w:type="dxa"/>
            <w:left w:w="108" w:type="dxa"/>
            <w:bottom w:w="0" w:type="dxa"/>
            <w:right w:w="108" w:type="dxa"/>
          </w:tblCellMar>
        </w:tblPrEx>
        <w:trPr>
          <w:trHeight w:val="443" w:hRule="atLeast"/>
          <w:tblHeader/>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序号</w:t>
            </w:r>
          </w:p>
        </w:tc>
        <w:tc>
          <w:tcPr>
            <w:tcW w:w="3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项目</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预算数</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执行数</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结余数</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执行率</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1</w:t>
            </w:r>
          </w:p>
        </w:tc>
        <w:tc>
          <w:tcPr>
            <w:tcW w:w="385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补助</w:t>
            </w:r>
            <w:r>
              <w:rPr>
                <w:rFonts w:hint="eastAsia" w:ascii="Times New Roman" w:hAnsi="Times New Roman" w:eastAsia="宋体" w:cs="Times New Roman"/>
                <w:color w:val="auto"/>
                <w:kern w:val="0"/>
                <w:sz w:val="18"/>
                <w:szCs w:val="18"/>
                <w:highlight w:val="none"/>
                <w:lang w:eastAsia="zh-CN"/>
              </w:rPr>
              <w:t>区（市）</w:t>
            </w:r>
            <w:r>
              <w:rPr>
                <w:rFonts w:hint="eastAsia" w:ascii="Times New Roman" w:hAnsi="Times New Roman" w:eastAsia="宋体" w:cs="Times New Roman"/>
                <w:color w:val="auto"/>
                <w:kern w:val="0"/>
                <w:sz w:val="18"/>
                <w:szCs w:val="18"/>
                <w:highlight w:val="none"/>
              </w:rPr>
              <w:t>环保资金</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2670</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2670</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0</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100.00%</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2</w:t>
            </w:r>
          </w:p>
        </w:tc>
        <w:tc>
          <w:tcPr>
            <w:tcW w:w="385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eastAsia="zh-CN"/>
              </w:rPr>
              <w:t>大气环境监测、环境执法及环境调查核查评估项目资金为</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2339</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2292.9</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46.1</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98.03%</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3</w:t>
            </w:r>
          </w:p>
        </w:tc>
        <w:tc>
          <w:tcPr>
            <w:tcW w:w="385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eastAsia="zh-CN"/>
              </w:rPr>
              <w:t>水、海洋环境监测项目资金</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3374</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3350.95</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23.05</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99.32%</w:t>
            </w:r>
          </w:p>
        </w:tc>
      </w:tr>
      <w:tr>
        <w:tblPrEx>
          <w:tblCellMar>
            <w:top w:w="0" w:type="dxa"/>
            <w:left w:w="108" w:type="dxa"/>
            <w:bottom w:w="0" w:type="dxa"/>
            <w:right w:w="108" w:type="dxa"/>
          </w:tblCellMar>
        </w:tblPrEx>
        <w:trPr>
          <w:trHeight w:val="443" w:hRule="atLeast"/>
        </w:trPr>
        <w:tc>
          <w:tcPr>
            <w:tcW w:w="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4</w:t>
            </w:r>
          </w:p>
        </w:tc>
        <w:tc>
          <w:tcPr>
            <w:tcW w:w="385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eastAsia="zh-CN"/>
              </w:rPr>
              <w:t>土壤污染治理修复、危险废物管理项目管理资金</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881</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208.56</w:t>
            </w:r>
          </w:p>
        </w:tc>
        <w:tc>
          <w:tcPr>
            <w:tcW w:w="1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672.44</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23.67%</w:t>
            </w:r>
          </w:p>
        </w:tc>
      </w:tr>
      <w:tr>
        <w:tblPrEx>
          <w:tblCellMar>
            <w:top w:w="0" w:type="dxa"/>
            <w:left w:w="108" w:type="dxa"/>
            <w:bottom w:w="0" w:type="dxa"/>
            <w:right w:w="108" w:type="dxa"/>
          </w:tblCellMar>
        </w:tblPrEx>
        <w:trPr>
          <w:trHeight w:val="443"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5</w:t>
            </w:r>
          </w:p>
        </w:tc>
        <w:tc>
          <w:tcPr>
            <w:tcW w:w="3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环境信息化建设运维</w:t>
            </w:r>
            <w:r>
              <w:rPr>
                <w:rFonts w:hint="eastAsia" w:ascii="Times New Roman" w:hAnsi="Times New Roman" w:eastAsia="宋体" w:cs="Times New Roman"/>
                <w:color w:val="auto"/>
                <w:kern w:val="0"/>
                <w:sz w:val="18"/>
                <w:szCs w:val="18"/>
                <w:highlight w:val="none"/>
                <w:lang w:eastAsia="zh-CN"/>
              </w:rPr>
              <w:t>、舆情监控、影响评价事中监督等</w:t>
            </w:r>
            <w:r>
              <w:rPr>
                <w:rFonts w:hint="eastAsia" w:ascii="Times New Roman" w:hAnsi="Times New Roman" w:eastAsia="宋体" w:cs="Times New Roman"/>
                <w:color w:val="auto"/>
                <w:kern w:val="0"/>
                <w:sz w:val="18"/>
                <w:szCs w:val="18"/>
                <w:highlight w:val="none"/>
              </w:rPr>
              <w:t>资金</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1761</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1556.2</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204.8</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88.37%</w:t>
            </w:r>
          </w:p>
        </w:tc>
      </w:tr>
      <w:tr>
        <w:tblPrEx>
          <w:tblCellMar>
            <w:top w:w="0" w:type="dxa"/>
            <w:left w:w="108" w:type="dxa"/>
            <w:bottom w:w="0" w:type="dxa"/>
            <w:right w:w="108" w:type="dxa"/>
          </w:tblCellMar>
        </w:tblPrEx>
        <w:trPr>
          <w:trHeight w:val="443" w:hRule="atLeast"/>
        </w:trPr>
        <w:tc>
          <w:tcPr>
            <w:tcW w:w="44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18"/>
                <w:szCs w:val="18"/>
                <w:highlight w:val="none"/>
              </w:rPr>
            </w:pPr>
            <w:r>
              <w:rPr>
                <w:rFonts w:ascii="Times New Roman" w:hAnsi="Times New Roman" w:eastAsia="宋体" w:cs="Times New Roman"/>
                <w:b/>
                <w:bCs/>
                <w:color w:val="auto"/>
                <w:kern w:val="0"/>
                <w:sz w:val="18"/>
                <w:szCs w:val="18"/>
                <w:highlight w:val="none"/>
              </w:rPr>
              <w:t>小  计</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b/>
                <w:bCs/>
                <w:color w:val="auto"/>
                <w:kern w:val="0"/>
                <w:sz w:val="18"/>
                <w:szCs w:val="18"/>
                <w:highlight w:val="none"/>
                <w:lang w:val="en-US"/>
              </w:rPr>
            </w:pPr>
            <w:r>
              <w:rPr>
                <w:rFonts w:hint="eastAsia" w:ascii="Times New Roman" w:hAnsi="Times New Roman" w:eastAsia="宋体" w:cs="Times New Roman"/>
                <w:b/>
                <w:bCs/>
                <w:i w:val="0"/>
                <w:iCs w:val="0"/>
                <w:color w:val="auto"/>
                <w:kern w:val="0"/>
                <w:sz w:val="18"/>
                <w:szCs w:val="18"/>
                <w:highlight w:val="none"/>
                <w:u w:val="none"/>
                <w:lang w:val="en-US" w:eastAsia="zh-CN" w:bidi="ar"/>
              </w:rPr>
              <w:t>11025</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10078.61</w:t>
            </w:r>
          </w:p>
        </w:tc>
        <w:tc>
          <w:tcPr>
            <w:tcW w:w="10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946.39</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91.42%</w:t>
            </w:r>
          </w:p>
        </w:tc>
      </w:tr>
    </w:tbl>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color w:val="auto"/>
          <w:sz w:val="32"/>
          <w:szCs w:val="32"/>
          <w:highlight w:val="none"/>
          <w:lang w:eastAsia="zh-CN"/>
        </w:rPr>
      </w:pPr>
      <w:r>
        <w:rPr>
          <w:rFonts w:hint="eastAsia" w:ascii="仿宋_GB2312" w:hAnsi="仿宋_GB2312" w:cs="仿宋_GB2312"/>
          <w:b w:val="0"/>
          <w:bCs w:val="0"/>
          <w:color w:val="auto"/>
          <w:kern w:val="2"/>
          <w:sz w:val="32"/>
          <w:szCs w:val="32"/>
          <w:highlight w:val="none"/>
          <w:shd w:val="clear" w:color="auto" w:fill="auto"/>
          <w:lang w:val="en-US" w:eastAsia="zh-CN" w:bidi="ar-SA"/>
        </w:rPr>
        <w:t>从整体看，土壤污染治理修复、危险废物管理项目管理资金和环境信息化建设运维、舆情监控、影响评价事中监督等资金预算执行率较低。主要原因为：项目</w:t>
      </w:r>
      <w:r>
        <w:rPr>
          <w:rFonts w:hint="eastAsia" w:ascii="仿宋_GB2312" w:hAnsi="华文仿宋" w:eastAsia="仿宋_GB2312"/>
          <w:color w:val="auto"/>
          <w:sz w:val="32"/>
          <w:szCs w:val="32"/>
          <w:highlight w:val="none"/>
        </w:rPr>
        <w:t>招标过程中的结余资金</w:t>
      </w:r>
      <w:r>
        <w:rPr>
          <w:rFonts w:hint="eastAsia" w:ascii="仿宋_GB2312" w:hAnsi="华文仿宋"/>
          <w:color w:val="auto"/>
          <w:sz w:val="32"/>
          <w:szCs w:val="32"/>
          <w:highlight w:val="none"/>
          <w:lang w:eastAsia="zh-CN"/>
        </w:rPr>
        <w:t>及</w:t>
      </w:r>
      <w:r>
        <w:rPr>
          <w:rFonts w:hint="eastAsia" w:ascii="仿宋_GB2312" w:hAnsi="华文仿宋" w:eastAsia="仿宋_GB2312"/>
          <w:color w:val="auto"/>
          <w:sz w:val="32"/>
          <w:szCs w:val="32"/>
          <w:highlight w:val="none"/>
          <w:lang w:eastAsia="zh-CN"/>
        </w:rPr>
        <w:t>李沧区场地土壤污染治理与修复</w:t>
      </w:r>
      <w:r>
        <w:rPr>
          <w:rFonts w:hint="eastAsia" w:ascii="仿宋_GB2312" w:hAnsi="华文仿宋"/>
          <w:color w:val="auto"/>
          <w:sz w:val="32"/>
          <w:szCs w:val="32"/>
          <w:highlight w:val="none"/>
          <w:lang w:eastAsia="zh-CN"/>
        </w:rPr>
        <w:t>项目未开展、</w:t>
      </w:r>
      <w:r>
        <w:rPr>
          <w:rFonts w:hint="eastAsia" w:ascii="仿宋_GB2312" w:hAnsi="华文仿宋" w:eastAsia="仿宋_GB2312"/>
          <w:color w:val="auto"/>
          <w:sz w:val="32"/>
          <w:szCs w:val="32"/>
          <w:highlight w:val="none"/>
          <w:lang w:eastAsia="zh-CN"/>
        </w:rPr>
        <w:t>“三线一单”管理落实保障项目</w:t>
      </w:r>
      <w:r>
        <w:rPr>
          <w:rFonts w:hint="eastAsia" w:ascii="仿宋_GB2312" w:hAnsi="华文仿宋"/>
          <w:color w:val="auto"/>
          <w:sz w:val="32"/>
          <w:szCs w:val="32"/>
          <w:highlight w:val="none"/>
          <w:lang w:eastAsia="zh-CN"/>
        </w:rPr>
        <w:t>省里尚未组织验收，项目尾款未支付。</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仿宋"/>
          <w:color w:val="auto"/>
          <w:sz w:val="32"/>
          <w:szCs w:val="32"/>
          <w:highlight w:val="none"/>
          <w:lang w:val="en-US" w:eastAsia="zh-CN"/>
        </w:rPr>
      </w:pPr>
      <w:r>
        <w:rPr>
          <w:rFonts w:hint="eastAsia" w:ascii="仿宋_GB2312" w:hAnsi="华文仿宋"/>
          <w:color w:val="auto"/>
          <w:sz w:val="32"/>
          <w:szCs w:val="32"/>
          <w:highlight w:val="none"/>
          <w:lang w:val="en-US" w:eastAsia="zh-CN"/>
        </w:rPr>
        <w:t>②转移支付区（市）资金预算执行率偏低，个别项目资金未及时下达</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cs="Times New Roman"/>
          <w:color w:val="auto"/>
          <w:sz w:val="32"/>
          <w:szCs w:val="32"/>
          <w:highlight w:val="none"/>
        </w:rPr>
      </w:pPr>
      <w:r>
        <w:rPr>
          <w:rFonts w:hint="eastAsia" w:ascii="仿宋_GB2312" w:hAnsi="华文仿宋"/>
          <w:color w:val="auto"/>
          <w:sz w:val="32"/>
          <w:szCs w:val="32"/>
          <w:highlight w:val="none"/>
          <w:lang w:val="en-US" w:eastAsia="zh-CN"/>
        </w:rPr>
        <w:t>市生态环境局及时将专项资金2670万元拨付各区（市），其中：市南区30万元，市北区312万元，李沧区202万元，崂山区545万元，西海岸新区1166.5万元，城阳区342.3万元，高新区72万元。</w:t>
      </w:r>
      <w:r>
        <w:rPr>
          <w:rFonts w:hint="eastAsia" w:ascii="仿宋_GB2312" w:hAnsi="Times New Roman" w:cs="Times New Roman"/>
          <w:color w:val="auto"/>
          <w:sz w:val="32"/>
          <w:szCs w:val="32"/>
          <w:highlight w:val="none"/>
        </w:rPr>
        <w:t>从市本级看，执行率100%。截至</w:t>
      </w:r>
      <w:r>
        <w:rPr>
          <w:rFonts w:hint="eastAsia" w:ascii="仿宋_GB2312" w:hAnsi="Times New Roman" w:cs="Times New Roman"/>
          <w:color w:val="auto"/>
          <w:sz w:val="32"/>
          <w:szCs w:val="32"/>
          <w:highlight w:val="none"/>
          <w:lang w:val="en-US" w:eastAsia="zh-CN"/>
        </w:rPr>
        <w:t>2020</w:t>
      </w:r>
      <w:r>
        <w:rPr>
          <w:rFonts w:hint="eastAsia" w:ascii="仿宋_GB2312" w:hAnsi="Times New Roman" w:cs="Times New Roman"/>
          <w:color w:val="auto"/>
          <w:sz w:val="32"/>
          <w:szCs w:val="32"/>
          <w:highlight w:val="none"/>
        </w:rPr>
        <w:t>年底，各</w:t>
      </w:r>
      <w:r>
        <w:rPr>
          <w:rFonts w:hint="eastAsia" w:ascii="仿宋_GB2312" w:hAnsi="Times New Roman" w:cs="Times New Roman"/>
          <w:color w:val="auto"/>
          <w:sz w:val="32"/>
          <w:szCs w:val="32"/>
          <w:highlight w:val="none"/>
          <w:lang w:eastAsia="zh-CN"/>
        </w:rPr>
        <w:t>区（市）</w:t>
      </w:r>
      <w:r>
        <w:rPr>
          <w:rFonts w:hint="eastAsia" w:ascii="仿宋_GB2312" w:hAnsi="Times New Roman" w:cs="Times New Roman"/>
          <w:color w:val="auto"/>
          <w:sz w:val="32"/>
          <w:szCs w:val="32"/>
          <w:highlight w:val="none"/>
        </w:rPr>
        <w:t>实际执行预算</w:t>
      </w:r>
      <w:r>
        <w:rPr>
          <w:rFonts w:hint="eastAsia" w:ascii="仿宋_GB2312" w:hAnsi="Times New Roman" w:cs="Times New Roman"/>
          <w:color w:val="auto"/>
          <w:sz w:val="32"/>
          <w:szCs w:val="32"/>
          <w:highlight w:val="none"/>
          <w:lang w:val="en-US" w:eastAsia="zh-CN"/>
        </w:rPr>
        <w:t>1889.69</w:t>
      </w:r>
      <w:r>
        <w:rPr>
          <w:rFonts w:hint="eastAsia" w:ascii="仿宋_GB2312" w:hAnsi="Times New Roman" w:cs="Times New Roman"/>
          <w:color w:val="auto"/>
          <w:sz w:val="32"/>
          <w:szCs w:val="32"/>
          <w:highlight w:val="none"/>
        </w:rPr>
        <w:t>万元，</w:t>
      </w:r>
      <w:r>
        <w:rPr>
          <w:rFonts w:hint="eastAsia" w:ascii="仿宋_GB2312" w:hAnsi="Times New Roman" w:cs="Times New Roman"/>
          <w:color w:val="auto"/>
          <w:sz w:val="32"/>
          <w:szCs w:val="32"/>
          <w:highlight w:val="none"/>
          <w:lang w:eastAsia="zh-CN"/>
        </w:rPr>
        <w:t>预算</w:t>
      </w:r>
      <w:r>
        <w:rPr>
          <w:rFonts w:hint="eastAsia" w:ascii="仿宋_GB2312" w:hAnsi="Times New Roman" w:cs="Times New Roman"/>
          <w:color w:val="auto"/>
          <w:sz w:val="32"/>
          <w:szCs w:val="32"/>
          <w:highlight w:val="none"/>
        </w:rPr>
        <w:t>执行</w:t>
      </w:r>
      <w:r>
        <w:rPr>
          <w:rFonts w:hint="eastAsia" w:ascii="仿宋_GB2312" w:hAnsi="Times New Roman" w:cs="Times New Roman"/>
          <w:color w:val="auto"/>
          <w:sz w:val="32"/>
          <w:szCs w:val="32"/>
          <w:highlight w:val="none"/>
          <w:lang w:eastAsia="zh-CN"/>
        </w:rPr>
        <w:t>率</w:t>
      </w:r>
      <w:r>
        <w:rPr>
          <w:rFonts w:hint="eastAsia" w:ascii="仿宋_GB2312" w:hAnsi="Times New Roman" w:cs="Times New Roman"/>
          <w:color w:val="auto"/>
          <w:sz w:val="32"/>
          <w:szCs w:val="32"/>
          <w:highlight w:val="none"/>
          <w:lang w:val="en-US" w:eastAsia="zh-CN"/>
        </w:rPr>
        <w:t>70.78</w:t>
      </w:r>
      <w:r>
        <w:rPr>
          <w:rFonts w:hint="eastAsia" w:ascii="仿宋_GB2312" w:hAnsi="Times New Roman" w:cs="Times New Roman"/>
          <w:color w:val="auto"/>
          <w:sz w:val="32"/>
          <w:szCs w:val="32"/>
          <w:highlight w:val="none"/>
        </w:rPr>
        <w:t>%</w:t>
      </w:r>
      <w:r>
        <w:rPr>
          <w:rFonts w:hint="eastAsia" w:ascii="仿宋_GB2312" w:hAnsi="Times New Roman" w:cs="Times New Roman"/>
          <w:color w:val="auto"/>
          <w:sz w:val="32"/>
          <w:szCs w:val="32"/>
          <w:highlight w:val="none"/>
          <w:lang w:eastAsia="zh-CN"/>
        </w:rPr>
        <w:t>，其中西海岸新区、高新区预算执行率偏低。</w:t>
      </w:r>
      <w:r>
        <w:rPr>
          <w:rFonts w:hint="eastAsia" w:ascii="仿宋_GB2312" w:hAnsi="Times New Roman" w:cs="Times New Roman"/>
          <w:color w:val="auto"/>
          <w:sz w:val="32"/>
          <w:szCs w:val="32"/>
          <w:highlight w:val="none"/>
        </w:rPr>
        <w:t>具体情况如下：</w:t>
      </w:r>
    </w:p>
    <w:p>
      <w:pPr>
        <w:pStyle w:val="2"/>
        <w:keepNext w:val="0"/>
        <w:keepLines w:val="0"/>
        <w:pageBreakBefore w:val="0"/>
        <w:widowControl w:val="0"/>
        <w:kinsoku/>
        <w:wordWrap/>
        <w:overflowPunct/>
        <w:topLinePunct w:val="0"/>
        <w:autoSpaceDE/>
        <w:autoSpaceDN/>
        <w:bidi w:val="0"/>
        <w:adjustRightInd/>
        <w:snapToGrid/>
        <w:spacing w:line="520" w:lineRule="exact"/>
        <w:ind w:right="480" w:firstLine="480" w:firstLineChars="200"/>
        <w:jc w:val="right"/>
        <w:textAlignment w:val="auto"/>
        <w:rPr>
          <w:rFonts w:ascii="Times New Roman" w:hAnsi="Times New Roman" w:cs="Times New Roman"/>
          <w:bCs/>
          <w:color w:val="auto"/>
          <w:szCs w:val="28"/>
          <w:highlight w:val="none"/>
        </w:rPr>
      </w:pPr>
      <w:r>
        <w:rPr>
          <w:rFonts w:ascii="Times New Roman" w:hAnsi="Times New Roman" w:cs="Times New Roman"/>
          <w:bCs/>
          <w:color w:val="auto"/>
          <w:szCs w:val="28"/>
          <w:highlight w:val="none"/>
        </w:rPr>
        <w:t>金额单位：万元</w:t>
      </w:r>
    </w:p>
    <w:tbl>
      <w:tblPr>
        <w:tblStyle w:val="23"/>
        <w:tblW w:w="7974" w:type="dxa"/>
        <w:tblInd w:w="556" w:type="dxa"/>
        <w:tblLayout w:type="autofit"/>
        <w:tblCellMar>
          <w:top w:w="0" w:type="dxa"/>
          <w:left w:w="108" w:type="dxa"/>
          <w:bottom w:w="0" w:type="dxa"/>
          <w:right w:w="108" w:type="dxa"/>
        </w:tblCellMar>
      </w:tblPr>
      <w:tblGrid>
        <w:gridCol w:w="709"/>
        <w:gridCol w:w="1981"/>
        <w:gridCol w:w="1321"/>
        <w:gridCol w:w="1321"/>
        <w:gridCol w:w="1321"/>
        <w:gridCol w:w="1321"/>
      </w:tblGrid>
      <w:tr>
        <w:tblPrEx>
          <w:tblCellMar>
            <w:top w:w="0" w:type="dxa"/>
            <w:left w:w="108" w:type="dxa"/>
            <w:bottom w:w="0" w:type="dxa"/>
            <w:right w:w="108" w:type="dxa"/>
          </w:tblCellMar>
        </w:tblPrEx>
        <w:trPr>
          <w:trHeight w:val="380"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color w:val="auto"/>
                <w:kern w:val="0"/>
                <w:sz w:val="18"/>
                <w:szCs w:val="18"/>
                <w:highlight w:val="none"/>
              </w:rPr>
            </w:pPr>
            <w:r>
              <w:rPr>
                <w:rFonts w:ascii="Times New Roman" w:hAnsi="Times New Roman" w:eastAsia="宋体" w:cs="Times New Roman"/>
                <w:b/>
                <w:color w:val="auto"/>
                <w:kern w:val="0"/>
                <w:sz w:val="18"/>
                <w:szCs w:val="18"/>
                <w:highlight w:val="none"/>
              </w:rPr>
              <w:t>序号</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b/>
                <w:color w:val="auto"/>
                <w:kern w:val="0"/>
                <w:sz w:val="18"/>
                <w:szCs w:val="18"/>
                <w:highlight w:val="none"/>
                <w:lang w:eastAsia="zh-CN"/>
              </w:rPr>
            </w:pPr>
            <w:r>
              <w:rPr>
                <w:rFonts w:hint="eastAsia" w:ascii="Times New Roman" w:hAnsi="Times New Roman" w:eastAsia="宋体" w:cs="Times New Roman"/>
                <w:b/>
                <w:color w:val="auto"/>
                <w:kern w:val="0"/>
                <w:sz w:val="18"/>
                <w:szCs w:val="18"/>
                <w:highlight w:val="none"/>
                <w:lang w:eastAsia="zh-CN"/>
              </w:rPr>
              <w:t>区（市）</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color w:val="auto"/>
                <w:kern w:val="0"/>
                <w:sz w:val="18"/>
                <w:szCs w:val="18"/>
                <w:highlight w:val="none"/>
              </w:rPr>
            </w:pPr>
            <w:r>
              <w:rPr>
                <w:rFonts w:ascii="Times New Roman" w:hAnsi="Times New Roman" w:eastAsia="宋体" w:cs="Times New Roman"/>
                <w:b/>
                <w:color w:val="auto"/>
                <w:kern w:val="0"/>
                <w:sz w:val="18"/>
                <w:szCs w:val="18"/>
                <w:highlight w:val="none"/>
              </w:rPr>
              <w:t>预算数</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color w:val="auto"/>
                <w:kern w:val="0"/>
                <w:sz w:val="18"/>
                <w:szCs w:val="18"/>
                <w:highlight w:val="none"/>
              </w:rPr>
            </w:pPr>
            <w:r>
              <w:rPr>
                <w:rFonts w:ascii="Times New Roman" w:hAnsi="Times New Roman" w:eastAsia="宋体" w:cs="Times New Roman"/>
                <w:b/>
                <w:color w:val="auto"/>
                <w:kern w:val="0"/>
                <w:sz w:val="18"/>
                <w:szCs w:val="18"/>
                <w:highlight w:val="none"/>
              </w:rPr>
              <w:t>执行数</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color w:val="auto"/>
                <w:kern w:val="0"/>
                <w:sz w:val="18"/>
                <w:szCs w:val="18"/>
                <w:highlight w:val="none"/>
              </w:rPr>
            </w:pPr>
            <w:r>
              <w:rPr>
                <w:rFonts w:ascii="Times New Roman" w:hAnsi="Times New Roman" w:eastAsia="宋体" w:cs="Times New Roman"/>
                <w:b/>
                <w:color w:val="auto"/>
                <w:kern w:val="0"/>
                <w:sz w:val="18"/>
                <w:szCs w:val="18"/>
                <w:highlight w:val="none"/>
              </w:rPr>
              <w:t>结余数</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color w:val="auto"/>
                <w:kern w:val="0"/>
                <w:sz w:val="18"/>
                <w:szCs w:val="18"/>
                <w:highlight w:val="none"/>
              </w:rPr>
            </w:pPr>
            <w:r>
              <w:rPr>
                <w:rFonts w:ascii="Times New Roman" w:hAnsi="Times New Roman" w:eastAsia="宋体" w:cs="Times New Roman"/>
                <w:b/>
                <w:color w:val="auto"/>
                <w:kern w:val="0"/>
                <w:sz w:val="18"/>
                <w:szCs w:val="18"/>
                <w:highlight w:val="none"/>
              </w:rPr>
              <w:t>执行率</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1</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市南区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30</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30</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0</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100%</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2</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市北区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312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312</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0</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100%</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3</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李沧区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202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202</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0</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100%</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4</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崂山区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545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545</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0</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100%</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5</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西海岸新区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1166.5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487.19</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kern w:val="0"/>
                <w:sz w:val="18"/>
                <w:szCs w:val="18"/>
                <w:highlight w:val="none"/>
                <w:lang w:val="en-US" w:eastAsia="zh-CN"/>
              </w:rPr>
              <w:t>679.31</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41.77%</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6</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城阳区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rPr>
            </w:pPr>
            <w:r>
              <w:rPr>
                <w:rFonts w:hint="eastAsia" w:ascii="Times New Roman" w:hAnsi="Times New Roman" w:eastAsia="宋体" w:cs="Times New Roman"/>
                <w:color w:val="auto"/>
                <w:kern w:val="0"/>
                <w:sz w:val="18"/>
                <w:szCs w:val="18"/>
                <w:highlight w:val="none"/>
                <w:lang w:val="en-US" w:eastAsia="zh-CN"/>
              </w:rPr>
              <w:t>342.3</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285.5</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56.8</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83.41</w:t>
            </w:r>
            <w:r>
              <w:rPr>
                <w:rFonts w:hint="default" w:ascii="Times New Roman" w:hAnsi="Times New Roman" w:eastAsia="宋体" w:cs="Times New Roman"/>
                <w:color w:val="auto"/>
                <w:kern w:val="0"/>
                <w:sz w:val="18"/>
                <w:szCs w:val="18"/>
                <w:highlight w:val="none"/>
                <w:lang w:val="en-US" w:eastAsia="zh-CN"/>
              </w:rPr>
              <w:t>%</w:t>
            </w:r>
          </w:p>
        </w:tc>
      </w:tr>
      <w:tr>
        <w:tblPrEx>
          <w:tblCellMar>
            <w:top w:w="0" w:type="dxa"/>
            <w:left w:w="108" w:type="dxa"/>
            <w:bottom w:w="0" w:type="dxa"/>
            <w:right w:w="108" w:type="dxa"/>
          </w:tblCellMar>
        </w:tblPrEx>
        <w:trPr>
          <w:trHeight w:val="34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rPr>
              <w:t>7</w:t>
            </w:r>
          </w:p>
        </w:tc>
        <w:tc>
          <w:tcPr>
            <w:tcW w:w="1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高新区</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72</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28</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44</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38.89%</w:t>
            </w:r>
          </w:p>
        </w:tc>
      </w:tr>
      <w:tr>
        <w:tblPrEx>
          <w:tblCellMar>
            <w:top w:w="0" w:type="dxa"/>
            <w:left w:w="108" w:type="dxa"/>
            <w:bottom w:w="0" w:type="dxa"/>
            <w:right w:w="108" w:type="dxa"/>
          </w:tblCellMar>
        </w:tblPrEx>
        <w:trPr>
          <w:trHeight w:val="344" w:hRule="atLeast"/>
        </w:trPr>
        <w:tc>
          <w:tcPr>
            <w:tcW w:w="2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color w:val="auto"/>
                <w:kern w:val="0"/>
                <w:sz w:val="18"/>
                <w:szCs w:val="18"/>
                <w:highlight w:val="none"/>
              </w:rPr>
            </w:pPr>
            <w:r>
              <w:rPr>
                <w:rFonts w:ascii="Times New Roman" w:hAnsi="Times New Roman" w:eastAsia="宋体" w:cs="Times New Roman"/>
                <w:b/>
                <w:color w:val="auto"/>
                <w:kern w:val="0"/>
                <w:sz w:val="18"/>
                <w:szCs w:val="18"/>
                <w:highlight w:val="none"/>
              </w:rPr>
              <w:t>合计</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color w:val="auto"/>
                <w:kern w:val="0"/>
                <w:sz w:val="18"/>
                <w:szCs w:val="18"/>
                <w:highlight w:val="none"/>
                <w:lang w:val="en-US" w:eastAsia="zh-CN"/>
              </w:rPr>
            </w:pPr>
            <w:r>
              <w:rPr>
                <w:rFonts w:hint="eastAsia" w:ascii="Times New Roman" w:hAnsi="Times New Roman" w:eastAsia="宋体" w:cs="Times New Roman"/>
                <w:b/>
                <w:color w:val="auto"/>
                <w:kern w:val="0"/>
                <w:sz w:val="18"/>
                <w:szCs w:val="18"/>
                <w:highlight w:val="none"/>
                <w:lang w:val="en-US" w:eastAsia="zh-CN"/>
              </w:rPr>
              <w:t>2670</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b/>
                <w:color w:val="auto"/>
                <w:kern w:val="0"/>
                <w:sz w:val="18"/>
                <w:szCs w:val="18"/>
                <w:highlight w:val="none"/>
                <w:lang w:val="en-US" w:eastAsia="zh-CN"/>
              </w:rPr>
            </w:pPr>
            <w:r>
              <w:rPr>
                <w:rFonts w:hint="default" w:ascii="Times New Roman" w:hAnsi="Times New Roman" w:eastAsia="宋体" w:cs="Times New Roman"/>
                <w:b/>
                <w:color w:val="auto"/>
                <w:kern w:val="0"/>
                <w:sz w:val="18"/>
                <w:szCs w:val="18"/>
                <w:highlight w:val="none"/>
                <w:lang w:val="en-US" w:eastAsia="zh-CN"/>
              </w:rPr>
              <w:t>1833.69</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color w:val="auto"/>
                <w:kern w:val="0"/>
                <w:sz w:val="18"/>
                <w:szCs w:val="18"/>
                <w:highlight w:val="none"/>
                <w:lang w:val="en-US" w:eastAsia="zh-CN"/>
              </w:rPr>
            </w:pPr>
            <w:r>
              <w:rPr>
                <w:rFonts w:hint="eastAsia" w:ascii="Times New Roman" w:hAnsi="Times New Roman" w:eastAsia="宋体" w:cs="Times New Roman"/>
                <w:b/>
                <w:color w:val="auto"/>
                <w:kern w:val="0"/>
                <w:sz w:val="18"/>
                <w:szCs w:val="18"/>
                <w:highlight w:val="none"/>
                <w:lang w:val="en-US" w:eastAsia="zh-CN"/>
              </w:rPr>
              <w:t>780.11</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color w:val="auto"/>
                <w:kern w:val="0"/>
                <w:sz w:val="18"/>
                <w:szCs w:val="18"/>
                <w:highlight w:val="none"/>
                <w:lang w:val="en-US" w:eastAsia="zh-CN"/>
              </w:rPr>
            </w:pPr>
            <w:r>
              <w:rPr>
                <w:rFonts w:hint="eastAsia" w:ascii="Times New Roman" w:hAnsi="Times New Roman" w:eastAsia="宋体" w:cs="Times New Roman"/>
                <w:b/>
                <w:color w:val="auto"/>
                <w:kern w:val="0"/>
                <w:sz w:val="18"/>
                <w:szCs w:val="18"/>
                <w:highlight w:val="none"/>
                <w:lang w:val="en-US" w:eastAsia="zh-CN"/>
              </w:rPr>
              <w:t>70.78</w:t>
            </w:r>
            <w:r>
              <w:rPr>
                <w:rFonts w:hint="default" w:ascii="Times New Roman" w:hAnsi="Times New Roman" w:eastAsia="宋体" w:cs="Times New Roman"/>
                <w:b/>
                <w:color w:val="auto"/>
                <w:kern w:val="0"/>
                <w:sz w:val="18"/>
                <w:szCs w:val="18"/>
                <w:highlight w:val="none"/>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Times New Roman" w:cs="Times New Roman"/>
          <w:color w:val="auto"/>
          <w:sz w:val="32"/>
          <w:szCs w:val="32"/>
          <w:highlight w:val="none"/>
          <w:lang w:val="en-US" w:eastAsia="zh-CN"/>
        </w:rPr>
      </w:pPr>
      <w:r>
        <w:rPr>
          <w:rFonts w:hint="eastAsia" w:ascii="仿宋_GB2312" w:hAnsi="Times New Roman" w:cs="Times New Roman"/>
          <w:color w:val="auto"/>
          <w:sz w:val="32"/>
          <w:szCs w:val="32"/>
          <w:highlight w:val="none"/>
          <w:lang w:eastAsia="zh-CN"/>
        </w:rPr>
        <w:t>评价发现，个别区（市）专项资金未及时下达，至评价日，高新区地表水环境质量生态补偿项目资金</w:t>
      </w:r>
      <w:r>
        <w:rPr>
          <w:rFonts w:hint="eastAsia" w:ascii="仿宋_GB2312" w:hAnsi="Times New Roman" w:cs="Times New Roman"/>
          <w:color w:val="auto"/>
          <w:sz w:val="32"/>
          <w:szCs w:val="32"/>
          <w:highlight w:val="none"/>
          <w:lang w:val="en-US" w:eastAsia="zh-CN"/>
        </w:rPr>
        <w:t>44万元尚未拨付到位，城阳区驻青部队燃煤锅炉淘汰补助项目资金113万元，实际拨付56万元。</w:t>
      </w:r>
    </w:p>
    <w:bookmarkEnd w:id="67"/>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firstLine="643" w:firstLineChars="200"/>
        <w:textAlignment w:val="auto"/>
        <w:outlineLvl w:val="1"/>
        <w:rPr>
          <w:rFonts w:hint="eastAsia" w:ascii="仿宋_GB2312" w:hAnsi="Times New Roman" w:eastAsia="仿宋_GB2312" w:cs="Times New Roman"/>
          <w:b/>
          <w:bCs/>
          <w:color w:val="auto"/>
          <w:kern w:val="2"/>
          <w:sz w:val="32"/>
          <w:szCs w:val="32"/>
          <w:highlight w:val="none"/>
          <w:lang w:val="en-US" w:eastAsia="zh-CN" w:bidi="ar-SA"/>
        </w:rPr>
      </w:pPr>
      <w:bookmarkStart w:id="68" w:name="_Toc27521"/>
      <w:bookmarkStart w:id="69" w:name="_Toc2724"/>
      <w:r>
        <w:rPr>
          <w:rFonts w:hint="eastAsia" w:ascii="仿宋_GB2312" w:hAnsi="Times New Roman" w:eastAsia="仿宋_GB2312" w:cs="Times New Roman"/>
          <w:b/>
          <w:bCs/>
          <w:color w:val="auto"/>
          <w:kern w:val="2"/>
          <w:sz w:val="32"/>
          <w:szCs w:val="32"/>
          <w:highlight w:val="none"/>
          <w:lang w:val="en-US" w:eastAsia="zh-CN" w:bidi="ar-SA"/>
        </w:rPr>
        <w:t>4.相关建议</w:t>
      </w:r>
      <w:bookmarkEnd w:id="57"/>
      <w:bookmarkEnd w:id="58"/>
      <w:bookmarkEnd w:id="59"/>
      <w:bookmarkEnd w:id="68"/>
      <w:bookmarkEnd w:id="6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shd w:val="clear" w:color="auto" w:fill="auto"/>
        </w:rPr>
      </w:pPr>
      <w:bookmarkStart w:id="70" w:name="_Toc52324513"/>
      <w:bookmarkStart w:id="71" w:name="_Toc14029"/>
      <w:bookmarkStart w:id="72" w:name="_Toc21252"/>
      <w:bookmarkStart w:id="73" w:name="_Toc5476"/>
      <w:bookmarkStart w:id="74" w:name="_Toc12049"/>
      <w:bookmarkStart w:id="75" w:name="_Toc30450"/>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1</w:t>
      </w:r>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进一步提高部门评价工作水平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eastAsia="zh-CN"/>
        </w:rPr>
        <w:t>严格按照</w:t>
      </w:r>
      <w:r>
        <w:rPr>
          <w:rFonts w:hint="eastAsia" w:ascii="仿宋_GB2312" w:hAnsi="Times New Roman" w:eastAsia="仿宋_GB2312" w:cs="Times New Roman"/>
          <w:color w:val="auto"/>
          <w:sz w:val="32"/>
          <w:szCs w:val="32"/>
          <w:highlight w:val="none"/>
        </w:rPr>
        <w:t>《中共青岛市委 青岛市人民政府关于深化预算管理改革全面推进预算绩效管理的实施意见》（青发〔2019〕6号）、青岛市财政局关于转发《财政部关于印发〈项目支出绩效评价管理办法〉的通知》的通知（青财绩〔2020〕5号）等有关要求</w:t>
      </w:r>
      <w:r>
        <w:rPr>
          <w:rFonts w:hint="eastAsia" w:ascii="仿宋_GB2312" w:hAnsi="Times New Roman" w:eastAsia="仿宋_GB2312" w:cs="Times New Roman"/>
          <w:color w:val="auto"/>
          <w:sz w:val="32"/>
          <w:szCs w:val="32"/>
          <w:highlight w:val="none"/>
          <w:lang w:eastAsia="zh-CN"/>
        </w:rPr>
        <w:t>开展部门评价，有效核实年度绩效目标达成情况及资金使用实效，做到填报指标完成值真实准确、佐证材料充分可靠、评价客观合理。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shd w:val="clear" w:color="auto" w:fill="auto"/>
        </w:rPr>
      </w:pPr>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2</w:t>
      </w:r>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加强预算编制的前瞻性、加快结余结转消化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b/>
          <w:bCs/>
          <w:color w:val="auto"/>
          <w:sz w:val="32"/>
          <w:szCs w:val="32"/>
          <w:highlight w:val="none"/>
          <w:lang w:eastAsia="zh-CN"/>
        </w:rPr>
        <w:t>一是</w:t>
      </w:r>
      <w:r>
        <w:rPr>
          <w:rFonts w:hint="eastAsia" w:ascii="仿宋_GB2312" w:hAnsi="Times New Roman" w:eastAsia="仿宋_GB2312" w:cs="Times New Roman"/>
          <w:color w:val="auto"/>
          <w:sz w:val="32"/>
          <w:szCs w:val="32"/>
          <w:highlight w:val="none"/>
        </w:rPr>
        <w:t>加强预算编制的前瞻性，按照预算管理规定及单位发展规划，结合上一年度预算执行情况和本年度预算收支变化因素，科学、合理地编制年度预算，预算合理、不留缺口，不留空项，避免预算支出与实际执行出现偏差。</w:t>
      </w:r>
      <w:r>
        <w:rPr>
          <w:rFonts w:hint="eastAsia" w:ascii="仿宋_GB2312" w:hAnsi="Times New Roman" w:eastAsia="仿宋_GB2312" w:cs="Times New Roman"/>
          <w:color w:val="auto"/>
          <w:sz w:val="32"/>
          <w:szCs w:val="32"/>
          <w:highlight w:val="none"/>
          <w:lang w:eastAsia="zh-CN"/>
        </w:rPr>
        <w:t>二</w:t>
      </w:r>
      <w:r>
        <w:rPr>
          <w:rFonts w:hint="eastAsia" w:ascii="仿宋_GB2312" w:hAnsi="Times New Roman" w:eastAsia="仿宋_GB2312" w:cs="Times New Roman"/>
          <w:b/>
          <w:bCs/>
          <w:color w:val="auto"/>
          <w:sz w:val="32"/>
          <w:szCs w:val="32"/>
          <w:highlight w:val="none"/>
          <w:lang w:eastAsia="zh-CN"/>
        </w:rPr>
        <w:t>是</w:t>
      </w:r>
      <w:r>
        <w:rPr>
          <w:rFonts w:hint="eastAsia" w:ascii="仿宋_GB2312" w:hAnsi="Times New Roman" w:eastAsia="仿宋_GB2312" w:cs="Times New Roman"/>
          <w:color w:val="auto"/>
          <w:sz w:val="32"/>
          <w:szCs w:val="32"/>
          <w:highlight w:val="none"/>
        </w:rPr>
        <w:t>加快结余结转消化，及时拨付资金，对新增资金需求优先使用结余结转资金解决，统筹合理使用，持续开展支出情况调度分析，督促相关处室单位加快项目实施，加快资金结算，避免形成结余。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）提高</w:t>
      </w:r>
      <w:r>
        <w:rPr>
          <w:rFonts w:hint="eastAsia" w:ascii="仿宋_GB2312" w:hAnsi="仿宋_GB2312" w:eastAsia="仿宋_GB2312" w:cs="仿宋_GB2312"/>
          <w:color w:val="auto"/>
          <w:sz w:val="32"/>
          <w:szCs w:val="32"/>
          <w:highlight w:val="none"/>
          <w:lang w:eastAsia="zh-CN"/>
        </w:rPr>
        <w:t>专项资金</w:t>
      </w:r>
      <w:r>
        <w:rPr>
          <w:rFonts w:hint="eastAsia" w:ascii="仿宋_GB2312" w:hAnsi="仿宋_GB2312" w:eastAsia="仿宋_GB2312" w:cs="仿宋_GB2312"/>
          <w:color w:val="auto"/>
          <w:sz w:val="32"/>
          <w:szCs w:val="32"/>
          <w:highlight w:val="none"/>
        </w:rPr>
        <w:t>执行进度，发挥财政资金使用效益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b/>
          <w:bCs/>
          <w:color w:val="auto"/>
          <w:sz w:val="32"/>
          <w:szCs w:val="32"/>
          <w:highlight w:val="none"/>
          <w:lang w:eastAsia="zh-CN"/>
        </w:rPr>
        <w:t>一是</w:t>
      </w:r>
      <w:r>
        <w:rPr>
          <w:rFonts w:hint="eastAsia" w:ascii="仿宋_GB2312" w:hAnsi="Times New Roman" w:eastAsia="仿宋_GB2312" w:cs="Times New Roman"/>
          <w:color w:val="auto"/>
          <w:sz w:val="32"/>
          <w:szCs w:val="32"/>
          <w:highlight w:val="none"/>
        </w:rPr>
        <w:t>建议市和各区（市）</w:t>
      </w:r>
      <w:r>
        <w:rPr>
          <w:rFonts w:hint="eastAsia" w:ascii="仿宋_GB2312" w:hAnsi="Times New Roman" w:eastAsia="仿宋_GB2312" w:cs="Times New Roman"/>
          <w:color w:val="auto"/>
          <w:sz w:val="32"/>
          <w:szCs w:val="32"/>
          <w:highlight w:val="none"/>
          <w:lang w:eastAsia="zh-CN"/>
        </w:rPr>
        <w:t>生态环境</w:t>
      </w:r>
      <w:r>
        <w:rPr>
          <w:rFonts w:hint="eastAsia" w:ascii="仿宋_GB2312" w:hAnsi="Times New Roman" w:eastAsia="仿宋_GB2312" w:cs="Times New Roman"/>
          <w:color w:val="auto"/>
          <w:sz w:val="32"/>
          <w:szCs w:val="32"/>
          <w:highlight w:val="none"/>
        </w:rPr>
        <w:t>部门加强对</w:t>
      </w:r>
      <w:r>
        <w:rPr>
          <w:rFonts w:hint="eastAsia" w:ascii="仿宋_GB2312" w:hAnsi="Times New Roman" w:eastAsia="仿宋_GB2312" w:cs="Times New Roman"/>
          <w:color w:val="auto"/>
          <w:sz w:val="32"/>
          <w:szCs w:val="32"/>
          <w:highlight w:val="none"/>
          <w:lang w:eastAsia="zh-CN"/>
        </w:rPr>
        <w:t>环保</w:t>
      </w:r>
      <w:r>
        <w:rPr>
          <w:rFonts w:hint="eastAsia" w:ascii="仿宋_GB2312" w:hAnsi="Times New Roman" w:eastAsia="仿宋_GB2312" w:cs="Times New Roman"/>
          <w:color w:val="auto"/>
          <w:sz w:val="32"/>
          <w:szCs w:val="32"/>
          <w:highlight w:val="none"/>
        </w:rPr>
        <w:t>专项资金绩效目标编制管理，做到“指向明确、细化量化、合理可行、相应匹配”，为后续实施绩效监控和绩效评价、加快预算执行奠定良好基础</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b/>
          <w:bCs/>
          <w:color w:val="auto"/>
          <w:sz w:val="32"/>
          <w:szCs w:val="32"/>
          <w:highlight w:val="none"/>
          <w:lang w:eastAsia="zh-CN"/>
        </w:rPr>
        <w:t>二是</w:t>
      </w:r>
      <w:r>
        <w:rPr>
          <w:rFonts w:hint="eastAsia" w:ascii="仿宋_GB2312" w:hAnsi="Times New Roman" w:eastAsia="仿宋_GB2312" w:cs="Times New Roman"/>
          <w:color w:val="auto"/>
          <w:sz w:val="32"/>
          <w:szCs w:val="32"/>
          <w:highlight w:val="none"/>
        </w:rPr>
        <w:t>按照年度工作计划和批复的预算，按时间节点抓好预算执行，提高预算执行进度和使用效益</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b/>
          <w:bCs/>
          <w:color w:val="auto"/>
          <w:sz w:val="32"/>
          <w:szCs w:val="32"/>
          <w:highlight w:val="none"/>
          <w:lang w:eastAsia="zh-CN"/>
        </w:rPr>
        <w:t>三是</w:t>
      </w:r>
      <w:r>
        <w:rPr>
          <w:rFonts w:hint="eastAsia" w:ascii="仿宋_GB2312" w:hAnsi="Times New Roman" w:eastAsia="仿宋_GB2312" w:cs="Times New Roman"/>
          <w:color w:val="auto"/>
          <w:sz w:val="32"/>
          <w:szCs w:val="32"/>
          <w:highlight w:val="none"/>
          <w:lang w:eastAsia="zh-CN"/>
        </w:rPr>
        <w:t>确保区（市）专项资金及时下达。建议环保专项资金未拨付到位的区（市），严格按照相关要求及时将专项资金拨付至项目实施单位，确保项目按计划实施。</w:t>
      </w:r>
    </w:p>
    <w:bookmarkEnd w:id="7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val="en-US" w:eastAsia="zh-CN"/>
        </w:rPr>
        <w:t>4</w:t>
      </w:r>
      <w:r>
        <w:rPr>
          <w:rFonts w:hint="eastAsia" w:ascii="仿宋_GB2312" w:hAnsi="仿宋_GB2312" w:eastAsia="仿宋_GB2312" w:cs="仿宋_GB2312"/>
          <w:bCs/>
          <w:color w:val="auto"/>
          <w:kern w:val="0"/>
          <w:sz w:val="32"/>
          <w:szCs w:val="32"/>
          <w:highlight w:val="none"/>
          <w:shd w:val="clear" w:color="auto" w:fill="auto"/>
        </w:rPr>
        <w:t>）</w:t>
      </w:r>
      <w:r>
        <w:rPr>
          <w:rFonts w:hint="eastAsia" w:ascii="仿宋_GB2312" w:hAnsi="仿宋_GB2312" w:eastAsia="仿宋_GB2312" w:cs="仿宋_GB2312"/>
          <w:bCs/>
          <w:color w:val="auto"/>
          <w:kern w:val="0"/>
          <w:sz w:val="32"/>
          <w:szCs w:val="32"/>
          <w:highlight w:val="none"/>
          <w:shd w:val="clear" w:color="auto" w:fill="auto"/>
          <w:lang w:eastAsia="zh-CN"/>
        </w:rPr>
        <w:t>加强项目实施进度监</w:t>
      </w:r>
      <w:bookmarkStart w:id="76" w:name="_Toc15559"/>
      <w:bookmarkStart w:id="77" w:name="_Toc19880"/>
      <w:bookmarkStart w:id="78" w:name="_Toc7190"/>
      <w:r>
        <w:rPr>
          <w:rFonts w:hint="eastAsia" w:ascii="仿宋_GB2312" w:hAnsi="仿宋_GB2312" w:eastAsia="仿宋_GB2312" w:cs="仿宋_GB2312"/>
          <w:bCs/>
          <w:color w:val="auto"/>
          <w:kern w:val="0"/>
          <w:sz w:val="32"/>
          <w:szCs w:val="32"/>
          <w:highlight w:val="none"/>
          <w:shd w:val="clear" w:color="auto" w:fill="auto"/>
          <w:lang w:eastAsia="zh-CN"/>
        </w:rPr>
        <w:t>管，提升项目完成率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shd w:val="clear" w:color="auto" w:fill="auto"/>
          <w:lang w:val="en-US" w:eastAsia="zh-CN"/>
        </w:rPr>
      </w:pPr>
      <w:r>
        <w:rPr>
          <w:rFonts w:hint="eastAsia" w:ascii="仿宋_GB2312" w:hAnsi="仿宋_GB2312" w:eastAsia="仿宋_GB2312" w:cs="仿宋_GB2312"/>
          <w:b w:val="0"/>
          <w:bCs/>
          <w:color w:val="auto"/>
          <w:kern w:val="0"/>
          <w:sz w:val="32"/>
          <w:szCs w:val="32"/>
          <w:highlight w:val="none"/>
          <w:shd w:val="clear" w:color="auto" w:fill="auto"/>
          <w:lang w:val="en-US" w:eastAsia="zh-CN"/>
        </w:rPr>
        <w:t>根据专项资金任务目标，制定完善的目标任务实施方案，并</w:t>
      </w:r>
      <w:r>
        <w:rPr>
          <w:rFonts w:hint="eastAsia" w:ascii="仿宋_GB2312" w:hAnsi="仿宋_GB2312" w:eastAsia="仿宋_GB2312" w:cs="仿宋_GB2312"/>
          <w:bCs/>
          <w:color w:val="auto"/>
          <w:kern w:val="0"/>
          <w:sz w:val="32"/>
          <w:szCs w:val="32"/>
          <w:highlight w:val="none"/>
          <w:shd w:val="clear" w:color="auto" w:fill="auto"/>
          <w:lang w:val="en-US" w:eastAsia="zh-CN"/>
        </w:rPr>
        <w:t>加强项目进度管控，</w:t>
      </w:r>
      <w:r>
        <w:rPr>
          <w:rFonts w:hint="eastAsia" w:ascii="仿宋_GB2312" w:hAnsi="Times New Roman" w:eastAsia="仿宋_GB2312" w:cs="Times New Roman"/>
          <w:color w:val="auto"/>
          <w:sz w:val="32"/>
          <w:szCs w:val="32"/>
          <w:highlight w:val="none"/>
        </w:rPr>
        <w:t>对项目组织实施进度实行有效的过程跟踪管理，</w:t>
      </w:r>
      <w:r>
        <w:rPr>
          <w:rFonts w:hint="eastAsia" w:ascii="仿宋_GB2312" w:hAnsi="仿宋_GB2312" w:eastAsia="仿宋_GB2312" w:cs="仿宋_GB2312"/>
          <w:bCs/>
          <w:color w:val="auto"/>
          <w:kern w:val="0"/>
          <w:sz w:val="32"/>
          <w:szCs w:val="32"/>
          <w:highlight w:val="none"/>
          <w:shd w:val="clear" w:color="auto" w:fill="auto"/>
          <w:lang w:val="en-US" w:eastAsia="zh-CN"/>
        </w:rPr>
        <w:t>及时调度项目进展、</w:t>
      </w:r>
      <w:r>
        <w:rPr>
          <w:rFonts w:hint="eastAsia" w:ascii="仿宋_GB2312" w:hAnsi="仿宋_GB2312" w:eastAsia="仿宋_GB2312" w:cs="仿宋_GB2312"/>
          <w:bCs/>
          <w:color w:val="auto"/>
          <w:kern w:val="0"/>
          <w:sz w:val="32"/>
          <w:szCs w:val="32"/>
          <w:highlight w:val="none"/>
          <w:shd w:val="clear" w:color="auto" w:fill="auto"/>
        </w:rPr>
        <w:t>掌握项目实施动态，</w:t>
      </w:r>
      <w:r>
        <w:rPr>
          <w:rFonts w:hint="eastAsia" w:ascii="仿宋_GB2312" w:hAnsi="Times New Roman" w:eastAsia="仿宋_GB2312" w:cs="Times New Roman"/>
          <w:color w:val="auto"/>
          <w:sz w:val="32"/>
          <w:szCs w:val="32"/>
          <w:highlight w:val="none"/>
          <w:lang w:eastAsia="zh-CN"/>
        </w:rPr>
        <w:t>针对</w:t>
      </w:r>
      <w:r>
        <w:rPr>
          <w:rFonts w:hint="eastAsia" w:ascii="仿宋_GB2312" w:hAnsi="Times New Roman" w:eastAsia="仿宋_GB2312" w:cs="Times New Roman"/>
          <w:color w:val="auto"/>
          <w:sz w:val="32"/>
          <w:szCs w:val="32"/>
          <w:highlight w:val="none"/>
        </w:rPr>
        <w:t>跟踪中发现的问题</w:t>
      </w:r>
      <w:r>
        <w:rPr>
          <w:rFonts w:hint="eastAsia" w:ascii="仿宋_GB2312" w:hAnsi="Times New Roman" w:eastAsia="仿宋_GB2312" w:cs="Times New Roman"/>
          <w:color w:val="auto"/>
          <w:sz w:val="32"/>
          <w:szCs w:val="32"/>
          <w:highlight w:val="none"/>
          <w:lang w:eastAsia="zh-CN"/>
        </w:rPr>
        <w:t>制定有效的解决方案</w:t>
      </w:r>
      <w:r>
        <w:rPr>
          <w:rFonts w:hint="eastAsia" w:ascii="仿宋_GB2312" w:hAnsi="Times New Roman" w:eastAsia="仿宋_GB2312" w:cs="Times New Roman"/>
          <w:color w:val="auto"/>
          <w:sz w:val="32"/>
          <w:szCs w:val="32"/>
          <w:highlight w:val="none"/>
        </w:rPr>
        <w:t>，</w:t>
      </w:r>
      <w:r>
        <w:rPr>
          <w:rFonts w:hint="eastAsia" w:ascii="仿宋_GB2312" w:hAnsi="仿宋_GB2312" w:eastAsia="仿宋_GB2312" w:cs="仿宋_GB2312"/>
          <w:bCs/>
          <w:color w:val="auto"/>
          <w:kern w:val="0"/>
          <w:sz w:val="32"/>
          <w:szCs w:val="32"/>
          <w:highlight w:val="none"/>
          <w:shd w:val="clear" w:color="auto" w:fill="auto"/>
          <w:lang w:val="en-US" w:eastAsia="zh-CN"/>
        </w:rPr>
        <w:t>提升项目实际完成率</w:t>
      </w:r>
      <w:bookmarkEnd w:id="76"/>
      <w:r>
        <w:rPr>
          <w:rFonts w:hint="eastAsia" w:ascii="仿宋_GB2312" w:hAnsi="仿宋_GB2312" w:eastAsia="仿宋_GB2312" w:cs="仿宋_GB2312"/>
          <w:bCs/>
          <w:color w:val="auto"/>
          <w:kern w:val="0"/>
          <w:sz w:val="32"/>
          <w:szCs w:val="32"/>
          <w:highlight w:val="none"/>
          <w:shd w:val="clear" w:color="auto" w:fill="auto"/>
          <w:lang w:val="en-US" w:eastAsia="zh-CN"/>
        </w:rPr>
        <w:t>。</w:t>
      </w:r>
      <w:r>
        <w:rPr>
          <w:rFonts w:hint="eastAsia" w:ascii="仿宋_GB2312" w:hAnsi="Times New Roman" w:eastAsia="仿宋_GB2312" w:cs="Times New Roman"/>
          <w:color w:val="auto"/>
          <w:sz w:val="32"/>
          <w:szCs w:val="32"/>
          <w:highlight w:val="none"/>
        </w:rPr>
        <w:t>对项目进度慢、绩效目标发生偏离或因国家政策调整等特殊原因确实无法执行的项目，应采取切实有效措施，及时调整或纠偏。</w:t>
      </w:r>
      <w:bookmarkEnd w:id="71"/>
      <w:bookmarkEnd w:id="72"/>
      <w:bookmarkEnd w:id="73"/>
      <w:bookmarkEnd w:id="74"/>
      <w:bookmarkEnd w:id="75"/>
      <w:bookmarkEnd w:id="77"/>
      <w:bookmarkEnd w:id="7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黑体" w:cs="Times New Roman"/>
          <w:color w:val="auto"/>
          <w:sz w:val="32"/>
          <w:szCs w:val="28"/>
          <w:highlight w:val="none"/>
        </w:rPr>
      </w:pPr>
      <w:bookmarkStart w:id="79" w:name="_Toc2140"/>
      <w:bookmarkStart w:id="80" w:name="_Toc11398"/>
      <w:bookmarkStart w:id="81" w:name="_Toc15031"/>
      <w:bookmarkStart w:id="82" w:name="_Toc24247"/>
      <w:r>
        <w:rPr>
          <w:rFonts w:hint="eastAsia" w:ascii="Times New Roman" w:hAnsi="Times New Roman" w:eastAsia="黑体" w:cs="Times New Roman"/>
          <w:color w:val="auto"/>
          <w:sz w:val="32"/>
          <w:szCs w:val="28"/>
          <w:highlight w:val="none"/>
          <w:lang w:eastAsia="zh-CN"/>
        </w:rPr>
        <w:t>四</w:t>
      </w:r>
      <w:r>
        <w:rPr>
          <w:rFonts w:hint="default" w:ascii="Times New Roman" w:hAnsi="Times New Roman" w:eastAsia="黑体" w:cs="Times New Roman"/>
          <w:color w:val="auto"/>
          <w:sz w:val="32"/>
          <w:szCs w:val="28"/>
          <w:highlight w:val="none"/>
        </w:rPr>
        <w:t>、</w:t>
      </w:r>
      <w:r>
        <w:rPr>
          <w:rFonts w:hint="eastAsia" w:ascii="Times New Roman" w:hAnsi="Times New Roman" w:eastAsia="黑体" w:cs="Times New Roman"/>
          <w:color w:val="auto"/>
          <w:sz w:val="32"/>
          <w:szCs w:val="28"/>
          <w:highlight w:val="none"/>
          <w:lang w:eastAsia="zh-CN"/>
        </w:rPr>
        <w:t>评价单位盖章</w:t>
      </w:r>
      <w:bookmarkEnd w:id="79"/>
      <w:bookmarkEnd w:id="80"/>
      <w:bookmarkEnd w:id="81"/>
      <w:bookmarkEnd w:id="82"/>
    </w:p>
    <w:p>
      <w:pPr>
        <w:spacing w:line="580" w:lineRule="exact"/>
        <w:jc w:val="right"/>
        <w:rPr>
          <w:rFonts w:hint="eastAsia" w:ascii="Times New Roman" w:hAnsi="Times New Roman" w:eastAsia="仿宋" w:cs="Times New Roman"/>
          <w:color w:val="auto"/>
          <w:sz w:val="32"/>
          <w:szCs w:val="32"/>
          <w:highlight w:val="none"/>
          <w:lang w:eastAsia="zh-CN"/>
        </w:rPr>
      </w:pPr>
    </w:p>
    <w:p>
      <w:pPr>
        <w:spacing w:line="580" w:lineRule="exact"/>
        <w:jc w:val="right"/>
        <w:rPr>
          <w:rFonts w:hint="eastAsia" w:ascii="Times New Roman" w:hAnsi="Times New Roman" w:eastAsia="仿宋" w:cs="Times New Roman"/>
          <w:color w:val="auto"/>
          <w:sz w:val="32"/>
          <w:szCs w:val="32"/>
          <w:highlight w:val="none"/>
          <w:lang w:eastAsia="zh-CN"/>
        </w:rPr>
      </w:pPr>
    </w:p>
    <w:p>
      <w:pPr>
        <w:pStyle w:val="2"/>
        <w:rPr>
          <w:rFonts w:hint="eastAsia"/>
          <w:color w:val="auto"/>
          <w:highlight w:val="none"/>
          <w:lang w:eastAsia="zh-CN"/>
        </w:rPr>
      </w:pPr>
    </w:p>
    <w:p>
      <w:pPr>
        <w:spacing w:line="580" w:lineRule="exact"/>
        <w:jc w:val="right"/>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lang w:eastAsia="zh-CN"/>
        </w:rPr>
        <w:t>山东广信达土地房地产资产评估项目管理有限公司</w:t>
      </w:r>
    </w:p>
    <w:p>
      <w:pPr>
        <w:spacing w:line="580" w:lineRule="exact"/>
        <w:ind w:firstLine="640" w:firstLineChars="200"/>
        <w:jc w:val="center"/>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二〇二</w:t>
      </w:r>
      <w:r>
        <w:rPr>
          <w:rFonts w:hint="eastAsia" w:ascii="Times New Roman" w:hAnsi="Times New Roman" w:eastAsia="仿宋" w:cs="Times New Roman"/>
          <w:color w:val="auto"/>
          <w:sz w:val="32"/>
          <w:szCs w:val="32"/>
          <w:highlight w:val="none"/>
          <w:lang w:eastAsia="zh-CN"/>
        </w:rPr>
        <w:t>一</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eastAsia="zh-CN"/>
        </w:rPr>
        <w:t>七</w:t>
      </w:r>
      <w:r>
        <w:rPr>
          <w:rFonts w:hint="default" w:ascii="Times New Roman" w:hAnsi="Times New Roman" w:eastAsia="仿宋" w:cs="Times New Roman"/>
          <w:color w:val="auto"/>
          <w:sz w:val="32"/>
          <w:szCs w:val="32"/>
          <w:highlight w:val="none"/>
        </w:rPr>
        <w:t>月</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eastAsia" w:ascii="仿宋_GB2312" w:hAnsi="仿宋_GB2312" w:eastAsia="仿宋_GB2312" w:cs="仿宋_GB2312"/>
          <w:color w:val="auto"/>
          <w:sz w:val="32"/>
          <w:szCs w:val="32"/>
          <w:highlight w:val="none"/>
          <w:lang w:val="en-US"/>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附件：1.</w:t>
      </w:r>
      <w:r>
        <w:rPr>
          <w:rFonts w:hint="eastAsia" w:ascii="仿宋_GB2312" w:hAnsi="仿宋_GB2312" w:eastAsia="仿宋_GB2312" w:cs="仿宋_GB2312"/>
          <w:color w:val="auto"/>
          <w:sz w:val="32"/>
          <w:szCs w:val="32"/>
          <w:highlight w:val="none"/>
        </w:rPr>
        <w:t>部门整体支出</w:t>
      </w:r>
      <w:r>
        <w:rPr>
          <w:rFonts w:hint="eastAsia" w:ascii="仿宋_GB2312" w:hAnsi="仿宋_GB2312" w:cs="仿宋_GB2312"/>
          <w:color w:val="auto"/>
          <w:sz w:val="32"/>
          <w:szCs w:val="32"/>
          <w:highlight w:val="none"/>
          <w:lang w:eastAsia="zh-CN"/>
        </w:rPr>
        <w:t>绩效评价</w:t>
      </w:r>
      <w:r>
        <w:rPr>
          <w:rFonts w:hint="eastAsia" w:ascii="仿宋_GB2312" w:hAnsi="仿宋_GB2312" w:eastAsia="仿宋_GB2312" w:cs="仿宋_GB2312"/>
          <w:color w:val="auto"/>
          <w:sz w:val="32"/>
          <w:szCs w:val="32"/>
          <w:highlight w:val="none"/>
        </w:rPr>
        <w:t>指标体系</w:t>
      </w:r>
      <w:r>
        <w:rPr>
          <w:rFonts w:hint="eastAsia" w:ascii="仿宋_GB2312" w:hAnsi="仿宋_GB2312" w:cs="仿宋_GB2312"/>
          <w:color w:val="auto"/>
          <w:sz w:val="32"/>
          <w:szCs w:val="32"/>
          <w:highlight w:val="none"/>
          <w:lang w:eastAsia="zh-CN"/>
        </w:rPr>
        <w:t>及得分表</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2.2020年部门整体支出绩效目标；</w:t>
      </w: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3.重点工作完成情况表；</w:t>
      </w: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4.满意度调查问卷。</w:t>
      </w: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rPr>
        <w:sectPr>
          <w:footerReference r:id="rId5" w:type="default"/>
          <w:footnotePr>
            <w:numRestart w:val="eachPage"/>
          </w:footnotePr>
          <w:pgSz w:w="11906" w:h="16838"/>
          <w:pgMar w:top="1701" w:right="1474" w:bottom="1701" w:left="1587" w:header="851" w:footer="992" w:gutter="0"/>
          <w:pgNumType w:fmt="decimal" w:start="1"/>
          <w:cols w:space="425" w:num="1"/>
          <w:docGrid w:type="lines" w:linePitch="312" w:charSpace="0"/>
        </w:sectPr>
      </w:pPr>
    </w:p>
    <w:p>
      <w:pPr>
        <w:keepNext/>
        <w:keepLines/>
        <w:pageBreakBefore w:val="0"/>
        <w:widowControl w:val="0"/>
        <w:numPr>
          <w:ilvl w:val="1"/>
          <w:numId w:val="0"/>
        </w:numPr>
        <w:kinsoku/>
        <w:wordWrap/>
        <w:overflowPunct/>
        <w:topLinePunct w:val="0"/>
        <w:autoSpaceDE/>
        <w:autoSpaceDN/>
        <w:bidi w:val="0"/>
        <w:adjustRightInd/>
        <w:snapToGrid/>
        <w:spacing w:before="120" w:after="120" w:line="240" w:lineRule="auto"/>
        <w:textAlignment w:val="auto"/>
        <w:outlineLvl w:val="9"/>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zh-CN" w:eastAsia="zh-CN" w:bidi="ar-SA"/>
        </w:rPr>
        <w:t>附件</w:t>
      </w:r>
      <w:r>
        <w:rPr>
          <w:rFonts w:hint="eastAsia" w:ascii="仿宋_GB2312" w:hAnsi="仿宋_GB2312" w:eastAsia="仿宋_GB2312" w:cs="仿宋_GB2312"/>
          <w:b w:val="0"/>
          <w:bCs w:val="0"/>
          <w:color w:val="auto"/>
          <w:kern w:val="0"/>
          <w:sz w:val="24"/>
          <w:szCs w:val="24"/>
          <w:highlight w:val="none"/>
          <w:lang w:val="en-US" w:eastAsia="zh-CN" w:bidi="ar-SA"/>
        </w:rPr>
        <w:t>1.</w:t>
      </w:r>
    </w:p>
    <w:p>
      <w:pPr>
        <w:keepNext/>
        <w:keepLines/>
        <w:pageBreakBefore w:val="0"/>
        <w:widowControl w:val="0"/>
        <w:numPr>
          <w:ilvl w:val="1"/>
          <w:numId w:val="0"/>
        </w:numPr>
        <w:kinsoku/>
        <w:wordWrap/>
        <w:overflowPunct/>
        <w:topLinePunct w:val="0"/>
        <w:autoSpaceDE/>
        <w:autoSpaceDN/>
        <w:bidi w:val="0"/>
        <w:adjustRightInd/>
        <w:snapToGrid/>
        <w:spacing w:before="120" w:after="120" w:line="240" w:lineRule="auto"/>
        <w:ind w:left="198" w:leftChars="0"/>
        <w:jc w:val="center"/>
        <w:textAlignment w:val="auto"/>
        <w:outlineLvl w:val="9"/>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宋体" w:hAnsi="宋体" w:eastAsia="宋体" w:cs="宋体"/>
          <w:b/>
          <w:bCs/>
          <w:color w:val="auto"/>
          <w:kern w:val="0"/>
          <w:sz w:val="32"/>
          <w:szCs w:val="32"/>
          <w:highlight w:val="none"/>
          <w:lang w:val="zh-CN" w:eastAsia="zh-CN" w:bidi="ar-SA"/>
        </w:rPr>
        <w:t>2020年度青岛市生态环境局整体支出绩效评价指标体系及得分表</w:t>
      </w:r>
    </w:p>
    <w:tbl>
      <w:tblPr>
        <w:tblStyle w:val="23"/>
        <w:tblW w:w="5039" w:type="pct"/>
        <w:tblInd w:w="0" w:type="dxa"/>
        <w:shd w:val="clear" w:color="auto" w:fill="auto"/>
        <w:tblLayout w:type="fixed"/>
        <w:tblCellMar>
          <w:top w:w="0" w:type="dxa"/>
          <w:left w:w="108" w:type="dxa"/>
          <w:bottom w:w="0" w:type="dxa"/>
          <w:right w:w="108" w:type="dxa"/>
        </w:tblCellMar>
      </w:tblPr>
      <w:tblGrid>
        <w:gridCol w:w="526"/>
        <w:gridCol w:w="689"/>
        <w:gridCol w:w="741"/>
        <w:gridCol w:w="1120"/>
        <w:gridCol w:w="519"/>
        <w:gridCol w:w="2685"/>
        <w:gridCol w:w="498"/>
        <w:gridCol w:w="4254"/>
        <w:gridCol w:w="682"/>
        <w:gridCol w:w="627"/>
        <w:gridCol w:w="1418"/>
      </w:tblGrid>
      <w:tr>
        <w:tblPrEx>
          <w:shd w:val="clear" w:color="auto" w:fill="auto"/>
          <w:tblCellMar>
            <w:top w:w="0" w:type="dxa"/>
            <w:left w:w="108" w:type="dxa"/>
            <w:bottom w:w="0" w:type="dxa"/>
            <w:right w:w="108" w:type="dxa"/>
          </w:tblCellMar>
        </w:tblPrEx>
        <w:trPr>
          <w:trHeight w:val="66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一级</w:t>
            </w:r>
            <w:r>
              <w:rPr>
                <w:rFonts w:hint="eastAsia" w:ascii="楷体_GB2312" w:hAnsi="宋体" w:eastAsia="楷体_GB2312" w:cs="楷体_GB2312"/>
                <w:b/>
                <w:bCs/>
                <w:i w:val="0"/>
                <w:iCs w:val="0"/>
                <w:color w:val="auto"/>
                <w:kern w:val="0"/>
                <w:sz w:val="18"/>
                <w:szCs w:val="18"/>
                <w:highlight w:val="none"/>
                <w:u w:val="none"/>
                <w:lang w:val="en-US" w:eastAsia="zh-CN" w:bidi="ar"/>
              </w:rPr>
              <w:br w:type="textWrapping"/>
            </w:r>
            <w:r>
              <w:rPr>
                <w:rFonts w:hint="eastAsia" w:ascii="楷体_GB2312" w:hAnsi="宋体" w:eastAsia="楷体_GB2312" w:cs="楷体_GB2312"/>
                <w:b/>
                <w:bCs/>
                <w:i w:val="0"/>
                <w:iCs w:val="0"/>
                <w:color w:val="auto"/>
                <w:kern w:val="0"/>
                <w:sz w:val="18"/>
                <w:szCs w:val="18"/>
                <w:highlight w:val="none"/>
                <w:u w:val="none"/>
                <w:lang w:val="en-US" w:eastAsia="zh-CN" w:bidi="ar"/>
              </w:rPr>
              <w:t>指标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二级</w:t>
            </w:r>
            <w:r>
              <w:rPr>
                <w:rFonts w:hint="eastAsia" w:ascii="楷体_GB2312" w:hAnsi="宋体" w:eastAsia="楷体_GB2312" w:cs="楷体_GB2312"/>
                <w:b/>
                <w:bCs/>
                <w:i w:val="0"/>
                <w:iCs w:val="0"/>
                <w:color w:val="auto"/>
                <w:kern w:val="0"/>
                <w:sz w:val="18"/>
                <w:szCs w:val="18"/>
                <w:highlight w:val="none"/>
                <w:u w:val="none"/>
                <w:lang w:val="en-US" w:eastAsia="zh-CN" w:bidi="ar"/>
              </w:rPr>
              <w:br w:type="textWrapping"/>
            </w:r>
            <w:r>
              <w:rPr>
                <w:rFonts w:hint="eastAsia" w:ascii="楷体_GB2312" w:hAnsi="宋体" w:eastAsia="楷体_GB2312" w:cs="楷体_GB2312"/>
                <w:b/>
                <w:bCs/>
                <w:i w:val="0"/>
                <w:iCs w:val="0"/>
                <w:color w:val="auto"/>
                <w:kern w:val="0"/>
                <w:sz w:val="18"/>
                <w:szCs w:val="18"/>
                <w:highlight w:val="none"/>
                <w:u w:val="none"/>
                <w:lang w:val="en-US" w:eastAsia="zh-CN" w:bidi="ar"/>
              </w:rPr>
              <w:t>指标</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三级指标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四级指标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权重</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指标解释</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标杆值</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评分标准</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得分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得分率</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扣分或得分情况说明</w:t>
            </w:r>
          </w:p>
        </w:tc>
      </w:tr>
      <w:tr>
        <w:tblPrEx>
          <w:tblCellMar>
            <w:top w:w="0" w:type="dxa"/>
            <w:left w:w="108" w:type="dxa"/>
            <w:bottom w:w="0" w:type="dxa"/>
            <w:right w:w="108" w:type="dxa"/>
          </w:tblCellMar>
        </w:tblPrEx>
        <w:trPr>
          <w:trHeight w:val="144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投   入（10分）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目标</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设定（5）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绩效目标合理性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部门（单位）所设立的整体绩效目标依据是否充分，是否符合客观实际，用以反映和考核部门（单位）整体绩效目标与部门履职、年度工作任务的相符性情况。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合理</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①是否符合国家法律法规、国民经济和社会发展总体规划；</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②是否符合部门“三定”方案确定的职责；</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③是否符合部门制定的中长期实施规划；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④是否符合市委市政府的决策部署和工作要求。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4项各占1/4权重分，有一项不满足，则扣除相应权重分。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合理</w:t>
            </w:r>
          </w:p>
        </w:tc>
      </w:tr>
      <w:tr>
        <w:tblPrEx>
          <w:tblCellMar>
            <w:top w:w="0" w:type="dxa"/>
            <w:left w:w="108" w:type="dxa"/>
            <w:bottom w:w="0" w:type="dxa"/>
            <w:right w:w="108" w:type="dxa"/>
          </w:tblCellMar>
        </w:tblPrEx>
        <w:trPr>
          <w:trHeight w:val="146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绩效指标明确性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部门（单位）依据整体绩效目标所设定的绩效指标是否清晰、细化、可衡量，用以反映和考核部门（单位）整体绩效目标的明细化情况。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明确</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①是否将部门整体的绩效目标细化分解为具体的工作任务；</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②是否通过清晰、可衡量的指标值予以体现。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③是否与部门年度的任务数或计划数相对应；</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④是否与本年度部门预算资金相匹配。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4项各占1/4权重分，有一项不满足，则扣除相应权重分。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lang w:eastAsia="zh-CN"/>
              </w:rPr>
            </w:pPr>
            <w:r>
              <w:rPr>
                <w:rFonts w:hint="eastAsia" w:ascii="楷体_GB2312" w:hAnsi="宋体" w:eastAsia="楷体_GB2312" w:cs="楷体_GB2312"/>
                <w:i w:val="0"/>
                <w:iCs w:val="0"/>
                <w:color w:val="auto"/>
                <w:sz w:val="18"/>
                <w:szCs w:val="18"/>
                <w:highlight w:val="none"/>
                <w:u w:val="none"/>
                <w:lang w:eastAsia="zh-CN"/>
              </w:rPr>
              <w:t>明确</w:t>
            </w:r>
          </w:p>
        </w:tc>
      </w:tr>
      <w:tr>
        <w:tblPrEx>
          <w:tblCellMar>
            <w:top w:w="0" w:type="dxa"/>
            <w:left w:w="108" w:type="dxa"/>
            <w:bottom w:w="0" w:type="dxa"/>
            <w:right w:w="108" w:type="dxa"/>
          </w:tblCellMar>
        </w:tblPrEx>
        <w:trPr>
          <w:trHeight w:val="148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编制（5）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预算编制合理性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部门（单位）所编制部门预算是否合理，是否与部门（单位）绩效目标相匹配，用以反映和考核部门（单位）预算测算过程及编制情况。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合理</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①预算编制经过科学论证；</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②预算内容与部门绩效目标匹配；</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③预算额度测算依据充分，按照标准编制；</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④预算确定的项目投资额或资金量与工作任务相匹配。</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4项各占1/4权重分，每有一项不满足，则扣除相应权重分。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合理</w:t>
            </w:r>
          </w:p>
        </w:tc>
      </w:tr>
      <w:tr>
        <w:tblPrEx>
          <w:tblCellMar>
            <w:top w:w="0" w:type="dxa"/>
            <w:left w:w="108" w:type="dxa"/>
            <w:bottom w:w="0" w:type="dxa"/>
            <w:right w:w="108" w:type="dxa"/>
          </w:tblCellMar>
        </w:tblPrEx>
        <w:trPr>
          <w:trHeight w:val="145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决策程序规范性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部门（单位）预算是否按程序进行评审，是否经过部门集体研究后确定，用以反映和考核部门（单位）预算决策程序的规范性。</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规范</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①对需要进行评审的项目，是否按程序组织预算评审；</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②是否经过部门（单位）党组会或局长办公会集体研究决策。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2项各占1/2权重分，有一项不满足，则扣除相应权重分。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规范</w:t>
            </w:r>
          </w:p>
        </w:tc>
      </w:tr>
      <w:tr>
        <w:tblPrEx>
          <w:tblCellMar>
            <w:top w:w="0" w:type="dxa"/>
            <w:left w:w="108" w:type="dxa"/>
            <w:bottom w:w="0" w:type="dxa"/>
            <w:right w:w="108" w:type="dxa"/>
          </w:tblCellMar>
        </w:tblPrEx>
        <w:trPr>
          <w:trHeight w:val="146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过   程（30分）</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执行（15）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预算执行率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部门（单位）本年度预算执行数与预算数的比率，用以反映和考核部门（单位）预算执行程度。                                         预算执行率=（预算执行数/调整后预算数）×100%。</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预算执行数：部门（单位）本年度实际执行的预算数。</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调整后预算数：年初预算批复数+预算调整数。</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预算执行率达100%，则得满分。每降低1%扣5%权重分，扣完为止。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1.93</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64.33%</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2020年决算金额37409.40万元，调整预算金额40282.91万元，预算执行率92.87%</w:t>
            </w:r>
          </w:p>
        </w:tc>
      </w:tr>
      <w:tr>
        <w:tblPrEx>
          <w:tblCellMar>
            <w:top w:w="0" w:type="dxa"/>
            <w:left w:w="108" w:type="dxa"/>
            <w:bottom w:w="0" w:type="dxa"/>
            <w:right w:w="108" w:type="dxa"/>
          </w:tblCellMar>
        </w:tblPrEx>
        <w:trPr>
          <w:trHeight w:val="9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预算调整情况</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部门（单位）本年度预算执行过程中，是否存在未经批准擅自调整预算支出内容的情况。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无擅自调整</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不存在擅自调整支出内容情况的，得满分，否则不得分。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无擅自调整</w:t>
            </w:r>
          </w:p>
        </w:tc>
      </w:tr>
      <w:tr>
        <w:tblPrEx>
          <w:tblCellMar>
            <w:top w:w="0" w:type="dxa"/>
            <w:left w:w="108" w:type="dxa"/>
            <w:bottom w:w="0" w:type="dxa"/>
            <w:right w:w="108" w:type="dxa"/>
          </w:tblCellMar>
        </w:tblPrEx>
        <w:trPr>
          <w:trHeight w:val="1205"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支付进度率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6"/>
                <w:szCs w:val="16"/>
                <w:highlight w:val="none"/>
                <w:u w:val="none"/>
                <w:lang w:val="en-US" w:eastAsia="zh-CN" w:bidi="ar"/>
              </w:rPr>
              <w:t>重点评价部门（单位）专项资金实际支付进度与既定支付进度的比率，用以反映和考核部门（单位）预算执行的及时性和均衡性程度。支付进度率=（实际支付进度/既定支付进度）×100%。</w:t>
            </w:r>
            <w:r>
              <w:rPr>
                <w:rFonts w:hint="eastAsia" w:ascii="楷体_GB2312" w:hAnsi="宋体" w:eastAsia="楷体_GB2312" w:cs="楷体_GB2312"/>
                <w:i w:val="0"/>
                <w:iCs w:val="0"/>
                <w:color w:val="auto"/>
                <w:kern w:val="0"/>
                <w:sz w:val="16"/>
                <w:szCs w:val="16"/>
                <w:highlight w:val="none"/>
                <w:u w:val="none"/>
                <w:lang w:val="en-US" w:eastAsia="zh-CN" w:bidi="ar"/>
              </w:rPr>
              <w:br w:type="textWrapping"/>
            </w:r>
            <w:r>
              <w:rPr>
                <w:rFonts w:hint="eastAsia" w:ascii="楷体_GB2312" w:hAnsi="宋体" w:eastAsia="楷体_GB2312" w:cs="楷体_GB2312"/>
                <w:i w:val="0"/>
                <w:iCs w:val="0"/>
                <w:color w:val="auto"/>
                <w:kern w:val="0"/>
                <w:sz w:val="16"/>
                <w:szCs w:val="16"/>
                <w:highlight w:val="none"/>
                <w:u w:val="none"/>
                <w:lang w:val="en-US" w:eastAsia="zh-CN" w:bidi="ar"/>
              </w:rPr>
              <w:t>实际支付进度：部门（单位）在3月底、6月底、9月底和12月底的专项资金支出预算执行总数与年度支出预算数的比率。</w:t>
            </w:r>
            <w:r>
              <w:rPr>
                <w:rFonts w:hint="eastAsia" w:ascii="楷体_GB2312" w:hAnsi="宋体" w:eastAsia="楷体_GB2312" w:cs="楷体_GB2312"/>
                <w:i w:val="0"/>
                <w:iCs w:val="0"/>
                <w:color w:val="auto"/>
                <w:kern w:val="0"/>
                <w:sz w:val="16"/>
                <w:szCs w:val="16"/>
                <w:highlight w:val="none"/>
                <w:u w:val="none"/>
                <w:lang w:val="en-US" w:eastAsia="zh-CN" w:bidi="ar"/>
              </w:rPr>
              <w:br w:type="textWrapping"/>
            </w:r>
            <w:r>
              <w:rPr>
                <w:rFonts w:hint="eastAsia" w:ascii="楷体_GB2312" w:hAnsi="宋体" w:eastAsia="楷体_GB2312" w:cs="楷体_GB2312"/>
                <w:i w:val="0"/>
                <w:iCs w:val="0"/>
                <w:color w:val="auto"/>
                <w:kern w:val="0"/>
                <w:sz w:val="16"/>
                <w:szCs w:val="16"/>
                <w:highlight w:val="none"/>
                <w:u w:val="none"/>
                <w:lang w:val="en-US" w:eastAsia="zh-CN" w:bidi="ar"/>
              </w:rPr>
              <w:t xml:space="preserve">既定支付进度：3月底、6月底、9月底和12月底，专项资金应分别达到33%、70%、85%和100%的执行进度。支付进度率取三个月份的平均值。   </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支付进度率达100%，则得满分。每降低1%扣5%权重分，扣完为止。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1.71</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57%</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2020年市财政批复环保专项资金11025万元，实际执行10078.61万元，支付进度率91.42%。</w:t>
            </w:r>
          </w:p>
        </w:tc>
      </w:tr>
      <w:tr>
        <w:tblPrEx>
          <w:tblCellMar>
            <w:top w:w="0" w:type="dxa"/>
            <w:left w:w="108" w:type="dxa"/>
            <w:bottom w:w="0" w:type="dxa"/>
            <w:right w:w="108" w:type="dxa"/>
          </w:tblCellMar>
        </w:tblPrEx>
        <w:trPr>
          <w:trHeight w:val="1460" w:hRule="atLeast"/>
        </w:trPr>
        <w:tc>
          <w:tcPr>
            <w:tcW w:w="191" w:type="pct"/>
            <w:vMerge w:val="continue"/>
            <w:tcBorders>
              <w:top w:val="single" w:color="000000"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上年结转资金执行率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 xml:space="preserve">部门（单位）上年度结转资金实际执行数与结转总额的比率，用以反映和考核部门（单位）对上年度结转资金的实际执行情况。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上年结转资金执行率=结转执行数/结转总额×100%。</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结转总额：部门（单位）本年度的结转资金总额。</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上年结转资金执行率达100%，则得满分。每降低1%扣5%权重分，扣完为止。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结转资金执行率=（3442.52-2873.51）/3442.52=16.53%</w:t>
            </w:r>
          </w:p>
        </w:tc>
      </w:tr>
      <w:tr>
        <w:tblPrEx>
          <w:tblCellMar>
            <w:top w:w="0" w:type="dxa"/>
            <w:left w:w="108" w:type="dxa"/>
            <w:bottom w:w="0" w:type="dxa"/>
            <w:right w:w="108" w:type="dxa"/>
          </w:tblCellMar>
        </w:tblPrEx>
        <w:trPr>
          <w:trHeight w:val="960" w:hRule="atLeast"/>
        </w:trPr>
        <w:tc>
          <w:tcPr>
            <w:tcW w:w="191" w:type="pct"/>
            <w:vMerge w:val="restart"/>
            <w:tcBorders>
              <w:top w:val="single" w:color="auto" w:sz="4" w:space="0"/>
              <w:left w:val="single" w:color="000000"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过   程（接上页）</w:t>
            </w:r>
          </w:p>
        </w:tc>
        <w:tc>
          <w:tcPr>
            <w:tcW w:w="250"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执行（接上页）</w:t>
            </w:r>
          </w:p>
        </w:tc>
        <w:tc>
          <w:tcPr>
            <w:tcW w:w="26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“三公经费”变动情况</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部门（单位）本年度“三公经费”决算数与上年度“三公经费”决算数对比情况，用以反映和考核部门（单位）对控制重点行政成本的努力程度。</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无变动</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本年度“三公经费”总额＜上年度“三公经费”总额，得2分；等于得1分；大于不得分。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2020年“三公经费”决算数204.52万元＞2019年“三公经费”决算数166.03万元</w:t>
            </w:r>
          </w:p>
        </w:tc>
      </w:tr>
      <w:tr>
        <w:tblPrEx>
          <w:tblCellMar>
            <w:top w:w="0" w:type="dxa"/>
            <w:left w:w="108" w:type="dxa"/>
            <w:bottom w:w="0" w:type="dxa"/>
            <w:right w:w="108" w:type="dxa"/>
          </w:tblCellMar>
        </w:tblPrEx>
        <w:trPr>
          <w:trHeight w:val="18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政府采购执行率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 xml:space="preserve">部门（单位）本年度实际政府采购金额与年初政府采购预算的比率，用以反映和考核部门（单位）政府采购预算执行情况。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政府采购执行率=（实际政府采购金额/政府采购预算数）×100%；</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政府采购预算：采购机关根据事业发展计划和行政任务编制的、并经过规定程序批准的年度政府采购计划。 </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政府采购执行率达95%以上，则得满分。每降低1%扣5%权重分，扣完为止。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6"/>
                <w:szCs w:val="16"/>
                <w:highlight w:val="none"/>
                <w:u w:val="none"/>
              </w:rPr>
            </w:pPr>
            <w:r>
              <w:rPr>
                <w:rFonts w:hint="eastAsia" w:ascii="楷体_GB2312" w:hAnsi="宋体" w:eastAsia="楷体_GB2312" w:cs="楷体_GB2312"/>
                <w:i w:val="0"/>
                <w:iCs w:val="0"/>
                <w:color w:val="auto"/>
                <w:kern w:val="0"/>
                <w:sz w:val="16"/>
                <w:szCs w:val="16"/>
                <w:highlight w:val="none"/>
                <w:u w:val="none"/>
                <w:lang w:val="en-US" w:eastAsia="zh-CN" w:bidi="ar"/>
              </w:rPr>
              <w:t>政府采购执行率=（17918.05万元/11723.35万元）*100%=152.84%，超出年初预算的6194.70万元为中央和省级部分资金涉及政府采购</w:t>
            </w:r>
          </w:p>
        </w:tc>
      </w:tr>
      <w:tr>
        <w:tblPrEx>
          <w:tblCellMar>
            <w:top w:w="0" w:type="dxa"/>
            <w:left w:w="108" w:type="dxa"/>
            <w:bottom w:w="0" w:type="dxa"/>
            <w:right w:w="108" w:type="dxa"/>
          </w:tblCellMar>
        </w:tblPrEx>
        <w:trPr>
          <w:trHeight w:val="1949"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管理（9）</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管理制度健全性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部门（单位）为加强预算管理、规范财务行为而制定的管理制度是否健全完整，用以反映和考核部门（单位）预算管理制度对完成主要职责或促进事业发展的保障情况。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健全</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①是否已制定或具有预算资金管理办法、内部财务管理制度、会计核算制度等管理制度；</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②相关管理制度是否合法、合规、完整；</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③相关管理制度是否得到有效执行。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3项各占1/3权重分，有一项不满足，则扣除相应权重分。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合规</w:t>
            </w:r>
          </w:p>
        </w:tc>
      </w:tr>
      <w:tr>
        <w:tblPrEx>
          <w:tblCellMar>
            <w:top w:w="0" w:type="dxa"/>
            <w:left w:w="108" w:type="dxa"/>
            <w:bottom w:w="0" w:type="dxa"/>
            <w:right w:w="108" w:type="dxa"/>
          </w:tblCellMar>
        </w:tblPrEx>
        <w:trPr>
          <w:trHeight w:val="1960" w:hRule="atLeast"/>
        </w:trPr>
        <w:tc>
          <w:tcPr>
            <w:tcW w:w="191" w:type="pct"/>
            <w:vMerge w:val="continue"/>
            <w:tcBorders>
              <w:top w:val="single" w:color="000000"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资金使用合规性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部门（单位）使用预算资金是否符合相关的预算财务管理制度的规定，用以反映和考核部门（单位）预算资金的规范运行情况。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合规</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①是否符合国家财经法规和财务管理制度规定以及有关专项资金管理办法的规定；</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②资金的拨付是否有完整的审批程序和手续；</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③项目的重大开支是否经过评估论证；</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④是否符合部门预算批复的用途；</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⑤是否存在截留、挤占、挪用、虚列支出等情况。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5项各占1/5权重分，有一项不满足，则扣除相应权重分。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合理</w:t>
            </w:r>
          </w:p>
        </w:tc>
      </w:tr>
      <w:tr>
        <w:tblPrEx>
          <w:tblCellMar>
            <w:top w:w="0" w:type="dxa"/>
            <w:left w:w="108" w:type="dxa"/>
            <w:bottom w:w="0" w:type="dxa"/>
            <w:right w:w="108" w:type="dxa"/>
          </w:tblCellMar>
        </w:tblPrEx>
        <w:trPr>
          <w:trHeight w:val="1360" w:hRule="atLeast"/>
        </w:trPr>
        <w:tc>
          <w:tcPr>
            <w:tcW w:w="191" w:type="pct"/>
            <w:vMerge w:val="restart"/>
            <w:tcBorders>
              <w:top w:val="single" w:color="auto" w:sz="4" w:space="0"/>
              <w:left w:val="single" w:color="000000"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过   程（接上页）</w:t>
            </w:r>
          </w:p>
        </w:tc>
        <w:tc>
          <w:tcPr>
            <w:tcW w:w="250"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预算</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管理（接上页）</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预决算信息公开性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部门（单位）是否按照政府信息公开有关规定公开相关预决算信息，用以反映和考核部门（单位）预决算管理的公开透明情况。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公开</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①是否按规定内容、时限公开预决算信息；</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②是否按规定及时公开青办发〔2016〕24号文件中所规定的与部门政府采购、资产管理、绩效管理等相关的信息。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2项各占1/2权重分，有一项不满足，则扣除相应权重分。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市生态环境局按规定内容、时限统一在“青岛政务网”公开预决算信息</w:t>
            </w:r>
          </w:p>
        </w:tc>
      </w:tr>
      <w:tr>
        <w:tblPrEx>
          <w:tblCellMar>
            <w:top w:w="0" w:type="dxa"/>
            <w:left w:w="108" w:type="dxa"/>
            <w:bottom w:w="0" w:type="dxa"/>
            <w:right w:w="108" w:type="dxa"/>
          </w:tblCellMar>
        </w:tblPrEx>
        <w:trPr>
          <w:trHeight w:val="1082"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基础信息完善性</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部门（单位）基础信息是否完善，用以反映和考核基础信息对预算管理工作的支撑情况。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完整</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①基础数据信息和会计信息资料是否真实；</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②基础数据信息和会计信息资料是否完整；</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③基础数据信息和会计信息资料是否准确。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3项各占1/3权重分，有一项不满足，则扣除相应权重分。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市生态环境基础数据信息和会计信息均通过信息化软件管理，基础数据信息通过财政部门基础信息库统一管理，会计信息通过专业财务软件登记核算管理</w:t>
            </w:r>
          </w:p>
        </w:tc>
      </w:tr>
      <w:tr>
        <w:tblPrEx>
          <w:tblCellMar>
            <w:top w:w="0" w:type="dxa"/>
            <w:left w:w="108" w:type="dxa"/>
            <w:bottom w:w="0" w:type="dxa"/>
            <w:right w:w="108" w:type="dxa"/>
          </w:tblCellMar>
        </w:tblPrEx>
        <w:trPr>
          <w:trHeight w:val="120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资产</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管理（6）</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固定资产利用率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 xml:space="preserve">部门（单位）固定资产利用率用以反映固定资产的使用程度，反映资产合理配置的情况。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固定资产利用率=（资产实际利用时间/资产计划利用时间）×100%。</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固定资产利用率达100%，则得满分。每降低1%扣5%权重分，扣完为止。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2.34</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78%</w:t>
            </w:r>
          </w:p>
        </w:tc>
        <w:tc>
          <w:tcPr>
            <w:tcW w:w="51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市生态环境局关于报送资产清查工作报告的函，闲置818.34万元，占账面固定资产总额的4.4%，固定资产利用率95.6%</w:t>
            </w:r>
          </w:p>
        </w:tc>
      </w:tr>
      <w:tr>
        <w:tblPrEx>
          <w:tblCellMar>
            <w:top w:w="0" w:type="dxa"/>
            <w:left w:w="108" w:type="dxa"/>
            <w:bottom w:w="0" w:type="dxa"/>
            <w:right w:w="108" w:type="dxa"/>
          </w:tblCellMar>
        </w:tblPrEx>
        <w:trPr>
          <w:trHeight w:val="202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资产管理规范性</w:t>
            </w:r>
          </w:p>
        </w:tc>
        <w:tc>
          <w:tcPr>
            <w:tcW w:w="40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97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部门（单位）为加强资产管理、规范资产管理行为而制定的管理制度是否健全完整；资产是否使用合规、处置规范、收入及时足额上缴，用以反映和考核部门（单位）资产使用运行情况。</w:t>
            </w:r>
          </w:p>
        </w:tc>
        <w:tc>
          <w:tcPr>
            <w:tcW w:w="18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规范</w:t>
            </w:r>
          </w:p>
        </w:tc>
        <w:tc>
          <w:tcPr>
            <w:tcW w:w="154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 xml:space="preserve">①是否已制定资产管理制度，相关资产管理制度是否合法、合规、完整；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②相关资产管理制度是否得到有效执行；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③资产配置是否合理，是否符合资产配置标准；</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④资产使用、处置是否规范，是否符合相关制度规定；</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⑤资产有偿使用收入和处置收入是否按规定及时足额上缴。                                                 5项各占1/5权重分，有一项不满足，则扣除相应权重分。</w:t>
            </w:r>
          </w:p>
        </w:tc>
        <w:tc>
          <w:tcPr>
            <w:tcW w:w="24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w:t>
            </w:r>
          </w:p>
        </w:tc>
        <w:tc>
          <w:tcPr>
            <w:tcW w:w="227"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制定《青岛市生态环境局固定资产管理办法》，编制形成了市生态环境局资产清查情况报告、市生态环境局资产清查情况报表</w:t>
            </w:r>
          </w:p>
        </w:tc>
      </w:tr>
      <w:tr>
        <w:tblPrEx>
          <w:tblCellMar>
            <w:top w:w="0" w:type="dxa"/>
            <w:left w:w="108" w:type="dxa"/>
            <w:bottom w:w="0" w:type="dxa"/>
            <w:right w:w="108" w:type="dxa"/>
          </w:tblCellMar>
        </w:tblPrEx>
        <w:trPr>
          <w:trHeight w:val="2160" w:hRule="atLeast"/>
        </w:trPr>
        <w:tc>
          <w:tcPr>
            <w:tcW w:w="191" w:type="pct"/>
            <w:vMerge w:val="restart"/>
            <w:tcBorders>
              <w:top w:val="single" w:color="auto" w:sz="4" w:space="0"/>
              <w:left w:val="single" w:color="auto"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20"/>
                <w:szCs w:val="20"/>
                <w:highlight w:val="none"/>
                <w:u w:val="none"/>
              </w:rPr>
            </w:pPr>
            <w:r>
              <w:rPr>
                <w:rFonts w:hint="eastAsia" w:ascii="楷体_GB2312" w:hAnsi="宋体" w:eastAsia="楷体_GB2312" w:cs="楷体_GB2312"/>
                <w:i w:val="0"/>
                <w:iCs w:val="0"/>
                <w:color w:val="auto"/>
                <w:kern w:val="0"/>
                <w:sz w:val="20"/>
                <w:szCs w:val="20"/>
                <w:highlight w:val="none"/>
                <w:u w:val="none"/>
                <w:lang w:val="en-US" w:eastAsia="zh-CN" w:bidi="ar"/>
              </w:rPr>
              <w:t>产   出（30分）</w:t>
            </w:r>
          </w:p>
        </w:tc>
        <w:tc>
          <w:tcPr>
            <w:tcW w:w="25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职责履行（30）</w:t>
            </w:r>
          </w:p>
        </w:tc>
        <w:tc>
          <w:tcPr>
            <w:tcW w:w="269"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实际完成率（7）</w:t>
            </w:r>
          </w:p>
        </w:tc>
        <w:tc>
          <w:tcPr>
            <w:tcW w:w="40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w:t>
            </w:r>
          </w:p>
        </w:tc>
        <w:tc>
          <w:tcPr>
            <w:tcW w:w="975"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 xml:space="preserve">部门（单位）履行职责而实际完成工作数与计划工作数的比率，用以反映和考核部门（单位）履职工作任务目标的实现程度。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实际完成率=（实际完成工作数/计划工作数）×100%                                       实际完成工作数：一定时期（年度或规划期）内部（单位）实际完成工作任务数量。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计划工作数：部门（单位）整体绩效目标确定的一定时期（年度或规划）内预计完成工作任务的数量。</w:t>
            </w:r>
          </w:p>
        </w:tc>
        <w:tc>
          <w:tcPr>
            <w:tcW w:w="18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①十三五生态环境保护规划及2020年工作要点任务完成率；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②中央污染防治资金项目完成率；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③省级污染防治资金项目完成率；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 xml:space="preserve">④市级环保资金项目完成率；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①占2.5分，②③④各占1.5分，有一项不满足，则扣除相应权重分。</w:t>
            </w:r>
          </w:p>
        </w:tc>
        <w:tc>
          <w:tcPr>
            <w:tcW w:w="247"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楷体_GB2312" w:hAnsi="宋体" w:eastAsia="楷体_GB2312" w:cs="楷体_GB2312"/>
                <w:i w:val="0"/>
                <w:iCs w:val="0"/>
                <w:color w:val="auto"/>
                <w:sz w:val="18"/>
                <w:szCs w:val="18"/>
                <w:highlight w:val="none"/>
                <w:u w:val="none"/>
                <w:lang w:val="en-US"/>
              </w:rPr>
            </w:pPr>
            <w:r>
              <w:rPr>
                <w:rFonts w:hint="eastAsia" w:ascii="楷体_GB2312" w:hAnsi="宋体" w:eastAsia="楷体_GB2312" w:cs="楷体_GB2312"/>
                <w:i w:val="0"/>
                <w:iCs w:val="0"/>
                <w:color w:val="auto"/>
                <w:kern w:val="0"/>
                <w:sz w:val="18"/>
                <w:szCs w:val="18"/>
                <w:highlight w:val="none"/>
                <w:u w:val="none"/>
                <w:lang w:val="en-US" w:eastAsia="zh-CN" w:bidi="ar"/>
              </w:rPr>
              <w:t>2.5</w:t>
            </w:r>
          </w:p>
        </w:tc>
        <w:tc>
          <w:tcPr>
            <w:tcW w:w="227" w:type="pc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35.71%</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6"/>
                <w:szCs w:val="16"/>
                <w:highlight w:val="none"/>
                <w:u w:val="none"/>
                <w:lang w:val="en-US" w:eastAsia="zh-CN" w:bidi="ar"/>
              </w:rPr>
            </w:pPr>
            <w:r>
              <w:rPr>
                <w:rFonts w:hint="eastAsia" w:ascii="楷体_GB2312" w:hAnsi="宋体" w:eastAsia="楷体_GB2312" w:cs="楷体_GB2312"/>
                <w:i w:val="0"/>
                <w:iCs w:val="0"/>
                <w:color w:val="auto"/>
                <w:kern w:val="0"/>
                <w:sz w:val="16"/>
                <w:szCs w:val="16"/>
                <w:highlight w:val="none"/>
                <w:u w:val="none"/>
                <w:lang w:val="en-US" w:eastAsia="zh-CN" w:bidi="ar"/>
              </w:rPr>
              <w:t xml:space="preserve">①4项主要污染物年均浓度达到国家、省下达指标、完成833个建制村环境综合整治，已完成；  </w:t>
            </w:r>
          </w:p>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6"/>
                <w:szCs w:val="16"/>
                <w:highlight w:val="none"/>
                <w:u w:val="none"/>
                <w:lang w:val="en-US" w:eastAsia="zh-CN" w:bidi="ar"/>
              </w:rPr>
            </w:pPr>
            <w:r>
              <w:rPr>
                <w:rFonts w:hint="eastAsia" w:ascii="楷体_GB2312" w:hAnsi="宋体" w:eastAsia="楷体_GB2312" w:cs="楷体_GB2312"/>
                <w:i w:val="0"/>
                <w:iCs w:val="0"/>
                <w:color w:val="auto"/>
                <w:kern w:val="0"/>
                <w:sz w:val="16"/>
                <w:szCs w:val="16"/>
                <w:highlight w:val="none"/>
                <w:u w:val="none"/>
                <w:lang w:val="en-US" w:eastAsia="zh-CN" w:bidi="ar"/>
              </w:rPr>
              <w:t xml:space="preserve">②中央污染防治资金，共支持36个项目，完成项目数量30个，完成率83.33%；                               </w:t>
            </w:r>
          </w:p>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6"/>
                <w:szCs w:val="16"/>
                <w:highlight w:val="none"/>
                <w:u w:val="none"/>
                <w:lang w:val="en-US" w:eastAsia="zh-CN" w:bidi="ar"/>
              </w:rPr>
            </w:pPr>
            <w:r>
              <w:rPr>
                <w:rFonts w:hint="eastAsia" w:ascii="楷体_GB2312" w:hAnsi="宋体" w:eastAsia="楷体_GB2312" w:cs="楷体_GB2312"/>
                <w:i w:val="0"/>
                <w:iCs w:val="0"/>
                <w:color w:val="auto"/>
                <w:kern w:val="0"/>
                <w:sz w:val="16"/>
                <w:szCs w:val="16"/>
                <w:highlight w:val="none"/>
                <w:u w:val="none"/>
                <w:lang w:val="en-US" w:eastAsia="zh-CN" w:bidi="ar"/>
              </w:rPr>
              <w:t>③省级污染防治资金，共支持12个项目，实际完成11个，完成率91.67%；</w:t>
            </w:r>
          </w:p>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6"/>
                <w:szCs w:val="16"/>
                <w:highlight w:val="none"/>
                <w:u w:val="none"/>
                <w:lang w:val="en-US" w:eastAsia="zh-CN" w:bidi="ar"/>
              </w:rPr>
              <w:t>④李沧区场地土壤污染治理与修复项目未开展。</w:t>
            </w:r>
          </w:p>
        </w:tc>
      </w:tr>
      <w:tr>
        <w:tblPrEx>
          <w:tblCellMar>
            <w:top w:w="0" w:type="dxa"/>
            <w:left w:w="108" w:type="dxa"/>
            <w:bottom w:w="0" w:type="dxa"/>
            <w:right w:w="108" w:type="dxa"/>
          </w:tblCellMar>
        </w:tblPrEx>
        <w:trPr>
          <w:trHeight w:val="2266" w:hRule="atLeast"/>
        </w:trPr>
        <w:tc>
          <w:tcPr>
            <w:tcW w:w="191" w:type="pct"/>
            <w:vMerge w:val="continue"/>
            <w:tcBorders>
              <w:top w:val="single" w:color="auto" w:sz="4" w:space="0"/>
              <w:left w:val="single" w:color="auto"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完成及时率（7）</w:t>
            </w:r>
          </w:p>
        </w:tc>
        <w:tc>
          <w:tcPr>
            <w:tcW w:w="4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w:t>
            </w:r>
          </w:p>
        </w:tc>
        <w:tc>
          <w:tcPr>
            <w:tcW w:w="97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 xml:space="preserve">部门（单位）在规定时限内及时完成的实际工作数与计划工作数的比率，用以反映和考核部门履职时效目标的实现程度。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实际及时率=（及时完成实际工作数/计划工作数）×100%                                 及时完成实际工作数：部门（单位）按照整体绩效目标确定的时限实际完成的工作任务数量。</w:t>
            </w:r>
          </w:p>
        </w:tc>
        <w:tc>
          <w:tcPr>
            <w:tcW w:w="18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完成及时率达100%，则得满分。每降低1%扣5%权重分，扣完为止。</w:t>
            </w:r>
          </w:p>
        </w:tc>
        <w:tc>
          <w:tcPr>
            <w:tcW w:w="24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w:t>
            </w:r>
          </w:p>
        </w:tc>
        <w:tc>
          <w:tcPr>
            <w:tcW w:w="22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完成及时率100%</w:t>
            </w:r>
          </w:p>
        </w:tc>
      </w:tr>
      <w:tr>
        <w:tblPrEx>
          <w:tblCellMar>
            <w:top w:w="0" w:type="dxa"/>
            <w:left w:w="108" w:type="dxa"/>
            <w:bottom w:w="0" w:type="dxa"/>
            <w:right w:w="108" w:type="dxa"/>
          </w:tblCellMar>
        </w:tblPrEx>
        <w:trPr>
          <w:trHeight w:val="2873" w:hRule="atLeast"/>
        </w:trPr>
        <w:tc>
          <w:tcPr>
            <w:tcW w:w="191" w:type="pct"/>
            <w:vMerge w:val="continue"/>
            <w:tcBorders>
              <w:top w:val="single" w:color="auto" w:sz="4" w:space="0"/>
              <w:left w:val="single" w:color="auto"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质量达标率（7）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 xml:space="preserve">达到质量标准（绩效标准值、政策标准）的实际工作数与计划工作数的比率，用以反映和考核部门履职质量目标的实现程度。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质量达标率=（质量达标实际工作数/计划工作数）×100%                                  质量达标实际工作数：一定时期（年度或规划期）内部门（单位）实际完成工作数中达到部门绩效目标要求（绩效标准值）的工作任务数量。</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根据十三五生态环境保护规划及2020年工作要点</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①危险废物规范化管理抽查合格率＞90%；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②污染地块安全利用率＞90%；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③全市地表水水质优良比例≥60%。</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3项各占1/3权重分，有一项不满足，则扣除相应权重分。 </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 xml:space="preserve">①危险废物规范化管理抽查合格率100%（完成）；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 xml:space="preserve">②污染地块安全利用率100%（完成）；              </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③全市地表水水质优良比例62.77%（完成）。</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3项指标均已完成，质量完成率100%</w:t>
            </w:r>
          </w:p>
        </w:tc>
      </w:tr>
      <w:tr>
        <w:tblPrEx>
          <w:tblCellMar>
            <w:top w:w="0" w:type="dxa"/>
            <w:left w:w="108" w:type="dxa"/>
            <w:bottom w:w="0" w:type="dxa"/>
            <w:right w:w="108" w:type="dxa"/>
          </w:tblCellMar>
        </w:tblPrEx>
        <w:trPr>
          <w:trHeight w:val="2874" w:hRule="atLeast"/>
        </w:trPr>
        <w:tc>
          <w:tcPr>
            <w:tcW w:w="191" w:type="pct"/>
            <w:tcBorders>
              <w:top w:val="single" w:color="auto" w:sz="4" w:space="0"/>
              <w:left w:val="single" w:color="auto"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lang w:eastAsia="zh-CN"/>
              </w:rPr>
            </w:pPr>
            <w:r>
              <w:rPr>
                <w:rFonts w:hint="eastAsia" w:ascii="楷体_GB2312" w:hAnsi="宋体" w:eastAsia="楷体_GB2312" w:cs="楷体_GB2312"/>
                <w:i w:val="0"/>
                <w:iCs w:val="0"/>
                <w:color w:val="auto"/>
                <w:kern w:val="0"/>
                <w:sz w:val="20"/>
                <w:szCs w:val="20"/>
                <w:highlight w:val="none"/>
                <w:u w:val="none"/>
                <w:lang w:val="en-US" w:eastAsia="zh-CN" w:bidi="ar"/>
              </w:rPr>
              <w:t>产   出（30分）</w:t>
            </w:r>
          </w:p>
        </w:tc>
        <w:tc>
          <w:tcPr>
            <w:tcW w:w="25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lang w:eastAsia="zh-CN"/>
              </w:rPr>
            </w:pPr>
            <w:r>
              <w:rPr>
                <w:rFonts w:hint="eastAsia" w:ascii="楷体_GB2312" w:hAnsi="宋体" w:eastAsia="楷体_GB2312" w:cs="楷体_GB2312"/>
                <w:i w:val="0"/>
                <w:iCs w:val="0"/>
                <w:color w:val="auto"/>
                <w:kern w:val="0"/>
                <w:sz w:val="18"/>
                <w:szCs w:val="18"/>
                <w:highlight w:val="none"/>
                <w:u w:val="none"/>
                <w:lang w:val="en-US" w:eastAsia="zh-CN" w:bidi="ar"/>
              </w:rPr>
              <w:t>职责履行（</w:t>
            </w:r>
            <w:r>
              <w:rPr>
                <w:rFonts w:hint="eastAsia" w:ascii="楷体_GB2312" w:hAnsi="宋体" w:eastAsia="楷体_GB2312" w:cs="楷体_GB2312"/>
                <w:i w:val="0"/>
                <w:iCs w:val="0"/>
                <w:color w:val="auto"/>
                <w:sz w:val="18"/>
                <w:szCs w:val="18"/>
                <w:highlight w:val="none"/>
                <w:u w:val="none"/>
                <w:lang w:eastAsia="zh-CN"/>
              </w:rPr>
              <w:t>接上页）</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重点工作办结率</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9</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部门（单位）年度重点工作实际完成数与交办或下达数的比率，用以反映部门（单位）对重点工作的办理落实程度。                              重点工作办结率=（重点工作实际完成数/交办或下达数）×100%。</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重点工作是指：一级预算部门纳入全市综合考核的业务职能目标；其他部门（单位）年初正式印发的年度工作计划确定的重点事项。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重点工作办结率达100%，则得满分。每降低1%扣5%权重分，扣完为止。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lang w:val="en-US" w:eastAsia="zh-CN"/>
              </w:rPr>
            </w:pPr>
            <w:r>
              <w:rPr>
                <w:rFonts w:hint="eastAsia" w:ascii="楷体_GB2312" w:hAnsi="宋体" w:eastAsia="楷体_GB2312" w:cs="楷体_GB2312"/>
                <w:i w:val="0"/>
                <w:iCs w:val="0"/>
                <w:color w:val="auto"/>
                <w:sz w:val="18"/>
                <w:szCs w:val="18"/>
                <w:highlight w:val="none"/>
                <w:u w:val="none"/>
                <w:lang w:val="en-US" w:eastAsia="zh-CN"/>
              </w:rPr>
              <w:t>9</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楷体_GB2312" w:hAnsi="宋体" w:eastAsia="楷体_GB2312" w:cs="楷体_GB2312"/>
                <w:i w:val="0"/>
                <w:iCs w:val="0"/>
                <w:color w:val="auto"/>
                <w:sz w:val="18"/>
                <w:szCs w:val="18"/>
                <w:highlight w:val="none"/>
                <w:u w:val="none"/>
                <w:lang w:val="en-US"/>
              </w:rPr>
            </w:pPr>
            <w:r>
              <w:rPr>
                <w:rFonts w:hint="eastAsia" w:ascii="楷体_GB2312" w:hAnsi="宋体" w:eastAsia="楷体_GB2312" w:cs="楷体_GB2312"/>
                <w:i w:val="0"/>
                <w:iCs w:val="0"/>
                <w:color w:val="auto"/>
                <w:kern w:val="0"/>
                <w:sz w:val="18"/>
                <w:szCs w:val="18"/>
                <w:highlight w:val="none"/>
                <w:u w:val="none"/>
                <w:lang w:val="en-US" w:eastAsia="zh-CN" w:bidi="ar"/>
              </w:rPr>
              <w:t>重点工作办结率100%，详见附件3</w:t>
            </w:r>
          </w:p>
        </w:tc>
      </w:tr>
      <w:tr>
        <w:tblPrEx>
          <w:tblCellMar>
            <w:top w:w="0" w:type="dxa"/>
            <w:left w:w="108" w:type="dxa"/>
            <w:bottom w:w="0" w:type="dxa"/>
            <w:right w:w="108" w:type="dxa"/>
          </w:tblCellMar>
        </w:tblPrEx>
        <w:trPr>
          <w:trHeight w:val="735" w:hRule="atLeast"/>
        </w:trPr>
        <w:tc>
          <w:tcPr>
            <w:tcW w:w="191" w:type="pct"/>
            <w:vMerge w:val="restart"/>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20"/>
                <w:szCs w:val="20"/>
                <w:highlight w:val="none"/>
                <w:u w:val="none"/>
              </w:rPr>
            </w:pPr>
            <w:r>
              <w:rPr>
                <w:rFonts w:hint="eastAsia" w:ascii="楷体_GB2312" w:hAnsi="宋体" w:eastAsia="楷体_GB2312" w:cs="楷体_GB2312"/>
                <w:i w:val="0"/>
                <w:iCs w:val="0"/>
                <w:color w:val="auto"/>
                <w:kern w:val="0"/>
                <w:sz w:val="20"/>
                <w:szCs w:val="20"/>
                <w:highlight w:val="none"/>
                <w:u w:val="none"/>
                <w:lang w:val="en-US" w:eastAsia="zh-CN" w:bidi="ar"/>
              </w:rPr>
              <w:t>效   果（30分）</w:t>
            </w:r>
          </w:p>
        </w:tc>
        <w:tc>
          <w:tcPr>
            <w:tcW w:w="25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履职</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效益（30）</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社会效益（6）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水质稳定达标率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考察集中式饮用水水源地水质稳定达标情况。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达到目标值，则得满分。每降低1%扣除20%权重分，扣完为止。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水质稳定达标率100%</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加强固废危废全链条执法监管</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考察涉危废单位危废的转移、处置、全链条跟踪情况。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加强</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实现全链条跟踪，且档案资料齐全，得满分；其他根据项目实际，分别可得75%、50%、25%和0的权重分。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建立综合论处管理平台，对固废危废进行管理</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生态环境损害赔偿案件覆盖率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1.5</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考察全市生态环境损害赔偿案件覆盖情况。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达到目标值，则得满分。每降低1%扣除5%权重分，扣完为止。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覆盖率100%</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生态环境违法违规案件降低率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1.5</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考察2020年生态环境违法违规案件降低率。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≥5%</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达到目标值，则得满分。每降低1%扣20%权重分，扣完为止。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降低44.31%</w:t>
            </w:r>
          </w:p>
        </w:tc>
      </w:tr>
      <w:tr>
        <w:tblPrEx>
          <w:tblCellMar>
            <w:top w:w="0" w:type="dxa"/>
            <w:left w:w="108" w:type="dxa"/>
            <w:bottom w:w="0" w:type="dxa"/>
            <w:right w:w="108" w:type="dxa"/>
          </w:tblCellMar>
        </w:tblPrEx>
        <w:trPr>
          <w:trHeight w:val="88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生态效益（10）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11个国省控断面达标率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考察11个国省控断面达标率。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达到目标值，则得满分。每降低1%扣除20%权重分，扣完为止。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根据青环委办发〔2021〕7号，均达到或优于《责任书》目标</w:t>
            </w:r>
          </w:p>
        </w:tc>
      </w:tr>
      <w:tr>
        <w:tblPrEx>
          <w:tblCellMar>
            <w:top w:w="0" w:type="dxa"/>
            <w:left w:w="108" w:type="dxa"/>
            <w:bottom w:w="0" w:type="dxa"/>
            <w:right w:w="108" w:type="dxa"/>
          </w:tblCellMar>
        </w:tblPrEx>
        <w:trPr>
          <w:trHeight w:val="88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土壤环境质量</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考察土壤环境质量提升情况。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提升</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根据社会调查问卷，质量提升情况分为显著、较显著、一般、有一定效果、无效果五个级别，分别可得100%、75%、50%、25%或0的权重分。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2020年共完成宜昌路31号地块等4个地块污染土壤的修复治理，治理修复污染土壤面积29万平方米</w:t>
            </w:r>
          </w:p>
        </w:tc>
      </w:tr>
      <w:tr>
        <w:tblPrEx>
          <w:tblCellMar>
            <w:top w:w="0" w:type="dxa"/>
            <w:left w:w="108" w:type="dxa"/>
            <w:bottom w:w="0" w:type="dxa"/>
            <w:right w:w="108" w:type="dxa"/>
          </w:tblCellMar>
        </w:tblPrEx>
        <w:trPr>
          <w:trHeight w:val="880" w:hRule="atLeast"/>
        </w:trPr>
        <w:tc>
          <w:tcPr>
            <w:tcW w:w="191" w:type="pct"/>
            <w:vMerge w:val="restart"/>
            <w:tcBorders>
              <w:top w:val="single" w:color="auto" w:sz="4" w:space="0"/>
              <w:left w:val="single" w:color="000000"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20"/>
                <w:szCs w:val="20"/>
                <w:highlight w:val="none"/>
                <w:u w:val="none"/>
              </w:rPr>
            </w:pPr>
            <w:r>
              <w:rPr>
                <w:rFonts w:hint="eastAsia" w:ascii="楷体_GB2312" w:hAnsi="宋体" w:eastAsia="楷体_GB2312" w:cs="楷体_GB2312"/>
                <w:i w:val="0"/>
                <w:iCs w:val="0"/>
                <w:color w:val="auto"/>
                <w:kern w:val="0"/>
                <w:sz w:val="20"/>
                <w:szCs w:val="20"/>
                <w:highlight w:val="none"/>
                <w:u w:val="none"/>
                <w:lang w:val="en-US" w:eastAsia="zh-CN" w:bidi="ar"/>
              </w:rPr>
              <w:t>效   果（接上页）</w:t>
            </w:r>
          </w:p>
        </w:tc>
        <w:tc>
          <w:tcPr>
            <w:tcW w:w="250"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履职</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效益（接上页）</w:t>
            </w:r>
          </w:p>
        </w:tc>
        <w:tc>
          <w:tcPr>
            <w:tcW w:w="269"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市区环境空气质量优良率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考察2020年我市市区环境空气质量优良率是否达到十三五规划目标。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≥85%</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达到目标值，则得满分。每降低1%扣除5%权重分，扣完为止。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青岛市2020年环境空气质量优良率为86.3%</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近岸海域优良水质占比</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考察近岸海域优良水质占比。</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98.8%</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达到目标值，则得满分。每降低0.1%扣除10%权重分，扣完为止。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2020年近海岸水质优良比例98.8%</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胶州湾水质优良比例</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考察胶州湾水质优良比例是否达到十三五规划目标。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胶州湾优良海域面积占比≥70%，则得满分。每降低0.1%扣除5%权重分，扣为完止。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2020年胶州湾水质优良比例73.1%</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农村污水治理率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考察2020年农村生活污水治理率是否达到省、市下达任务目标。</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40%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达到目标值，则得满分。每低于1%扣除10%权重分，扣完为止。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2020年年底，累计治理村庄3315个，占5368个应治理村庄的61.75%</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行政效能（4）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群众环境问题投诉率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考察群众环境问题投诉率下降情况。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≥5%</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达到目标值，则得满分。每降低1%，扣除20%权重分，扣完为止。</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2020年转办信访件2705件，2019年办理信访投诉件10213件，同比下降73.51%</w:t>
            </w:r>
          </w:p>
        </w:tc>
      </w:tr>
      <w:tr>
        <w:tblPrEx>
          <w:tblCellMar>
            <w:top w:w="0" w:type="dxa"/>
            <w:left w:w="108" w:type="dxa"/>
            <w:bottom w:w="0" w:type="dxa"/>
            <w:right w:w="108" w:type="dxa"/>
          </w:tblCellMar>
        </w:tblPrEx>
        <w:trPr>
          <w:trHeight w:val="82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提升环评审批和土壤调查报告审批效率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both"/>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考察环评审批和土壤调查报告审批效率提升情况。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压缩环评审批和土壤调查报告审批时限，则得满分，否则不得分。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由国家规定的40个工作日压缩至10个</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上级部门考核情况</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2</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考察上年度上级部门考核情况。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优</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考核情况分优、良、中、较差和差，分别可得100%、75%、50%、25%或0的权重分。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75%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良</w:t>
            </w:r>
          </w:p>
        </w:tc>
      </w:tr>
      <w:tr>
        <w:tblPrEx>
          <w:tblCellMar>
            <w:top w:w="0" w:type="dxa"/>
            <w:left w:w="108" w:type="dxa"/>
            <w:bottom w:w="0" w:type="dxa"/>
            <w:right w:w="108" w:type="dxa"/>
          </w:tblCellMar>
        </w:tblPrEx>
        <w:trPr>
          <w:trHeight w:val="553"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可持续效益（2）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全市大气污染防治工作机制</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考察大气污染防治工作机制建立健全情况。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健全</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建立健全大气污染防治工作机制，则得满分，其他根据机制建立情况分别可得75%、50%、25%、0的权重分。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6"/>
                <w:szCs w:val="16"/>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16" w:lineRule="auto"/>
              <w:jc w:val="left"/>
              <w:textAlignment w:val="center"/>
              <w:rPr>
                <w:rFonts w:hint="eastAsia" w:ascii="楷体_GB2312" w:hAnsi="宋体" w:eastAsia="楷体_GB2312" w:cs="楷体_GB2312"/>
                <w:i w:val="0"/>
                <w:iCs w:val="0"/>
                <w:color w:val="auto"/>
                <w:kern w:val="0"/>
                <w:sz w:val="18"/>
                <w:szCs w:val="18"/>
                <w:highlight w:val="none"/>
                <w:u w:val="none"/>
                <w:lang w:val="en-US" w:eastAsia="zh-CN" w:bidi="ar"/>
              </w:rPr>
            </w:pPr>
            <w:r>
              <w:rPr>
                <w:rFonts w:hint="eastAsia" w:ascii="楷体_GB2312" w:hAnsi="宋体" w:eastAsia="楷体_GB2312" w:cs="楷体_GB2312"/>
                <w:i w:val="0"/>
                <w:iCs w:val="0"/>
                <w:color w:val="auto"/>
                <w:kern w:val="0"/>
                <w:sz w:val="18"/>
                <w:szCs w:val="18"/>
                <w:highlight w:val="none"/>
                <w:u w:val="none"/>
                <w:lang w:val="en-US" w:eastAsia="zh-CN" w:bidi="ar"/>
              </w:rPr>
              <w:t>制订或完善《青岛市大气污染防治条例》《青岛市打赢蓝天保卫战作战方案暨2013—2020年大气污染防治规划三期行动计划等</w:t>
            </w:r>
          </w:p>
        </w:tc>
      </w:tr>
      <w:tr>
        <w:tblPrEx>
          <w:tblCellMar>
            <w:top w:w="0" w:type="dxa"/>
            <w:left w:w="108" w:type="dxa"/>
            <w:bottom w:w="0" w:type="dxa"/>
            <w:right w:w="108" w:type="dxa"/>
          </w:tblCellMar>
        </w:tblPrEx>
        <w:trPr>
          <w:trHeight w:val="900" w:hRule="atLeast"/>
        </w:trPr>
        <w:tc>
          <w:tcPr>
            <w:tcW w:w="191" w:type="pct"/>
            <w:vMerge w:val="restart"/>
            <w:tcBorders>
              <w:top w:val="single" w:color="auto" w:sz="4" w:space="0"/>
              <w:left w:val="single" w:color="000000"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20"/>
                <w:szCs w:val="20"/>
                <w:highlight w:val="none"/>
                <w:u w:val="none"/>
              </w:rPr>
            </w:pPr>
            <w:r>
              <w:rPr>
                <w:rFonts w:hint="eastAsia" w:ascii="楷体_GB2312" w:hAnsi="宋体" w:eastAsia="楷体_GB2312" w:cs="楷体_GB2312"/>
                <w:i w:val="0"/>
                <w:iCs w:val="0"/>
                <w:color w:val="auto"/>
                <w:kern w:val="0"/>
                <w:sz w:val="20"/>
                <w:szCs w:val="20"/>
                <w:highlight w:val="none"/>
                <w:u w:val="none"/>
                <w:lang w:val="en-US" w:eastAsia="zh-CN" w:bidi="ar"/>
              </w:rPr>
              <w:t>效   果（接上页）</w:t>
            </w:r>
          </w:p>
        </w:tc>
        <w:tc>
          <w:tcPr>
            <w:tcW w:w="250"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履职</w:t>
            </w:r>
            <w:r>
              <w:rPr>
                <w:rFonts w:hint="eastAsia" w:ascii="楷体_GB2312" w:hAnsi="宋体" w:eastAsia="楷体_GB2312" w:cs="楷体_GB2312"/>
                <w:i w:val="0"/>
                <w:iCs w:val="0"/>
                <w:color w:val="auto"/>
                <w:kern w:val="0"/>
                <w:sz w:val="18"/>
                <w:szCs w:val="18"/>
                <w:highlight w:val="none"/>
                <w:u w:val="none"/>
                <w:lang w:val="en-US" w:eastAsia="zh-CN" w:bidi="ar"/>
              </w:rPr>
              <w:br w:type="textWrapping"/>
            </w:r>
            <w:r>
              <w:rPr>
                <w:rFonts w:hint="eastAsia" w:ascii="楷体_GB2312" w:hAnsi="宋体" w:eastAsia="楷体_GB2312" w:cs="楷体_GB2312"/>
                <w:i w:val="0"/>
                <w:iCs w:val="0"/>
                <w:color w:val="auto"/>
                <w:kern w:val="0"/>
                <w:sz w:val="18"/>
                <w:szCs w:val="18"/>
                <w:highlight w:val="none"/>
                <w:u w:val="none"/>
                <w:lang w:val="en-US" w:eastAsia="zh-CN" w:bidi="ar"/>
              </w:rPr>
              <w:t>效益（接上页）</w:t>
            </w:r>
          </w:p>
        </w:tc>
        <w:tc>
          <w:tcPr>
            <w:tcW w:w="269"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楷体_GB2312" w:hAnsi="宋体" w:eastAsia="楷体_GB2312" w:cs="楷体_GB2312"/>
                <w:i w:val="0"/>
                <w:iCs w:val="0"/>
                <w:color w:val="auto"/>
                <w:sz w:val="18"/>
                <w:szCs w:val="18"/>
                <w:highlight w:val="none"/>
                <w:u w:val="none"/>
                <w:lang w:val="en-US"/>
              </w:rPr>
            </w:pPr>
            <w:r>
              <w:rPr>
                <w:rFonts w:hint="eastAsia" w:ascii="楷体_GB2312" w:hAnsi="宋体" w:eastAsia="楷体_GB2312" w:cs="楷体_GB2312"/>
                <w:i w:val="0"/>
                <w:iCs w:val="0"/>
                <w:color w:val="auto"/>
                <w:kern w:val="0"/>
                <w:sz w:val="18"/>
                <w:szCs w:val="18"/>
                <w:highlight w:val="none"/>
                <w:u w:val="none"/>
                <w:lang w:val="en-US" w:eastAsia="zh-CN" w:bidi="ar"/>
              </w:rPr>
              <w:t>可持续效益(接上页)</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土壤固废环境保护和污染防治机制健全性</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考察土壤固废环境保护和污染防治机制建立健全情况。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健全</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建立健全土壤固废环境保护和污染防治机制，则得满分，其他根据机制建立情况分别可得75%、50%、25%或0的权重分。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建立青岛市医疗废物处置工作协调联动机制的通知</w:t>
            </w:r>
          </w:p>
        </w:tc>
      </w:tr>
      <w:tr>
        <w:tblPrEx>
          <w:tblCellMar>
            <w:top w:w="0" w:type="dxa"/>
            <w:left w:w="108" w:type="dxa"/>
            <w:bottom w:w="0" w:type="dxa"/>
            <w:right w:w="108" w:type="dxa"/>
          </w:tblCellMar>
        </w:tblPrEx>
        <w:trPr>
          <w:trHeight w:val="735"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环境应急处置协调联动机制</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考察环境应急处置协调联动机制建立健全情况。</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健全</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建立健全环境应急处置协调联动机制，则得满分，其他根据机制建立情况分别可得75%、50%、25%或0的权重分。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健全</w:t>
            </w:r>
          </w:p>
        </w:tc>
      </w:tr>
      <w:tr>
        <w:tblPrEx>
          <w:tblCellMar>
            <w:top w:w="0" w:type="dxa"/>
            <w:left w:w="108" w:type="dxa"/>
            <w:bottom w:w="0" w:type="dxa"/>
            <w:right w:w="108" w:type="dxa"/>
          </w:tblCellMar>
        </w:tblPrEx>
        <w:trPr>
          <w:trHeight w:val="86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构建“1+1+8”污染综合防治工作体系</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考察部门是否构建“1+1+8”污染综合防治工作体系。</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构建</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构建“1+1+8”污染综合防治工作体系，则得满分。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0.5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100%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构建</w:t>
            </w:r>
          </w:p>
        </w:tc>
      </w:tr>
      <w:tr>
        <w:tblPrEx>
          <w:tblCellMar>
            <w:top w:w="0" w:type="dxa"/>
            <w:left w:w="108" w:type="dxa"/>
            <w:bottom w:w="0" w:type="dxa"/>
            <w:right w:w="108" w:type="dxa"/>
          </w:tblCellMar>
        </w:tblPrEx>
        <w:trPr>
          <w:trHeight w:val="1560" w:hRule="atLeast"/>
        </w:trPr>
        <w:tc>
          <w:tcPr>
            <w:tcW w:w="191" w:type="pct"/>
            <w:vMerge w:val="continue"/>
            <w:tcBorders>
              <w:top w:val="single" w:color="auto" w:sz="4" w:space="0"/>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20"/>
                <w:szCs w:val="20"/>
                <w:highlight w:val="none"/>
                <w:u w:val="none"/>
              </w:rPr>
            </w:pPr>
          </w:p>
        </w:tc>
        <w:tc>
          <w:tcPr>
            <w:tcW w:w="25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i w:val="0"/>
                <w:iCs w:val="0"/>
                <w:color w:val="auto"/>
                <w:sz w:val="18"/>
                <w:szCs w:val="18"/>
                <w:highlight w:val="none"/>
                <w:u w:val="none"/>
              </w:rPr>
            </w:pPr>
          </w:p>
        </w:tc>
        <w:tc>
          <w:tcPr>
            <w:tcW w:w="26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社会公众、其他部门（单位）或服务对象满意度</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社会公众满意度</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8</w:t>
            </w:r>
          </w:p>
        </w:tc>
        <w:tc>
          <w:tcPr>
            <w:tcW w:w="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社会公众对部门履职效果的满意程度。</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85%</w:t>
            </w:r>
          </w:p>
        </w:tc>
        <w:tc>
          <w:tcPr>
            <w:tcW w:w="1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社会公众满意度达85%,则得满分，每降低1%，扣5%权重分。</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6.47</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80.88%</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楷体_GB2312" w:hAnsi="宋体" w:eastAsia="楷体_GB2312" w:cs="楷体_GB2312"/>
                <w:i w:val="0"/>
                <w:iCs w:val="0"/>
                <w:color w:val="auto"/>
                <w:sz w:val="18"/>
                <w:szCs w:val="18"/>
                <w:highlight w:val="none"/>
                <w:u w:val="none"/>
              </w:rPr>
            </w:pPr>
            <w:r>
              <w:rPr>
                <w:rFonts w:hint="eastAsia" w:ascii="楷体_GB2312" w:hAnsi="宋体" w:eastAsia="楷体_GB2312" w:cs="楷体_GB2312"/>
                <w:i w:val="0"/>
                <w:iCs w:val="0"/>
                <w:color w:val="auto"/>
                <w:kern w:val="0"/>
                <w:sz w:val="18"/>
                <w:szCs w:val="18"/>
                <w:highlight w:val="none"/>
                <w:u w:val="none"/>
                <w:lang w:val="en-US" w:eastAsia="zh-CN" w:bidi="ar"/>
              </w:rPr>
              <w:t>经调查，社会公众满意度81.18%</w:t>
            </w:r>
          </w:p>
        </w:tc>
      </w:tr>
      <w:tr>
        <w:tblPrEx>
          <w:tblCellMar>
            <w:top w:w="0" w:type="dxa"/>
            <w:left w:w="108" w:type="dxa"/>
            <w:bottom w:w="0" w:type="dxa"/>
            <w:right w:w="108" w:type="dxa"/>
          </w:tblCellMar>
        </w:tblPrEx>
        <w:trPr>
          <w:trHeight w:val="440" w:hRule="atLeast"/>
        </w:trPr>
        <w:tc>
          <w:tcPr>
            <w:tcW w:w="111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合计</w:t>
            </w:r>
          </w:p>
        </w:tc>
        <w:tc>
          <w:tcPr>
            <w:tcW w:w="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100</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b/>
                <w:bCs/>
                <w:i w:val="0"/>
                <w:iCs w:val="0"/>
                <w:color w:val="auto"/>
                <w:sz w:val="18"/>
                <w:szCs w:val="18"/>
                <w:highlight w:val="none"/>
                <w:u w:val="none"/>
              </w:rPr>
            </w:pPr>
          </w:p>
        </w:tc>
        <w:tc>
          <w:tcPr>
            <w:tcW w:w="1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b/>
                <w:bCs/>
                <w:i w:val="0"/>
                <w:iCs w:val="0"/>
                <w:color w:val="auto"/>
                <w:sz w:val="18"/>
                <w:szCs w:val="18"/>
                <w:highlight w:val="none"/>
                <w:u w:val="none"/>
              </w:rPr>
            </w:pPr>
          </w:p>
        </w:tc>
        <w:tc>
          <w:tcPr>
            <w:tcW w:w="1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b/>
                <w:bCs/>
                <w:i w:val="0"/>
                <w:iCs w:val="0"/>
                <w:color w:val="auto"/>
                <w:sz w:val="18"/>
                <w:szCs w:val="18"/>
                <w:highlight w:val="none"/>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楷体_GB2312" w:hAnsi="宋体" w:eastAsia="楷体_GB2312" w:cs="楷体_GB2312"/>
                <w:b/>
                <w:bCs/>
                <w:i w:val="0"/>
                <w:iCs w:val="0"/>
                <w:color w:val="auto"/>
                <w:sz w:val="18"/>
                <w:szCs w:val="18"/>
                <w:highlight w:val="none"/>
                <w:u w:val="none"/>
              </w:rPr>
            </w:pPr>
            <w:r>
              <w:rPr>
                <w:rFonts w:hint="eastAsia" w:ascii="楷体_GB2312" w:hAnsi="宋体" w:eastAsia="楷体_GB2312" w:cs="楷体_GB2312"/>
                <w:b/>
                <w:bCs/>
                <w:i w:val="0"/>
                <w:iCs w:val="0"/>
                <w:color w:val="auto"/>
                <w:kern w:val="0"/>
                <w:sz w:val="18"/>
                <w:szCs w:val="18"/>
                <w:highlight w:val="none"/>
                <w:u w:val="none"/>
                <w:lang w:val="en-US" w:eastAsia="zh-CN" w:bidi="ar"/>
              </w:rPr>
              <w:t>86.45</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楷体_GB2312" w:hAnsi="宋体" w:eastAsia="楷体_GB2312" w:cs="楷体_GB2312"/>
                <w:b/>
                <w:bCs/>
                <w:i w:val="0"/>
                <w:iCs w:val="0"/>
                <w:color w:val="auto"/>
                <w:sz w:val="18"/>
                <w:szCs w:val="18"/>
                <w:highlight w:val="none"/>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b/>
                <w:bCs/>
                <w:i w:val="0"/>
                <w:iCs w:val="0"/>
                <w:color w:val="auto"/>
                <w:sz w:val="18"/>
                <w:szCs w:val="18"/>
                <w:highlight w:val="none"/>
                <w:u w:val="none"/>
              </w:rPr>
            </w:pPr>
          </w:p>
        </w:tc>
      </w:tr>
    </w:tbl>
    <w:p>
      <w:pPr>
        <w:rPr>
          <w:rFonts w:hint="default"/>
          <w:color w:val="auto"/>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outlineLvl w:val="9"/>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outlineLvl w:val="9"/>
        <w:rPr>
          <w:rFonts w:hint="default" w:ascii="仿宋_GB2312" w:hAnsi="仿宋_GB2312" w:eastAsia="仿宋_GB2312" w:cs="仿宋_GB2312"/>
          <w:color w:val="auto"/>
          <w:sz w:val="32"/>
          <w:szCs w:val="32"/>
          <w:highlight w:val="none"/>
        </w:rPr>
        <w:sectPr>
          <w:footerReference r:id="rId6" w:type="default"/>
          <w:footnotePr>
            <w:numRestart w:val="eachPage"/>
          </w:footnotePr>
          <w:pgSz w:w="16838" w:h="11906" w:orient="landscape"/>
          <w:pgMar w:top="1587" w:right="1701" w:bottom="1474" w:left="1701" w:header="851" w:footer="992" w:gutter="0"/>
          <w:pgNumType w:fmt="decimal" w:start="19"/>
          <w:cols w:space="425" w:num="1"/>
          <w:docGrid w:type="lines" w:linePitch="312" w:charSpace="0"/>
        </w:sectPr>
      </w:pPr>
    </w:p>
    <w:bookmarkEnd w:id="54"/>
    <w:p>
      <w:pPr>
        <w:keepNext/>
        <w:keepLines/>
        <w:pageBreakBefore w:val="0"/>
        <w:widowControl w:val="0"/>
        <w:numPr>
          <w:ilvl w:val="1"/>
          <w:numId w:val="0"/>
        </w:numPr>
        <w:kinsoku/>
        <w:wordWrap/>
        <w:overflowPunct/>
        <w:topLinePunct w:val="0"/>
        <w:autoSpaceDE/>
        <w:autoSpaceDN/>
        <w:bidi w:val="0"/>
        <w:adjustRightInd/>
        <w:snapToGrid/>
        <w:spacing w:before="120" w:after="120" w:line="240" w:lineRule="auto"/>
        <w:textAlignment w:val="auto"/>
        <w:outlineLvl w:val="9"/>
        <w:rPr>
          <w:rFonts w:hint="eastAsia" w:ascii="仿宋_GB2312" w:hAnsi="仿宋_GB2312" w:eastAsia="仿宋_GB2312" w:cs="仿宋_GB2312"/>
          <w:b w:val="0"/>
          <w:bCs w:val="0"/>
          <w:color w:val="auto"/>
          <w:kern w:val="0"/>
          <w:sz w:val="24"/>
          <w:szCs w:val="24"/>
          <w:highlight w:val="none"/>
          <w:lang w:val="en-US" w:eastAsia="zh-CN" w:bidi="ar-SA"/>
        </w:rPr>
      </w:pPr>
      <w:r>
        <w:rPr>
          <w:rFonts w:hint="eastAsia" w:ascii="仿宋_GB2312" w:hAnsi="仿宋_GB2312" w:eastAsia="仿宋_GB2312" w:cs="仿宋_GB2312"/>
          <w:b w:val="0"/>
          <w:bCs w:val="0"/>
          <w:color w:val="auto"/>
          <w:kern w:val="0"/>
          <w:sz w:val="24"/>
          <w:szCs w:val="24"/>
          <w:highlight w:val="none"/>
          <w:lang w:val="zh-CN" w:eastAsia="zh-CN" w:bidi="ar-SA"/>
        </w:rPr>
        <w:t>附件2</w:t>
      </w:r>
      <w:r>
        <w:rPr>
          <w:rFonts w:hint="eastAsia" w:ascii="仿宋_GB2312" w:hAnsi="仿宋_GB2312" w:eastAsia="仿宋_GB2312" w:cs="仿宋_GB2312"/>
          <w:b w:val="0"/>
          <w:bCs w:val="0"/>
          <w:color w:val="auto"/>
          <w:kern w:val="0"/>
          <w:sz w:val="24"/>
          <w:szCs w:val="24"/>
          <w:highlight w:val="none"/>
          <w:lang w:val="en-US" w:eastAsia="zh-CN" w:bidi="ar-SA"/>
        </w:rPr>
        <w:t>.</w:t>
      </w:r>
    </w:p>
    <w:p>
      <w:pPr>
        <w:keepNext/>
        <w:keepLines/>
        <w:pageBreakBefore w:val="0"/>
        <w:widowControl w:val="0"/>
        <w:numPr>
          <w:ilvl w:val="1"/>
          <w:numId w:val="0"/>
        </w:numPr>
        <w:kinsoku/>
        <w:wordWrap/>
        <w:overflowPunct/>
        <w:topLinePunct w:val="0"/>
        <w:autoSpaceDE/>
        <w:autoSpaceDN/>
        <w:bidi w:val="0"/>
        <w:adjustRightInd/>
        <w:snapToGrid/>
        <w:spacing w:before="120" w:after="120" w:line="240" w:lineRule="auto"/>
        <w:ind w:left="198" w:leftChars="0"/>
        <w:jc w:val="center"/>
        <w:textAlignment w:val="auto"/>
        <w:outlineLvl w:val="9"/>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宋体" w:hAnsi="宋体" w:eastAsia="宋体" w:cs="宋体"/>
          <w:b/>
          <w:bCs/>
          <w:color w:val="auto"/>
          <w:kern w:val="0"/>
          <w:sz w:val="32"/>
          <w:szCs w:val="32"/>
          <w:highlight w:val="none"/>
          <w:lang w:val="zh-CN" w:eastAsia="zh-CN" w:bidi="ar-SA"/>
        </w:rPr>
        <w:t>2020年部门整体支出绩效目标</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184"/>
        <w:gridCol w:w="2888"/>
        <w:gridCol w:w="170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00" w:type="pct"/>
            <w:gridSpan w:val="5"/>
            <w:noWrap w:val="0"/>
            <w:vAlign w:val="center"/>
          </w:tcPr>
          <w:p>
            <w:pPr>
              <w:widowControl/>
              <w:spacing w:line="240" w:lineRule="auto"/>
              <w:ind w:firstLine="562"/>
              <w:jc w:val="center"/>
              <w:textAlignment w:val="center"/>
              <w:rPr>
                <w:rFonts w:hint="eastAsia" w:ascii="仿宋" w:hAnsi="仿宋" w:cs="仿宋"/>
                <w:b/>
                <w:bCs/>
                <w:color w:val="auto"/>
                <w:sz w:val="21"/>
                <w:szCs w:val="21"/>
                <w:highlight w:val="none"/>
              </w:rPr>
            </w:pPr>
            <w:r>
              <w:rPr>
                <w:rFonts w:hint="eastAsia" w:ascii="仿宋_GB2312" w:hAnsi="仿宋_GB2312" w:eastAsia="仿宋_GB2312" w:cs="仿宋_GB2312"/>
                <w:b/>
                <w:color w:val="auto"/>
                <w:kern w:val="0"/>
                <w:szCs w:val="28"/>
                <w:highlight w:val="none"/>
              </w:rPr>
              <w:t>部门（单位）整体支出绩效目标申报表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000" w:type="pct"/>
            <w:gridSpan w:val="5"/>
            <w:noWrap w:val="0"/>
            <w:vAlign w:val="center"/>
          </w:tcPr>
          <w:p>
            <w:pPr>
              <w:widowControl/>
              <w:spacing w:line="240" w:lineRule="auto"/>
              <w:ind w:firstLine="420"/>
              <w:jc w:val="center"/>
              <w:textAlignment w:val="center"/>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62" w:type="pct"/>
            <w:noWrap w:val="0"/>
            <w:vAlign w:val="center"/>
          </w:tcPr>
          <w:p>
            <w:pPr>
              <w:widowControl/>
              <w:spacing w:line="240" w:lineRule="auto"/>
              <w:ind w:firstLine="0" w:firstLineChars="0"/>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部门（单位）名称</w:t>
            </w:r>
          </w:p>
        </w:tc>
        <w:tc>
          <w:tcPr>
            <w:tcW w:w="4538" w:type="pct"/>
            <w:gridSpan w:val="4"/>
            <w:noWrap w:val="0"/>
            <w:vAlign w:val="center"/>
          </w:tcPr>
          <w:p>
            <w:pPr>
              <w:widowControl/>
              <w:spacing w:line="240" w:lineRule="auto"/>
              <w:ind w:firstLine="420"/>
              <w:jc w:val="center"/>
              <w:textAlignment w:val="center"/>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青岛市生态环境局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462" w:type="pct"/>
            <w:noWrap w:val="0"/>
            <w:vAlign w:val="center"/>
          </w:tcPr>
          <w:p>
            <w:pPr>
              <w:widowControl/>
              <w:spacing w:line="240" w:lineRule="auto"/>
              <w:ind w:firstLine="0" w:firstLineChars="0"/>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部门(单位）职责</w:t>
            </w:r>
          </w:p>
        </w:tc>
        <w:tc>
          <w:tcPr>
            <w:tcW w:w="4538" w:type="pct"/>
            <w:gridSpan w:val="4"/>
            <w:noWrap w:val="0"/>
            <w:vAlign w:val="center"/>
          </w:tcPr>
          <w:p>
            <w:pPr>
              <w:widowControl/>
              <w:spacing w:line="240" w:lineRule="auto"/>
              <w:ind w:firstLine="0" w:firstLineChars="0"/>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 xml:space="preserve">   《青岛市生态环境局职能配置、内设机构和人员编制规定》（青厅字〔2019〕32号），市生态环境局主要职责包括：（1）贯彻执行生态环境领域的法律法规和方针政策。（2）负责重大生态环境问题的统筹协调和监督管理。（3）负责监督管理减排目标的落实。（4）负责生态环境准入的监督管理。（5）负责环境污染防治的监督管理。（6）协调指导和监督生态保护修复工作。（7）负责核与辐射安全的监督管理工作。（8）开展生态环境科技和信息化工作。（9）负责应对气候变化工作，拟订并组织实施应对气候变化以及室温气体减排规划、政策、制度，研究提出低碳发展的政策建议，组织协调碳排放权交易工作。（10）负责生态环境监督执法。 (11)负责有关生态环境监测工作。（12）负责生态环境宣传教育工作。（13）开展生态环境对外合作与交流。（14）承担市环境保护委员会日常工作。（15）完成市委、市政府交办的其他任务。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pct"/>
            <w:gridSpan w:val="2"/>
            <w:noWrap w:val="0"/>
            <w:vAlign w:val="center"/>
          </w:tcPr>
          <w:p>
            <w:pPr>
              <w:widowControl/>
              <w:spacing w:line="240" w:lineRule="auto"/>
              <w:ind w:firstLine="0" w:firstLineChars="0"/>
              <w:jc w:val="center"/>
              <w:rPr>
                <w:rFonts w:hint="eastAsia" w:ascii="仿宋" w:hAnsi="仿宋" w:cs="仿宋"/>
                <w:b/>
                <w:color w:val="auto"/>
                <w:kern w:val="0"/>
                <w:sz w:val="21"/>
                <w:szCs w:val="21"/>
                <w:highlight w:val="none"/>
              </w:rPr>
            </w:pPr>
            <w:r>
              <w:rPr>
                <w:rFonts w:hint="eastAsia" w:ascii="仿宋" w:hAnsi="仿宋" w:cs="仿宋"/>
                <w:b/>
                <w:color w:val="auto"/>
                <w:kern w:val="0"/>
                <w:sz w:val="21"/>
                <w:szCs w:val="21"/>
                <w:highlight w:val="none"/>
              </w:rPr>
              <w:t>预算情况</w:t>
            </w:r>
          </w:p>
        </w:tc>
        <w:tc>
          <w:tcPr>
            <w:tcW w:w="1656" w:type="pct"/>
            <w:noWrap w:val="0"/>
            <w:vAlign w:val="center"/>
          </w:tcPr>
          <w:p>
            <w:pPr>
              <w:widowControl/>
              <w:spacing w:line="240" w:lineRule="auto"/>
              <w:ind w:firstLine="0" w:firstLineChars="0"/>
              <w:jc w:val="center"/>
              <w:rPr>
                <w:rFonts w:hint="eastAsia" w:ascii="仿宋" w:hAnsi="仿宋" w:cs="仿宋"/>
                <w:b/>
                <w:color w:val="auto"/>
                <w:kern w:val="0"/>
                <w:sz w:val="21"/>
                <w:szCs w:val="21"/>
                <w:highlight w:val="none"/>
              </w:rPr>
            </w:pPr>
          </w:p>
        </w:tc>
        <w:tc>
          <w:tcPr>
            <w:tcW w:w="978" w:type="pct"/>
            <w:noWrap w:val="0"/>
            <w:vAlign w:val="center"/>
          </w:tcPr>
          <w:p>
            <w:pPr>
              <w:widowControl/>
              <w:spacing w:line="240" w:lineRule="auto"/>
              <w:ind w:firstLine="0" w:firstLineChars="0"/>
              <w:jc w:val="center"/>
              <w:rPr>
                <w:rFonts w:hint="eastAsia" w:ascii="仿宋" w:hAnsi="仿宋" w:cs="仿宋"/>
                <w:b/>
                <w:color w:val="auto"/>
                <w:kern w:val="0"/>
                <w:sz w:val="21"/>
                <w:szCs w:val="21"/>
                <w:highlight w:val="none"/>
              </w:rPr>
            </w:pPr>
            <w:r>
              <w:rPr>
                <w:rFonts w:hint="eastAsia" w:ascii="仿宋" w:hAnsi="仿宋" w:cs="仿宋"/>
                <w:b/>
                <w:color w:val="auto"/>
                <w:kern w:val="0"/>
                <w:sz w:val="21"/>
                <w:szCs w:val="21"/>
                <w:highlight w:val="none"/>
              </w:rPr>
              <w:t>其他情况</w:t>
            </w:r>
          </w:p>
        </w:tc>
        <w:tc>
          <w:tcPr>
            <w:tcW w:w="1225" w:type="pct"/>
            <w:noWrap/>
            <w:vAlign w:val="center"/>
          </w:tcPr>
          <w:p>
            <w:pPr>
              <w:widowControl/>
              <w:spacing w:line="240" w:lineRule="auto"/>
              <w:ind w:firstLine="0" w:firstLineChars="0"/>
              <w:jc w:val="center"/>
              <w:rPr>
                <w:rFonts w:hint="eastAsia" w:ascii="仿宋" w:hAnsi="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41" w:type="pct"/>
            <w:gridSpan w:val="2"/>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部门整体预算总额（万元）</w:t>
            </w:r>
          </w:p>
        </w:tc>
        <w:tc>
          <w:tcPr>
            <w:tcW w:w="1656"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21853.81</w:t>
            </w:r>
          </w:p>
        </w:tc>
        <w:tc>
          <w:tcPr>
            <w:tcW w:w="978"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下属单位个数</w:t>
            </w:r>
          </w:p>
        </w:tc>
        <w:tc>
          <w:tcPr>
            <w:tcW w:w="1225" w:type="pct"/>
            <w:noWrap/>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41" w:type="pct"/>
            <w:gridSpan w:val="2"/>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1.资金来源：</w:t>
            </w:r>
          </w:p>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（1）财政资金</w:t>
            </w:r>
          </w:p>
        </w:tc>
        <w:tc>
          <w:tcPr>
            <w:tcW w:w="1656"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21853.81</w:t>
            </w:r>
          </w:p>
        </w:tc>
        <w:tc>
          <w:tcPr>
            <w:tcW w:w="978"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内设机构数</w:t>
            </w:r>
          </w:p>
        </w:tc>
        <w:tc>
          <w:tcPr>
            <w:tcW w:w="1225" w:type="pct"/>
            <w:noWrap/>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41" w:type="pct"/>
            <w:gridSpan w:val="2"/>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 xml:space="preserve">（2）其他资金 </w:t>
            </w:r>
          </w:p>
        </w:tc>
        <w:tc>
          <w:tcPr>
            <w:tcW w:w="1656"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0.00</w:t>
            </w:r>
          </w:p>
        </w:tc>
        <w:tc>
          <w:tcPr>
            <w:tcW w:w="978"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年末编制人数</w:t>
            </w:r>
          </w:p>
        </w:tc>
        <w:tc>
          <w:tcPr>
            <w:tcW w:w="1225" w:type="pct"/>
            <w:noWrap/>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41" w:type="pct"/>
            <w:gridSpan w:val="2"/>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2.资金结构：</w:t>
            </w:r>
          </w:p>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（1）基本支出</w:t>
            </w:r>
          </w:p>
        </w:tc>
        <w:tc>
          <w:tcPr>
            <w:tcW w:w="1656" w:type="pct"/>
            <w:noWrap w:val="0"/>
            <w:vAlign w:val="center"/>
          </w:tcPr>
          <w:p>
            <w:pPr>
              <w:widowControl/>
              <w:spacing w:line="240" w:lineRule="auto"/>
              <w:ind w:firstLine="0" w:firstLineChars="0"/>
              <w:jc w:val="center"/>
              <w:rPr>
                <w:rFonts w:ascii="仿宋" w:hAnsi="仿宋"/>
                <w:color w:val="auto"/>
                <w:kern w:val="0"/>
                <w:sz w:val="22"/>
                <w:highlight w:val="none"/>
              </w:rPr>
            </w:pPr>
            <w:r>
              <w:rPr>
                <w:rFonts w:ascii="仿宋" w:hAnsi="仿宋"/>
                <w:color w:val="auto"/>
                <w:kern w:val="0"/>
                <w:sz w:val="22"/>
                <w:highlight w:val="none"/>
              </w:rPr>
              <w:t>13498.81</w:t>
            </w:r>
          </w:p>
        </w:tc>
        <w:tc>
          <w:tcPr>
            <w:tcW w:w="978"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年末在职人数</w:t>
            </w:r>
          </w:p>
        </w:tc>
        <w:tc>
          <w:tcPr>
            <w:tcW w:w="1225" w:type="pct"/>
            <w:noWrap/>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41" w:type="pct"/>
            <w:gridSpan w:val="2"/>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 xml:space="preserve">  其中：三公经费</w:t>
            </w:r>
          </w:p>
        </w:tc>
        <w:tc>
          <w:tcPr>
            <w:tcW w:w="1656" w:type="pct"/>
            <w:noWrap w:val="0"/>
            <w:vAlign w:val="center"/>
          </w:tcPr>
          <w:p>
            <w:pPr>
              <w:widowControl/>
              <w:spacing w:line="240" w:lineRule="auto"/>
              <w:ind w:firstLine="0" w:firstLineChars="0"/>
              <w:jc w:val="center"/>
              <w:rPr>
                <w:rFonts w:ascii="仿宋" w:hAnsi="仿宋"/>
                <w:color w:val="auto"/>
                <w:kern w:val="0"/>
                <w:sz w:val="22"/>
                <w:highlight w:val="none"/>
              </w:rPr>
            </w:pPr>
            <w:r>
              <w:rPr>
                <w:rFonts w:hint="eastAsia" w:ascii="仿宋" w:hAnsi="仿宋"/>
                <w:color w:val="auto"/>
                <w:kern w:val="0"/>
                <w:sz w:val="22"/>
                <w:highlight w:val="none"/>
              </w:rPr>
              <w:t>249.73</w:t>
            </w:r>
          </w:p>
        </w:tc>
        <w:tc>
          <w:tcPr>
            <w:tcW w:w="978"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p>
        </w:tc>
        <w:tc>
          <w:tcPr>
            <w:tcW w:w="1225" w:type="pct"/>
            <w:noWrap/>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41" w:type="pct"/>
            <w:gridSpan w:val="2"/>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 xml:space="preserve">（2）专项资金 </w:t>
            </w:r>
          </w:p>
        </w:tc>
        <w:tc>
          <w:tcPr>
            <w:tcW w:w="1656"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r>
              <w:rPr>
                <w:rFonts w:ascii="仿宋" w:hAnsi="仿宋"/>
                <w:color w:val="auto"/>
                <w:kern w:val="0"/>
                <w:sz w:val="22"/>
                <w:highlight w:val="none"/>
              </w:rPr>
              <w:t>8355.00</w:t>
            </w:r>
          </w:p>
        </w:tc>
        <w:tc>
          <w:tcPr>
            <w:tcW w:w="978" w:type="pct"/>
            <w:noWrap w:val="0"/>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p>
        </w:tc>
        <w:tc>
          <w:tcPr>
            <w:tcW w:w="1225" w:type="pct"/>
            <w:noWrap/>
            <w:vAlign w:val="center"/>
          </w:tcPr>
          <w:p>
            <w:pPr>
              <w:widowControl/>
              <w:spacing w:line="240" w:lineRule="auto"/>
              <w:ind w:firstLine="0" w:firstLineChars="0"/>
              <w:jc w:val="center"/>
              <w:rPr>
                <w:rFonts w:hint="eastAsia" w:ascii="仿宋" w:hAnsi="仿宋" w:cs="仿宋"/>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62" w:type="pct"/>
            <w:noWrap w:val="0"/>
            <w:vAlign w:val="center"/>
          </w:tcPr>
          <w:p>
            <w:pPr>
              <w:widowControl/>
              <w:spacing w:line="0" w:lineRule="atLeast"/>
              <w:ind w:firstLine="0" w:firstLineChars="0"/>
              <w:jc w:val="center"/>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年度总体目标</w:t>
            </w:r>
          </w:p>
        </w:tc>
        <w:tc>
          <w:tcPr>
            <w:tcW w:w="4538" w:type="pct"/>
            <w:gridSpan w:val="4"/>
            <w:noWrap w:val="0"/>
            <w:vAlign w:val="center"/>
          </w:tcPr>
          <w:p>
            <w:pPr>
              <w:widowControl/>
              <w:spacing w:line="0" w:lineRule="atLeast"/>
              <w:ind w:firstLine="0" w:firstLineChars="0"/>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 xml:space="preserve">    以习近平新时代中国特色社会主义思想为指导，增强“四个意识”，坚定“四个自信”，做到“两个维护”，切实践行习近平生态文明思想和“绿水青山就是金山银山”理念，深入学习领会习近平总书记视察山东、视察青岛重要指示批示精神,全面落实市委、市政府决策部署，学深圳、赶深圳，提升思想方法，改造工作方法，聚焦“攻山头”“稳阵地”主线，突出“双招双引”“15个攻势”主题，抓好“污染防治攻坚”“服务高质量发展”主业，坚定信心、保持定力、锐意进取，强化党建引领,全面从严治党，努力争先创优，以改革创新提升生态环境治理体系和治理能力现代化水平，以队伍建设的“自身硬”确保生态环境持续改善的“打铁”成效，统筹做好疫情防控和经济社会发展生态环保工作，坚决完成“十三五”规划和“1+1+8”污染防治攻坚战等各项目标任务，全力推动“搞活一座城”，努力打造绿水青山“青岛样板”，为加快建设开放、现代、活力、时尚的国际大都市贡献环保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000" w:type="pct"/>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
                <w:color w:val="auto"/>
                <w:kern w:val="0"/>
                <w:sz w:val="21"/>
                <w:szCs w:val="21"/>
                <w:highlight w:val="none"/>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一级指标</w:t>
            </w:r>
          </w:p>
        </w:tc>
        <w:tc>
          <w:tcPr>
            <w:tcW w:w="67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二级指标</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三级指标</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指标值</w:t>
            </w:r>
          </w:p>
        </w:tc>
        <w:tc>
          <w:tcPr>
            <w:tcW w:w="122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职责履行</w:t>
            </w: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打赢蓝天保卫战</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全市镇街空气自动站数据管理应用</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141个</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建立道路走航监测系统平台</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ascii="仿宋" w:hAnsi="仿宋" w:cs="仿宋"/>
                <w:bCs/>
                <w:color w:val="auto"/>
                <w:kern w:val="0"/>
                <w:sz w:val="21"/>
                <w:szCs w:val="21"/>
                <w:highlight w:val="none"/>
              </w:rPr>
              <w:t>1</w:t>
            </w:r>
            <w:r>
              <w:rPr>
                <w:rFonts w:hint="eastAsia" w:ascii="仿宋" w:hAnsi="仿宋" w:cs="仿宋"/>
                <w:bCs/>
                <w:color w:val="auto"/>
                <w:kern w:val="0"/>
                <w:sz w:val="21"/>
                <w:szCs w:val="21"/>
                <w:highlight w:val="none"/>
              </w:rPr>
              <w:t>套</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kern w:val="0"/>
                <w:sz w:val="21"/>
                <w:szCs w:val="21"/>
                <w:highlight w:val="none"/>
                <w:lang w:bidi="ar"/>
              </w:rPr>
            </w:pPr>
            <w:r>
              <w:rPr>
                <w:rFonts w:hint="eastAsia" w:ascii="仿宋" w:hAnsi="仿宋" w:cs="仿宋"/>
                <w:color w:val="auto"/>
                <w:kern w:val="0"/>
                <w:sz w:val="21"/>
                <w:szCs w:val="21"/>
                <w:highlight w:val="none"/>
                <w:lang w:bidi="ar"/>
              </w:rPr>
              <w:t>打赢碧水保卫战</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地表水水体断面水质监测数量</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94个</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kern w:val="0"/>
                <w:sz w:val="21"/>
                <w:szCs w:val="21"/>
                <w:highlight w:val="none"/>
                <w:lang w:bidi="ar"/>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生态补偿水体范围</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扩大</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kern w:val="0"/>
                <w:sz w:val="21"/>
                <w:szCs w:val="21"/>
                <w:highlight w:val="none"/>
                <w:lang w:bidi="ar"/>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集中式饮用水水源地保护区域</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31处</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打好海洋生态环境保护硬仗</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olor w:val="auto"/>
                <w:sz w:val="29"/>
                <w:szCs w:val="29"/>
                <w:highlight w:val="none"/>
                <w:shd w:val="clear" w:color="auto" w:fill="FFFFFF"/>
              </w:rPr>
            </w:pPr>
            <w:r>
              <w:rPr>
                <w:rFonts w:hint="eastAsia" w:ascii="仿宋" w:hAnsi="仿宋" w:cs="宋体"/>
                <w:color w:val="auto"/>
                <w:kern w:val="0"/>
                <w:sz w:val="21"/>
                <w:szCs w:val="21"/>
                <w:highlight w:val="none"/>
              </w:rPr>
              <w:t>胶州湾湾长制管理信息系统建设</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宋体"/>
                <w:color w:val="auto"/>
                <w:kern w:val="0"/>
                <w:sz w:val="21"/>
                <w:szCs w:val="21"/>
                <w:highlight w:val="none"/>
              </w:rPr>
              <w:t>启动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全市设立市、区（市）、镇三级湾长</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全覆盖</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开展入海排污口监测与初步溯源</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溯源排查入海排污口</w:t>
            </w:r>
            <w:r>
              <w:rPr>
                <w:rFonts w:ascii="仿宋" w:hAnsi="仿宋" w:cs="宋体"/>
                <w:color w:val="auto"/>
                <w:kern w:val="0"/>
                <w:sz w:val="21"/>
                <w:szCs w:val="21"/>
                <w:highlight w:val="none"/>
              </w:rPr>
              <w:t>6000</w:t>
            </w:r>
            <w:r>
              <w:rPr>
                <w:rFonts w:hint="eastAsia" w:ascii="仿宋" w:hAnsi="仿宋" w:cs="宋体"/>
                <w:color w:val="auto"/>
                <w:kern w:val="0"/>
                <w:sz w:val="21"/>
                <w:szCs w:val="21"/>
                <w:highlight w:val="none"/>
              </w:rPr>
              <w:t>个，监测</w:t>
            </w:r>
            <w:r>
              <w:rPr>
                <w:rFonts w:ascii="仿宋" w:hAnsi="仿宋" w:cs="宋体"/>
                <w:color w:val="auto"/>
                <w:kern w:val="0"/>
                <w:sz w:val="21"/>
                <w:szCs w:val="21"/>
                <w:highlight w:val="none"/>
              </w:rPr>
              <w:t>1200</w:t>
            </w:r>
            <w:r>
              <w:rPr>
                <w:rFonts w:hint="eastAsia" w:ascii="仿宋" w:hAnsi="仿宋" w:cs="宋体"/>
                <w:color w:val="auto"/>
                <w:kern w:val="0"/>
                <w:sz w:val="21"/>
                <w:szCs w:val="21"/>
                <w:highlight w:val="none"/>
              </w:rPr>
              <w:t>个</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加强农村生态环境保护</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行政村完成治理目标任务</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40%</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污染物总量减排、降碳</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污染物总量减排、降碳量</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下降</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完成中央、省生态环境保护督察反馈问题年度整改任务</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eastAsiaTheme="minorEastAsia"/>
                <w:color w:val="auto"/>
                <w:kern w:val="0"/>
                <w:sz w:val="21"/>
                <w:szCs w:val="21"/>
                <w:highlight w:val="none"/>
                <w:lang w:eastAsia="zh-CN"/>
              </w:rPr>
            </w:pPr>
            <w:r>
              <w:rPr>
                <w:rFonts w:hint="eastAsia" w:ascii="仿宋" w:hAnsi="仿宋" w:cs="宋体"/>
                <w:color w:val="auto"/>
                <w:kern w:val="0"/>
                <w:sz w:val="21"/>
                <w:szCs w:val="21"/>
                <w:highlight w:val="none"/>
              </w:rPr>
              <w:t>完成中央生态环保督察及“回头看”、省生态环保督察反馈问题</w:t>
            </w:r>
            <w:r>
              <w:rPr>
                <w:rFonts w:hint="eastAsia" w:ascii="仿宋" w:hAnsi="仿宋" w:cs="宋体"/>
                <w:color w:val="auto"/>
                <w:kern w:val="0"/>
                <w:sz w:val="21"/>
                <w:szCs w:val="21"/>
                <w:highlight w:val="none"/>
                <w:lang w:eastAsia="zh-CN"/>
              </w:rPr>
              <w:t>年度整改任务</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lang w:val="en-US" w:eastAsia="zh-CN"/>
              </w:rPr>
              <w:t>44</w:t>
            </w:r>
            <w:r>
              <w:rPr>
                <w:rFonts w:hint="eastAsia" w:ascii="仿宋" w:hAnsi="仿宋" w:cs="宋体"/>
                <w:color w:val="auto"/>
                <w:kern w:val="0"/>
                <w:sz w:val="21"/>
                <w:szCs w:val="21"/>
                <w:highlight w:val="none"/>
              </w:rPr>
              <w:t>项</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强化环境执法监管</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组织做好疫情防控执法检查</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ascii="仿宋" w:hAnsi="仿宋" w:cs="宋体"/>
                <w:color w:val="auto"/>
                <w:kern w:val="0"/>
                <w:sz w:val="21"/>
                <w:szCs w:val="21"/>
                <w:highlight w:val="none"/>
              </w:rPr>
              <w:t>启动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开展执法帮扶，支持企业复工复产</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宋体"/>
                <w:color w:val="auto"/>
                <w:kern w:val="0"/>
                <w:sz w:val="21"/>
                <w:szCs w:val="21"/>
                <w:highlight w:val="none"/>
              </w:rPr>
            </w:pPr>
            <w:r>
              <w:rPr>
                <w:rFonts w:ascii="仿宋" w:hAnsi="仿宋" w:cs="宋体"/>
                <w:color w:val="auto"/>
                <w:kern w:val="0"/>
                <w:sz w:val="21"/>
                <w:szCs w:val="21"/>
                <w:highlight w:val="none"/>
              </w:rPr>
              <w:t>启动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开展执法行动</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ascii="仿宋" w:hAnsi="仿宋" w:cs="宋体"/>
                <w:color w:val="auto"/>
                <w:kern w:val="0"/>
                <w:sz w:val="21"/>
                <w:szCs w:val="21"/>
                <w:highlight w:val="none"/>
              </w:rPr>
              <w:t>700起</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加强建设用地土壤污染防治各项工作，推进项目落地</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将评审时限缩短</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宋体"/>
                <w:color w:val="auto"/>
                <w:kern w:val="0"/>
                <w:sz w:val="21"/>
                <w:szCs w:val="21"/>
                <w:highlight w:val="none"/>
              </w:rPr>
            </w:pPr>
            <w:r>
              <w:rPr>
                <w:rFonts w:hint="eastAsia" w:ascii="仿宋" w:hAnsi="仿宋" w:cs="宋体"/>
                <w:color w:val="auto"/>
                <w:kern w:val="0"/>
                <w:sz w:val="21"/>
                <w:szCs w:val="21"/>
                <w:highlight w:val="none"/>
              </w:rPr>
              <w:t>10个工作日</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土壤污染状况调查报告评审数量</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宋体"/>
                <w:color w:val="auto"/>
                <w:kern w:val="0"/>
                <w:sz w:val="21"/>
                <w:szCs w:val="21"/>
                <w:highlight w:val="none"/>
              </w:rPr>
            </w:pPr>
            <w:r>
              <w:rPr>
                <w:rFonts w:ascii="仿宋" w:hAnsi="仿宋" w:cs="宋体"/>
                <w:color w:val="auto"/>
                <w:kern w:val="0"/>
                <w:sz w:val="21"/>
                <w:szCs w:val="21"/>
                <w:highlight w:val="none"/>
              </w:rPr>
              <w:t>≥</w:t>
            </w:r>
            <w:r>
              <w:rPr>
                <w:rFonts w:hint="eastAsia" w:ascii="仿宋" w:hAnsi="仿宋" w:cs="宋体"/>
                <w:color w:val="auto"/>
                <w:kern w:val="0"/>
                <w:sz w:val="21"/>
                <w:szCs w:val="21"/>
                <w:highlight w:val="none"/>
              </w:rPr>
              <w:t>8</w:t>
            </w:r>
            <w:r>
              <w:rPr>
                <w:rFonts w:ascii="仿宋" w:hAnsi="仿宋" w:cs="宋体"/>
                <w:color w:val="auto"/>
                <w:kern w:val="0"/>
                <w:sz w:val="21"/>
                <w:szCs w:val="21"/>
                <w:highlight w:val="none"/>
              </w:rPr>
              <w:t>00</w:t>
            </w:r>
            <w:r>
              <w:rPr>
                <w:rFonts w:hint="eastAsia" w:ascii="仿宋" w:hAnsi="仿宋" w:cs="宋体"/>
                <w:color w:val="auto"/>
                <w:kern w:val="0"/>
                <w:sz w:val="21"/>
                <w:szCs w:val="21"/>
                <w:highlight w:val="none"/>
              </w:rPr>
              <w:t>个</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全市启动生态环境损害赔偿案件</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宋体"/>
                <w:color w:val="auto"/>
                <w:kern w:val="0"/>
                <w:sz w:val="21"/>
                <w:szCs w:val="21"/>
                <w:highlight w:val="none"/>
              </w:rPr>
            </w:pPr>
            <w:r>
              <w:rPr>
                <w:rFonts w:ascii="仿宋" w:hAnsi="仿宋" w:cs="宋体"/>
                <w:color w:val="auto"/>
                <w:kern w:val="0"/>
                <w:sz w:val="21"/>
                <w:szCs w:val="21"/>
                <w:highlight w:val="none"/>
              </w:rPr>
              <w:t>≥</w:t>
            </w:r>
            <w:r>
              <w:rPr>
                <w:rFonts w:hint="eastAsia" w:ascii="仿宋" w:hAnsi="仿宋" w:cs="宋体"/>
                <w:color w:val="auto"/>
                <w:kern w:val="0"/>
                <w:sz w:val="21"/>
                <w:szCs w:val="21"/>
                <w:highlight w:val="none"/>
              </w:rPr>
              <w:t>3</w:t>
            </w:r>
            <w:r>
              <w:rPr>
                <w:rFonts w:ascii="仿宋" w:hAnsi="仿宋" w:cs="宋体"/>
                <w:color w:val="auto"/>
                <w:kern w:val="0"/>
                <w:sz w:val="21"/>
                <w:szCs w:val="21"/>
                <w:highlight w:val="none"/>
              </w:rPr>
              <w:t>00</w:t>
            </w:r>
            <w:r>
              <w:rPr>
                <w:rFonts w:hint="eastAsia" w:ascii="仿宋" w:hAnsi="仿宋" w:cs="宋体"/>
                <w:color w:val="auto"/>
                <w:kern w:val="0"/>
                <w:sz w:val="21"/>
                <w:szCs w:val="21"/>
                <w:highlight w:val="none"/>
              </w:rPr>
              <w:t>起</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宋体"/>
                <w:color w:val="auto"/>
                <w:kern w:val="0"/>
                <w:sz w:val="21"/>
                <w:szCs w:val="21"/>
                <w:highlight w:val="none"/>
              </w:rPr>
            </w:pPr>
            <w:r>
              <w:rPr>
                <w:rFonts w:hint="eastAsia" w:ascii="仿宋" w:hAnsi="仿宋" w:cs="宋体"/>
                <w:color w:val="auto"/>
                <w:kern w:val="0"/>
                <w:sz w:val="21"/>
                <w:szCs w:val="21"/>
                <w:highlight w:val="none"/>
              </w:rPr>
              <w:t>地块采样调查及成果集成</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宋体"/>
                <w:color w:val="auto"/>
                <w:kern w:val="0"/>
                <w:sz w:val="21"/>
                <w:szCs w:val="21"/>
                <w:highlight w:val="none"/>
              </w:rPr>
            </w:pPr>
            <w:r>
              <w:rPr>
                <w:rFonts w:ascii="仿宋" w:hAnsi="仿宋" w:cs="宋体"/>
                <w:color w:val="auto"/>
                <w:kern w:val="0"/>
                <w:sz w:val="21"/>
                <w:szCs w:val="21"/>
                <w:highlight w:val="none"/>
              </w:rPr>
              <w:t>≥</w:t>
            </w:r>
            <w:r>
              <w:rPr>
                <w:rFonts w:hint="eastAsia" w:ascii="仿宋" w:hAnsi="仿宋" w:cs="宋体"/>
                <w:color w:val="auto"/>
                <w:kern w:val="0"/>
                <w:sz w:val="21"/>
                <w:szCs w:val="21"/>
                <w:highlight w:val="none"/>
              </w:rPr>
              <w:t>1</w:t>
            </w:r>
            <w:r>
              <w:rPr>
                <w:rFonts w:ascii="仿宋" w:hAnsi="仿宋" w:cs="宋体"/>
                <w:color w:val="auto"/>
                <w:kern w:val="0"/>
                <w:sz w:val="21"/>
                <w:szCs w:val="21"/>
                <w:highlight w:val="none"/>
              </w:rPr>
              <w:t>00</w:t>
            </w:r>
            <w:r>
              <w:rPr>
                <w:rFonts w:hint="eastAsia" w:ascii="仿宋" w:hAnsi="仿宋" w:cs="宋体"/>
                <w:color w:val="auto"/>
                <w:kern w:val="0"/>
                <w:sz w:val="21"/>
                <w:szCs w:val="21"/>
                <w:highlight w:val="none"/>
              </w:rPr>
              <w:t>个</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2020年度市直单位业务目标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履职效能</w:t>
            </w: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行政效能指标</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群众环境问题投诉率</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降低5%</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考察我市群众环境问题投诉情况。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上级部门考核情况</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优</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考察上年度上级部门考核情况。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社会效益指标</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集中式饮用水水源地水质稳定达标情况</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100%</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考察我市集中式饮用水水源地水质稳定达标情况。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11个国省控断面达标率</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100%</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考察我市11个国省控断面达标率。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固定污染源排污许可覆盖率</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100%</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考察全市固定污染源排污许可覆盖情况。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涉危废单位危废的转移、处置、全链条实现跟踪</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提供决策依据</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16"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考察涉危废单位危废的转移、处置、全链条实现跟踪情况。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土壤环境质量</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提升</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16"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考察我市土壤环境质量提升情况。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生态环境损害赔偿案件覆盖率</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100%</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16"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考察全市生态环境损害赔偿案件覆盖情况。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生态环境违法违规案件发生情况</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降低5%</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16"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考察我市生态环境违法违规案件发生情况。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生态效益指标</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市区环境空气质量优良率</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lang w:val="en-US" w:eastAsia="zh-CN"/>
              </w:rPr>
              <w:t>85</w:t>
            </w:r>
            <w:r>
              <w:rPr>
                <w:rFonts w:hint="eastAsia" w:ascii="仿宋" w:hAnsi="仿宋" w:cs="仿宋"/>
                <w:bCs/>
                <w:color w:val="auto"/>
                <w:kern w:val="0"/>
                <w:sz w:val="21"/>
                <w:szCs w:val="21"/>
                <w:highlight w:val="none"/>
              </w:rPr>
              <w:t>%</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考察市区环境空气质量优良情况。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近岸海域优良水质情况</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98.8%</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考察我市近岸海域优良水质情况。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color w:val="auto"/>
                <w:sz w:val="21"/>
                <w:szCs w:val="21"/>
                <w:highlight w:val="none"/>
              </w:rPr>
            </w:pPr>
            <w:r>
              <w:rPr>
                <w:rFonts w:hint="eastAsia" w:ascii="仿宋" w:hAnsi="仿宋" w:cs="仿宋"/>
                <w:color w:val="auto"/>
                <w:kern w:val="0"/>
                <w:sz w:val="21"/>
                <w:szCs w:val="21"/>
                <w:highlight w:val="none"/>
                <w:lang w:bidi="ar"/>
              </w:rPr>
              <w:t>可持续影响指标</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全市大气污染防治工作机制</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健全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考察我市大气污染防治工作机制健全情况。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土壤固废环境保护和污染防治机制健全性</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健全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考察我市土壤固废环境保护和污染防治机制健全情况。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环境应急处置协调联动机制</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健全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考察我市环境应急处置协调联动机制健全情况。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67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jc w:val="center"/>
              <w:textAlignment w:val="auto"/>
              <w:rPr>
                <w:rFonts w:hint="eastAsia" w:ascii="仿宋" w:hAnsi="仿宋" w:cs="仿宋"/>
                <w:color w:val="auto"/>
                <w:sz w:val="21"/>
                <w:szCs w:val="21"/>
                <w:highlight w:val="none"/>
              </w:rPr>
            </w:pP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水污染防治与保护机制健全性</w:t>
            </w: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健全</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考察我市水污染防治与保护机制健全情况。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满意度指标</w:t>
            </w:r>
          </w:p>
        </w:tc>
        <w:tc>
          <w:tcPr>
            <w:tcW w:w="67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满意度指标</w:t>
            </w:r>
          </w:p>
        </w:tc>
        <w:tc>
          <w:tcPr>
            <w:tcW w:w="165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仿宋" w:hAnsi="仿宋" w:cs="仿宋"/>
                <w:bCs/>
                <w:color w:val="auto"/>
                <w:kern w:val="0"/>
                <w:sz w:val="21"/>
                <w:szCs w:val="21"/>
                <w:highlight w:val="none"/>
              </w:rPr>
            </w:pPr>
            <w:r>
              <w:rPr>
                <w:rFonts w:hint="eastAsia" w:ascii="仿宋" w:hAnsi="仿宋" w:cs="仿宋"/>
                <w:bCs/>
                <w:color w:val="auto"/>
                <w:kern w:val="0"/>
                <w:sz w:val="21"/>
                <w:szCs w:val="21"/>
                <w:highlight w:val="none"/>
              </w:rPr>
              <w:t>群众满意度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p>
        </w:tc>
        <w:tc>
          <w:tcPr>
            <w:tcW w:w="978"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≥85%</w:t>
            </w:r>
          </w:p>
        </w:tc>
        <w:tc>
          <w:tcPr>
            <w:tcW w:w="122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cs="仿宋"/>
                <w:bCs/>
                <w:color w:val="auto"/>
                <w:kern w:val="0"/>
                <w:sz w:val="21"/>
                <w:szCs w:val="21"/>
                <w:highlight w:val="none"/>
              </w:rPr>
            </w:pPr>
            <w:r>
              <w:rPr>
                <w:rFonts w:hint="eastAsia" w:ascii="仿宋" w:hAnsi="仿宋" w:cs="仿宋"/>
                <w:bCs/>
                <w:color w:val="auto"/>
                <w:kern w:val="0"/>
                <w:sz w:val="21"/>
                <w:szCs w:val="21"/>
                <w:highlight w:val="none"/>
              </w:rPr>
              <w:t>社会公众、其他部门（单位）或服务对象对部门履职效果的满意程度。</w:t>
            </w:r>
          </w:p>
        </w:tc>
      </w:tr>
    </w:tbl>
    <w:p>
      <w:pPr>
        <w:pStyle w:val="4"/>
        <w:numPr>
          <w:ilvl w:val="1"/>
          <w:numId w:val="0"/>
        </w:numPr>
        <w:spacing w:before="120" w:after="120"/>
        <w:ind w:left="200" w:leftChars="0"/>
        <w:rPr>
          <w:rFonts w:hint="eastAsia" w:ascii="仿宋_GB2312"/>
          <w:color w:val="auto"/>
          <w:highlight w:val="none"/>
        </w:rPr>
      </w:pPr>
      <w:bookmarkStart w:id="83" w:name="_Toc8240"/>
    </w:p>
    <w:p>
      <w:pPr>
        <w:pStyle w:val="4"/>
        <w:numPr>
          <w:ilvl w:val="1"/>
          <w:numId w:val="0"/>
        </w:numPr>
        <w:spacing w:before="120" w:after="120"/>
        <w:ind w:left="200" w:leftChars="0"/>
        <w:rPr>
          <w:rFonts w:hint="eastAsia" w:ascii="仿宋_GB2312"/>
          <w:color w:val="auto"/>
          <w:highlight w:val="none"/>
        </w:rPr>
      </w:pPr>
    </w:p>
    <w:p>
      <w:pPr>
        <w:pStyle w:val="4"/>
        <w:numPr>
          <w:ilvl w:val="1"/>
          <w:numId w:val="0"/>
        </w:numPr>
        <w:spacing w:before="120" w:after="120"/>
        <w:ind w:left="200" w:leftChars="0"/>
        <w:rPr>
          <w:rFonts w:hint="eastAsia" w:ascii="仿宋_GB2312"/>
          <w:color w:val="auto"/>
          <w:highlight w:val="none"/>
        </w:rPr>
      </w:pPr>
    </w:p>
    <w:p>
      <w:pPr>
        <w:pStyle w:val="4"/>
        <w:numPr>
          <w:ilvl w:val="1"/>
          <w:numId w:val="0"/>
        </w:numPr>
        <w:spacing w:before="120" w:after="120"/>
        <w:ind w:left="200" w:leftChars="0"/>
        <w:rPr>
          <w:rFonts w:hint="eastAsia" w:ascii="仿宋_GB2312"/>
          <w:color w:val="auto"/>
          <w:highlight w:val="none"/>
        </w:rPr>
      </w:pPr>
    </w:p>
    <w:p>
      <w:pPr>
        <w:pStyle w:val="4"/>
        <w:numPr>
          <w:ilvl w:val="1"/>
          <w:numId w:val="0"/>
        </w:numPr>
        <w:spacing w:before="120" w:after="120"/>
        <w:rPr>
          <w:rFonts w:hint="eastAsia" w:ascii="仿宋_GB2312"/>
          <w:color w:val="auto"/>
          <w:highlight w:val="none"/>
        </w:rPr>
      </w:pPr>
    </w:p>
    <w:p>
      <w:pPr>
        <w:pStyle w:val="4"/>
        <w:numPr>
          <w:ilvl w:val="1"/>
          <w:numId w:val="0"/>
        </w:numPr>
        <w:spacing w:before="120" w:after="120"/>
        <w:ind w:left="200" w:leftChars="0"/>
        <w:rPr>
          <w:rFonts w:hint="eastAsia" w:ascii="仿宋_GB2312"/>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r>
        <w:rPr>
          <w:rFonts w:hint="eastAsia"/>
          <w:color w:val="auto"/>
          <w:highlight w:val="none"/>
        </w:rPr>
        <w:br w:type="page"/>
      </w:r>
    </w:p>
    <w:p>
      <w:pPr>
        <w:outlineLvl w:val="9"/>
        <w:rPr>
          <w:rFonts w:hint="eastAsia"/>
          <w:color w:val="auto"/>
          <w:highlight w:val="none"/>
        </w:rPr>
        <w:sectPr>
          <w:headerReference r:id="rId9" w:type="first"/>
          <w:footerReference r:id="rId12" w:type="first"/>
          <w:headerReference r:id="rId7" w:type="default"/>
          <w:footerReference r:id="rId10" w:type="default"/>
          <w:headerReference r:id="rId8" w:type="even"/>
          <w:footerReference r:id="rId11" w:type="even"/>
          <w:pgSz w:w="11906" w:h="16838"/>
          <w:pgMar w:top="907" w:right="1701" w:bottom="1304" w:left="1701" w:header="1134" w:footer="992" w:gutter="0"/>
          <w:cols w:space="720" w:num="1"/>
          <w:docGrid w:linePitch="312" w:charSpace="0"/>
        </w:sectPr>
      </w:pPr>
    </w:p>
    <w:p>
      <w:pPr>
        <w:keepNext/>
        <w:keepLines/>
        <w:pageBreakBefore w:val="0"/>
        <w:widowControl w:val="0"/>
        <w:numPr>
          <w:ilvl w:val="1"/>
          <w:numId w:val="0"/>
        </w:numPr>
        <w:kinsoku/>
        <w:wordWrap/>
        <w:overflowPunct/>
        <w:topLinePunct w:val="0"/>
        <w:autoSpaceDE/>
        <w:autoSpaceDN/>
        <w:bidi w:val="0"/>
        <w:adjustRightInd/>
        <w:snapToGrid/>
        <w:spacing w:before="120" w:after="120" w:line="216" w:lineRule="auto"/>
        <w:textAlignment w:val="auto"/>
        <w:outlineLvl w:val="9"/>
        <w:rPr>
          <w:rFonts w:hint="eastAsia" w:ascii="仿宋_GB2312" w:hAnsi="仿宋_GB2312" w:eastAsia="仿宋_GB2312" w:cs="仿宋_GB2312"/>
          <w:color w:val="auto"/>
          <w:sz w:val="24"/>
          <w:szCs w:val="40"/>
          <w:highlight w:val="none"/>
          <w:lang w:val="en-US" w:eastAsia="zh-CN"/>
        </w:rPr>
      </w:pPr>
      <w:r>
        <w:rPr>
          <w:rFonts w:hint="eastAsia" w:ascii="仿宋_GB2312" w:hAnsi="仿宋_GB2312" w:eastAsia="仿宋_GB2312" w:cs="仿宋_GB2312"/>
          <w:color w:val="auto"/>
          <w:sz w:val="24"/>
          <w:szCs w:val="40"/>
          <w:highlight w:val="none"/>
        </w:rPr>
        <w:t>附件3</w:t>
      </w:r>
      <w:r>
        <w:rPr>
          <w:rFonts w:hint="eastAsia" w:ascii="仿宋_GB2312" w:hAnsi="仿宋_GB2312" w:eastAsia="仿宋_GB2312" w:cs="仿宋_GB2312"/>
          <w:color w:val="auto"/>
          <w:sz w:val="24"/>
          <w:szCs w:val="40"/>
          <w:highlight w:val="none"/>
          <w:lang w:val="en-US" w:eastAsia="zh-CN"/>
        </w:rPr>
        <w:t>.</w:t>
      </w:r>
    </w:p>
    <w:bookmarkEnd w:id="83"/>
    <w:p>
      <w:pPr>
        <w:pStyle w:val="20"/>
        <w:rPr>
          <w:rFonts w:hint="eastAsia" w:ascii="宋体" w:hAnsi="宋体" w:eastAsia="宋体" w:cs="宋体"/>
          <w:b/>
          <w:bCs/>
          <w:color w:val="auto"/>
          <w:kern w:val="0"/>
          <w:sz w:val="32"/>
          <w:szCs w:val="32"/>
          <w:highlight w:val="none"/>
          <w:lang w:val="zh-CN" w:eastAsia="zh-CN" w:bidi="ar-SA"/>
        </w:rPr>
      </w:pPr>
      <w:r>
        <w:rPr>
          <w:rFonts w:hint="eastAsia" w:ascii="宋体" w:hAnsi="宋体" w:eastAsia="宋体" w:cs="宋体"/>
          <w:b/>
          <w:bCs/>
          <w:color w:val="auto"/>
          <w:kern w:val="0"/>
          <w:sz w:val="32"/>
          <w:szCs w:val="32"/>
          <w:highlight w:val="none"/>
          <w:lang w:val="zh-CN" w:eastAsia="zh-CN" w:bidi="ar-SA"/>
        </w:rPr>
        <w:t>2020年度市直单位业务目标完成情况申报表</w:t>
      </w:r>
    </w:p>
    <w:tbl>
      <w:tblPr>
        <w:tblStyle w:val="23"/>
        <w:tblW w:w="147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0"/>
        <w:gridCol w:w="650"/>
        <w:gridCol w:w="984"/>
        <w:gridCol w:w="7203"/>
        <w:gridCol w:w="5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 w:hRule="atLeast"/>
          <w:jc w:val="center"/>
        </w:trPr>
        <w:tc>
          <w:tcPr>
            <w:tcW w:w="670"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rPr>
              <w:t>类别</w:t>
            </w:r>
          </w:p>
        </w:tc>
        <w:tc>
          <w:tcPr>
            <w:tcW w:w="650"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rPr>
              <w:t>序号</w:t>
            </w:r>
          </w:p>
        </w:tc>
        <w:tc>
          <w:tcPr>
            <w:tcW w:w="984"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rPr>
              <w:t>目标名称</w:t>
            </w:r>
          </w:p>
        </w:tc>
        <w:tc>
          <w:tcPr>
            <w:tcW w:w="7203"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rPr>
              <w:t>完成情况及取得实效</w:t>
            </w:r>
          </w:p>
        </w:tc>
        <w:tc>
          <w:tcPr>
            <w:tcW w:w="5253" w:type="dxa"/>
            <w:tcBorders>
              <w:bottom w:val="single" w:color="auto" w:sz="6" w:space="0"/>
            </w:tcBorders>
            <w:vAlign w:val="center"/>
          </w:tcPr>
          <w:p>
            <w:pPr>
              <w:adjustRightInd w:val="0"/>
              <w:snapToGrid w:val="0"/>
              <w:spacing w:line="240" w:lineRule="auto"/>
              <w:ind w:firstLine="0" w:firstLineChars="0"/>
              <w:jc w:val="center"/>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rPr>
              <w:t>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70" w:type="dxa"/>
            <w:vMerge w:val="restart"/>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r>
              <w:rPr>
                <w:rFonts w:hint="eastAsia" w:hAnsi="宋体" w:cs="Times New Roman"/>
                <w:color w:val="auto"/>
                <w:sz w:val="21"/>
                <w:szCs w:val="21"/>
                <w:highlight w:val="none"/>
              </w:rPr>
              <w:t>重点目标</w:t>
            </w:r>
          </w:p>
        </w:tc>
        <w:tc>
          <w:tcPr>
            <w:tcW w:w="650" w:type="dxa"/>
            <w:tcBorders>
              <w:top w:val="single" w:color="auto" w:sz="6" w:space="0"/>
              <w:bottom w:val="single" w:color="auto" w:sz="6" w:space="0"/>
            </w:tcBorders>
            <w:vAlign w:val="center"/>
          </w:tcPr>
          <w:p>
            <w:pPr>
              <w:spacing w:line="0" w:lineRule="atLeast"/>
              <w:ind w:firstLine="0" w:firstLineChars="0"/>
              <w:jc w:val="center"/>
              <w:rPr>
                <w:rFonts w:hAnsi="宋体" w:cs="宋体-18030"/>
                <w:color w:val="auto"/>
                <w:sz w:val="21"/>
                <w:szCs w:val="21"/>
                <w:highlight w:val="none"/>
              </w:rPr>
            </w:pPr>
            <w:r>
              <w:rPr>
                <w:rFonts w:hint="eastAsia" w:hAnsi="宋体" w:cs="宋体-18030"/>
                <w:color w:val="auto"/>
                <w:sz w:val="21"/>
                <w:szCs w:val="21"/>
                <w:highlight w:val="none"/>
              </w:rPr>
              <w:t>1</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宋体" w:cs="宋体-18030"/>
                <w:color w:val="auto"/>
                <w:sz w:val="21"/>
                <w:szCs w:val="21"/>
                <w:highlight w:val="none"/>
              </w:rPr>
            </w:pPr>
            <w:r>
              <w:rPr>
                <w:rFonts w:hint="eastAsia" w:hAnsi="Calibri"/>
                <w:color w:val="auto"/>
                <w:kern w:val="0"/>
                <w:sz w:val="21"/>
                <w:szCs w:val="21"/>
                <w:highlight w:val="none"/>
              </w:rPr>
              <w:t>打赢蓝天保卫战</w:t>
            </w:r>
          </w:p>
        </w:tc>
        <w:tc>
          <w:tcPr>
            <w:tcW w:w="7203" w:type="dxa"/>
            <w:tcBorders>
              <w:top w:val="single" w:color="auto" w:sz="6" w:space="0"/>
              <w:bottom w:val="single" w:color="auto" w:sz="6" w:space="0"/>
            </w:tcBorders>
            <w:vAlign w:val="center"/>
          </w:tcPr>
          <w:p>
            <w:pPr>
              <w:spacing w:line="306" w:lineRule="exact"/>
              <w:ind w:firstLine="482"/>
              <w:rPr>
                <w:color w:val="auto"/>
                <w:kern w:val="0"/>
                <w:sz w:val="21"/>
                <w:szCs w:val="21"/>
                <w:highlight w:val="none"/>
              </w:rPr>
            </w:pPr>
            <w:r>
              <w:rPr>
                <w:rFonts w:hint="eastAsia"/>
                <w:b/>
                <w:color w:val="auto"/>
                <w:sz w:val="21"/>
                <w:szCs w:val="21"/>
                <w:highlight w:val="none"/>
              </w:rPr>
              <w:t>目标内容：</w:t>
            </w:r>
            <w:r>
              <w:rPr>
                <w:rFonts w:hint="eastAsia"/>
                <w:color w:val="auto"/>
                <w:kern w:val="0"/>
                <w:sz w:val="21"/>
                <w:szCs w:val="21"/>
                <w:highlight w:val="none"/>
              </w:rPr>
              <w:t>组织实施蓝天保卫战作战方案，完善全市大气污染防治工作机制，加强全市142个镇街空气自动站数据管理应用，组织全市加强挥发性有机物、工业炉窑、建设扬尘等污染治理；建立道路走航监测系统平台，推进镇街建立大气污染防治网格化精细化管控机制建设。</w:t>
            </w:r>
          </w:p>
          <w:p>
            <w:pPr>
              <w:spacing w:line="306" w:lineRule="exact"/>
              <w:ind w:firstLine="482"/>
              <w:rPr>
                <w:rFonts w:hint="eastAsia" w:hAnsi="宋体"/>
                <w:color w:val="auto"/>
                <w:kern w:val="0"/>
                <w:sz w:val="21"/>
                <w:szCs w:val="21"/>
                <w:highlight w:val="none"/>
              </w:rPr>
            </w:pPr>
            <w:r>
              <w:rPr>
                <w:rFonts w:hint="eastAsia"/>
                <w:b/>
                <w:bCs/>
                <w:color w:val="auto"/>
                <w:kern w:val="0"/>
                <w:sz w:val="21"/>
                <w:szCs w:val="21"/>
                <w:highlight w:val="none"/>
              </w:rPr>
              <w:t>完成情况综述：</w:t>
            </w:r>
            <w:r>
              <w:rPr>
                <w:rFonts w:hint="eastAsia" w:hAnsi="宋体"/>
                <w:color w:val="auto"/>
                <w:kern w:val="0"/>
                <w:sz w:val="21"/>
                <w:szCs w:val="21"/>
                <w:highlight w:val="none"/>
              </w:rPr>
              <w:t>已完成。出台了大气污染防治强化攻坚措施，从抑尘、控车、压煤、减排等重点方面扎实推进蓝天保卫战各项工作任务，定期调度工作开展情况，印发工作简报11期，各项任务进展顺利。充分发挥全市大气污染防治工作新机制作用，每半月召开一次大气污染防治工作调度通报会，印发工作周报45期，通报突出问题，抓好责任落实。每周对全市142个镇街空气质量变化排名，提高各镇街改善空气质量的积极性。印发《</w:t>
            </w:r>
            <w:r>
              <w:rPr>
                <w:rFonts w:hint="eastAsia" w:hAnsi="宋体"/>
                <w:color w:val="auto"/>
                <w:sz w:val="21"/>
                <w:szCs w:val="21"/>
                <w:highlight w:val="none"/>
              </w:rPr>
              <w:t>青岛市2020年挥发性有机物治理攻坚方案</w:t>
            </w:r>
            <w:r>
              <w:rPr>
                <w:rFonts w:hint="eastAsia" w:hAnsi="宋体"/>
                <w:color w:val="auto"/>
                <w:kern w:val="0"/>
                <w:sz w:val="21"/>
                <w:szCs w:val="21"/>
                <w:highlight w:val="none"/>
              </w:rPr>
              <w:t>》，实施380余个VOCs治理项目，全年削减VOCs2600吨。完成钢铁行业超低排放改造，完成44台煤气发生炉等炉窑淘汰治理任务。强化扬尘污染防控，下发84期交办单，查处573个扬尘问题。精准治污、科学溯源,建成全市出租车道路走航监测系统，实时监测机动车道路污染情况，推进大气污染防治网格化精细管控机制建设，完成45个镇街的VOCs走航监测和39个镇街的雷达扫描监测，相关责任部门对发现问题进行重点检查，督促落实解决，形成工作闭环。</w:t>
            </w:r>
          </w:p>
          <w:p>
            <w:pPr>
              <w:spacing w:line="306" w:lineRule="exact"/>
              <w:ind w:firstLine="480"/>
              <w:rPr>
                <w:color w:val="auto"/>
                <w:sz w:val="21"/>
                <w:szCs w:val="21"/>
                <w:highlight w:val="none"/>
              </w:rPr>
            </w:pPr>
            <w:r>
              <w:rPr>
                <w:rFonts w:hint="eastAsia" w:hAnsi="宋体"/>
                <w:color w:val="auto"/>
                <w:kern w:val="0"/>
                <w:sz w:val="21"/>
                <w:szCs w:val="21"/>
                <w:highlight w:val="none"/>
              </w:rPr>
              <w:t>2020年，我市PM</w:t>
            </w:r>
            <w:r>
              <w:rPr>
                <w:rFonts w:hint="eastAsia" w:hAnsi="宋体"/>
                <w:color w:val="auto"/>
                <w:kern w:val="0"/>
                <w:sz w:val="21"/>
                <w:szCs w:val="21"/>
                <w:highlight w:val="none"/>
                <w:vertAlign w:val="subscript"/>
              </w:rPr>
              <w:t>2.5</w:t>
            </w:r>
            <w:r>
              <w:rPr>
                <w:rFonts w:hint="eastAsia" w:hAnsi="宋体"/>
                <w:color w:val="auto"/>
                <w:kern w:val="0"/>
                <w:sz w:val="21"/>
                <w:szCs w:val="21"/>
                <w:highlight w:val="none"/>
              </w:rPr>
              <w:t>平均浓度为31微克/立方米，空气质量优良率86.3%，均达到了考核目标。我市环境空气质量全面达到国家二级标准，PM</w:t>
            </w:r>
            <w:r>
              <w:rPr>
                <w:rFonts w:hint="eastAsia" w:hAnsi="宋体"/>
                <w:color w:val="auto"/>
                <w:kern w:val="0"/>
                <w:sz w:val="21"/>
                <w:szCs w:val="21"/>
                <w:highlight w:val="none"/>
                <w:vertAlign w:val="subscript"/>
              </w:rPr>
              <w:t>2.5</w:t>
            </w:r>
            <w:r>
              <w:rPr>
                <w:rFonts w:hint="eastAsia" w:hAnsi="宋体"/>
                <w:color w:val="auto"/>
                <w:kern w:val="0"/>
                <w:sz w:val="21"/>
                <w:szCs w:val="21"/>
                <w:highlight w:val="none"/>
              </w:rPr>
              <w:t>、PM</w:t>
            </w:r>
            <w:r>
              <w:rPr>
                <w:rFonts w:hint="eastAsia" w:hAnsi="宋体"/>
                <w:color w:val="auto"/>
                <w:kern w:val="0"/>
                <w:sz w:val="21"/>
                <w:szCs w:val="21"/>
                <w:highlight w:val="none"/>
                <w:vertAlign w:val="subscript"/>
              </w:rPr>
              <w:t>10</w:t>
            </w:r>
            <w:r>
              <w:rPr>
                <w:rFonts w:hint="eastAsia" w:hAnsi="宋体"/>
                <w:color w:val="auto"/>
                <w:kern w:val="0"/>
                <w:sz w:val="21"/>
                <w:szCs w:val="21"/>
                <w:highlight w:val="none"/>
              </w:rPr>
              <w:t>、二氧化硫、一氧化碳等四项污染物浓度均为2013年以来最好水平。</w:t>
            </w: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1.《青岛市2019-2020年冬季环境空气质量改善强化攻坚20条措施》；</w:t>
            </w:r>
          </w:p>
          <w:p>
            <w:pPr>
              <w:spacing w:line="306" w:lineRule="exact"/>
              <w:ind w:firstLine="0" w:firstLineChars="0"/>
              <w:rPr>
                <w:color w:val="auto"/>
                <w:sz w:val="21"/>
                <w:szCs w:val="21"/>
                <w:highlight w:val="none"/>
              </w:rPr>
            </w:pPr>
            <w:r>
              <w:rPr>
                <w:rFonts w:hint="eastAsia"/>
                <w:color w:val="auto"/>
                <w:sz w:val="21"/>
                <w:szCs w:val="21"/>
                <w:highlight w:val="none"/>
              </w:rPr>
              <w:t>2.蓝天保卫战工作简报（2020年1月-10月）；</w:t>
            </w:r>
          </w:p>
          <w:p>
            <w:pPr>
              <w:spacing w:line="306" w:lineRule="exact"/>
              <w:ind w:firstLine="0" w:firstLineChars="0"/>
              <w:rPr>
                <w:color w:val="auto"/>
                <w:sz w:val="21"/>
                <w:szCs w:val="21"/>
                <w:highlight w:val="none"/>
              </w:rPr>
            </w:pPr>
            <w:r>
              <w:rPr>
                <w:rFonts w:hint="eastAsia"/>
                <w:color w:val="auto"/>
                <w:sz w:val="21"/>
                <w:szCs w:val="21"/>
                <w:highlight w:val="none"/>
              </w:rPr>
              <w:t>3.青岛市生态环境局关于《打赢蓝天保卫战三年行动计划》实施情况的报告；</w:t>
            </w:r>
          </w:p>
          <w:p>
            <w:pPr>
              <w:spacing w:line="306" w:lineRule="exact"/>
              <w:ind w:firstLine="0" w:firstLineChars="0"/>
              <w:rPr>
                <w:color w:val="auto"/>
                <w:sz w:val="21"/>
                <w:szCs w:val="21"/>
                <w:highlight w:val="none"/>
              </w:rPr>
            </w:pPr>
            <w:r>
              <w:rPr>
                <w:rFonts w:hint="eastAsia"/>
                <w:color w:val="auto"/>
                <w:sz w:val="21"/>
                <w:szCs w:val="21"/>
                <w:highlight w:val="none"/>
              </w:rPr>
              <w:t>4.大气污染防治工作调度通报会会议通知及通报稿；</w:t>
            </w:r>
          </w:p>
          <w:p>
            <w:pPr>
              <w:spacing w:line="306" w:lineRule="exact"/>
              <w:ind w:firstLine="0" w:firstLineChars="0"/>
              <w:rPr>
                <w:color w:val="auto"/>
                <w:sz w:val="21"/>
                <w:szCs w:val="21"/>
                <w:highlight w:val="none"/>
              </w:rPr>
            </w:pPr>
            <w:r>
              <w:rPr>
                <w:rFonts w:hint="eastAsia"/>
                <w:color w:val="auto"/>
                <w:sz w:val="21"/>
                <w:szCs w:val="21"/>
                <w:highlight w:val="none"/>
              </w:rPr>
              <w:t>5.工作周报1-45期；</w:t>
            </w:r>
          </w:p>
          <w:p>
            <w:pPr>
              <w:spacing w:line="306" w:lineRule="exact"/>
              <w:ind w:firstLine="0" w:firstLineChars="0"/>
              <w:rPr>
                <w:color w:val="auto"/>
                <w:sz w:val="21"/>
                <w:szCs w:val="21"/>
                <w:highlight w:val="none"/>
              </w:rPr>
            </w:pPr>
            <w:r>
              <w:rPr>
                <w:rFonts w:hint="eastAsia"/>
                <w:color w:val="auto"/>
                <w:sz w:val="21"/>
                <w:szCs w:val="21"/>
                <w:highlight w:val="none"/>
              </w:rPr>
              <w:t>6.镇街空气质量变化排名通报；</w:t>
            </w:r>
          </w:p>
          <w:p>
            <w:pPr>
              <w:spacing w:line="306" w:lineRule="exact"/>
              <w:ind w:firstLine="0" w:firstLineChars="0"/>
              <w:rPr>
                <w:color w:val="auto"/>
                <w:sz w:val="21"/>
                <w:szCs w:val="21"/>
                <w:highlight w:val="none"/>
              </w:rPr>
            </w:pPr>
            <w:r>
              <w:rPr>
                <w:rFonts w:hint="eastAsia"/>
                <w:color w:val="auto"/>
                <w:sz w:val="21"/>
                <w:szCs w:val="21"/>
                <w:highlight w:val="none"/>
              </w:rPr>
              <w:t>7.《青岛市生态环境局办公室关于印发青岛市2020年挥发性有机物治理攻坚方案的通知》；</w:t>
            </w:r>
          </w:p>
          <w:p>
            <w:pPr>
              <w:spacing w:line="306" w:lineRule="exact"/>
              <w:ind w:firstLine="0" w:firstLineChars="0"/>
              <w:rPr>
                <w:color w:val="auto"/>
                <w:sz w:val="21"/>
                <w:szCs w:val="21"/>
                <w:highlight w:val="none"/>
              </w:rPr>
            </w:pPr>
            <w:r>
              <w:rPr>
                <w:rFonts w:hint="eastAsia"/>
                <w:color w:val="auto"/>
                <w:sz w:val="21"/>
                <w:szCs w:val="21"/>
                <w:highlight w:val="none"/>
              </w:rPr>
              <w:t>8.青岛市2020年VOCs治理项目清单；</w:t>
            </w:r>
          </w:p>
          <w:p>
            <w:pPr>
              <w:spacing w:line="306" w:lineRule="exact"/>
              <w:ind w:firstLine="0" w:firstLineChars="0"/>
              <w:rPr>
                <w:color w:val="auto"/>
                <w:sz w:val="21"/>
                <w:szCs w:val="21"/>
                <w:highlight w:val="none"/>
              </w:rPr>
            </w:pPr>
            <w:r>
              <w:rPr>
                <w:rFonts w:hint="eastAsia"/>
                <w:color w:val="auto"/>
                <w:sz w:val="21"/>
                <w:szCs w:val="21"/>
                <w:highlight w:val="none"/>
              </w:rPr>
              <w:t>9.钢铁行业超低排放改造验收材料；</w:t>
            </w:r>
          </w:p>
          <w:p>
            <w:pPr>
              <w:spacing w:line="306" w:lineRule="exact"/>
              <w:ind w:firstLine="0" w:firstLineChars="0"/>
              <w:rPr>
                <w:color w:val="auto"/>
                <w:sz w:val="21"/>
                <w:szCs w:val="21"/>
                <w:highlight w:val="none"/>
              </w:rPr>
            </w:pPr>
            <w:r>
              <w:rPr>
                <w:rFonts w:hint="eastAsia"/>
                <w:color w:val="auto"/>
                <w:sz w:val="21"/>
                <w:szCs w:val="21"/>
                <w:highlight w:val="none"/>
              </w:rPr>
              <w:t>10.《关于完善工业炉窑综合治理工作的通知》；</w:t>
            </w:r>
          </w:p>
          <w:p>
            <w:pPr>
              <w:spacing w:line="306" w:lineRule="exact"/>
              <w:ind w:firstLine="0" w:firstLineChars="0"/>
              <w:rPr>
                <w:color w:val="auto"/>
                <w:sz w:val="21"/>
                <w:szCs w:val="21"/>
                <w:highlight w:val="none"/>
              </w:rPr>
            </w:pPr>
            <w:r>
              <w:rPr>
                <w:rFonts w:hint="eastAsia"/>
                <w:color w:val="auto"/>
                <w:sz w:val="21"/>
                <w:szCs w:val="21"/>
                <w:highlight w:val="none"/>
              </w:rPr>
              <w:t>11.青岛市工业炉窑综合治理项目表及验收表；</w:t>
            </w:r>
          </w:p>
          <w:p>
            <w:pPr>
              <w:spacing w:line="306" w:lineRule="exact"/>
              <w:ind w:firstLine="0" w:firstLineChars="0"/>
              <w:rPr>
                <w:color w:val="auto"/>
                <w:sz w:val="21"/>
                <w:szCs w:val="21"/>
                <w:highlight w:val="none"/>
              </w:rPr>
            </w:pPr>
            <w:r>
              <w:rPr>
                <w:rFonts w:hint="eastAsia"/>
                <w:color w:val="auto"/>
                <w:sz w:val="21"/>
                <w:szCs w:val="21"/>
                <w:highlight w:val="none"/>
              </w:rPr>
              <w:t>12.2020年各区市扬尘污染交办单问题及办理情况统计表；</w:t>
            </w:r>
          </w:p>
          <w:p>
            <w:pPr>
              <w:spacing w:line="306" w:lineRule="exact"/>
              <w:ind w:firstLine="0" w:firstLineChars="0"/>
              <w:rPr>
                <w:color w:val="auto"/>
                <w:sz w:val="21"/>
                <w:szCs w:val="21"/>
                <w:highlight w:val="none"/>
              </w:rPr>
            </w:pPr>
            <w:r>
              <w:rPr>
                <w:rFonts w:hint="eastAsia"/>
                <w:color w:val="auto"/>
                <w:sz w:val="21"/>
                <w:szCs w:val="21"/>
                <w:highlight w:val="none"/>
              </w:rPr>
              <w:t>13.道路颗粒物走航周分析、月分析和问题交办材料样例；</w:t>
            </w:r>
          </w:p>
          <w:p>
            <w:pPr>
              <w:spacing w:line="306" w:lineRule="exact"/>
              <w:ind w:firstLine="0" w:firstLineChars="0"/>
              <w:rPr>
                <w:color w:val="auto"/>
                <w:sz w:val="21"/>
                <w:szCs w:val="21"/>
                <w:highlight w:val="none"/>
              </w:rPr>
            </w:pPr>
            <w:r>
              <w:rPr>
                <w:rFonts w:hint="eastAsia"/>
                <w:color w:val="auto"/>
                <w:sz w:val="21"/>
                <w:szCs w:val="21"/>
                <w:highlight w:val="none"/>
              </w:rPr>
              <w:t>14.大气污染网格化精细管控技术服务工作材料。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70" w:type="dxa"/>
            <w:vMerge w:val="continue"/>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p>
        </w:tc>
        <w:tc>
          <w:tcPr>
            <w:tcW w:w="650" w:type="dxa"/>
            <w:tcBorders>
              <w:top w:val="single" w:color="auto" w:sz="6" w:space="0"/>
              <w:bottom w:val="single" w:color="auto" w:sz="6" w:space="0"/>
            </w:tcBorders>
            <w:vAlign w:val="center"/>
          </w:tcPr>
          <w:p>
            <w:pPr>
              <w:spacing w:line="0" w:lineRule="atLeast"/>
              <w:ind w:firstLine="0" w:firstLineChars="0"/>
              <w:jc w:val="center"/>
              <w:rPr>
                <w:rFonts w:hAnsi="宋体" w:cs="宋体-18030"/>
                <w:color w:val="auto"/>
                <w:sz w:val="21"/>
                <w:szCs w:val="21"/>
                <w:highlight w:val="none"/>
              </w:rPr>
            </w:pPr>
            <w:r>
              <w:rPr>
                <w:rFonts w:hint="eastAsia" w:hAnsi="宋体" w:cs="宋体-18030"/>
                <w:color w:val="auto"/>
                <w:sz w:val="21"/>
                <w:szCs w:val="21"/>
                <w:highlight w:val="none"/>
              </w:rPr>
              <w:t>2</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Calibri"/>
                <w:color w:val="auto"/>
                <w:kern w:val="0"/>
                <w:sz w:val="21"/>
                <w:szCs w:val="21"/>
                <w:highlight w:val="none"/>
              </w:rPr>
            </w:pPr>
            <w:r>
              <w:rPr>
                <w:rFonts w:hint="eastAsia" w:hAnsi="Calibri"/>
                <w:color w:val="auto"/>
                <w:kern w:val="0"/>
                <w:sz w:val="21"/>
                <w:szCs w:val="21"/>
                <w:highlight w:val="none"/>
              </w:rPr>
              <w:t>打赢碧水保卫战</w:t>
            </w:r>
          </w:p>
        </w:tc>
        <w:tc>
          <w:tcPr>
            <w:tcW w:w="7203" w:type="dxa"/>
            <w:tcBorders>
              <w:top w:val="single" w:color="auto" w:sz="6" w:space="0"/>
              <w:bottom w:val="single" w:color="auto" w:sz="6" w:space="0"/>
            </w:tcBorders>
            <w:vAlign w:val="center"/>
          </w:tcPr>
          <w:p>
            <w:pPr>
              <w:spacing w:line="306" w:lineRule="exact"/>
              <w:ind w:firstLine="482"/>
              <w:rPr>
                <w:color w:val="auto"/>
                <w:sz w:val="21"/>
                <w:szCs w:val="21"/>
                <w:highlight w:val="none"/>
              </w:rPr>
            </w:pPr>
            <w:r>
              <w:rPr>
                <w:rFonts w:hint="eastAsia"/>
                <w:b/>
                <w:color w:val="auto"/>
                <w:sz w:val="21"/>
                <w:szCs w:val="21"/>
                <w:highlight w:val="none"/>
              </w:rPr>
              <w:t>目标内容：</w:t>
            </w:r>
            <w:r>
              <w:rPr>
                <w:rFonts w:hint="eastAsia" w:hAnsi="宋体"/>
                <w:color w:val="auto"/>
                <w:sz w:val="21"/>
                <w:szCs w:val="21"/>
                <w:highlight w:val="none"/>
              </w:rPr>
              <w:t>制定实施《＜青岛市落实水污染防治行动计划实施方案＞收官之年工作措施计划》，定期对全市落实水污染防治行动计划情况进行通报；加强水质监测，及时通报94个地表水水体断面水质监测结果；深化生态补偿制度，适时扩大生态补偿水体范围；印发《青岛市集中式地表水饮用水水源地突发环境事件应急预案》，完成31处“千吨万人”集中式饮用水水源地保护区边界勘界立标和突出环境问题排查整治工作。</w:t>
            </w:r>
          </w:p>
          <w:p>
            <w:pPr>
              <w:spacing w:line="306" w:lineRule="exact"/>
              <w:ind w:firstLine="482"/>
              <w:rPr>
                <w:color w:val="auto"/>
                <w:sz w:val="21"/>
                <w:szCs w:val="21"/>
                <w:highlight w:val="none"/>
              </w:rPr>
            </w:pPr>
            <w:r>
              <w:rPr>
                <w:rFonts w:hint="eastAsia"/>
                <w:b/>
                <w:color w:val="auto"/>
                <w:sz w:val="21"/>
                <w:szCs w:val="21"/>
                <w:highlight w:val="none"/>
              </w:rPr>
              <w:t>完成情况综述：</w:t>
            </w:r>
            <w:r>
              <w:rPr>
                <w:rFonts w:hint="eastAsia" w:hAnsi="宋体"/>
                <w:color w:val="auto"/>
                <w:sz w:val="21"/>
                <w:szCs w:val="21"/>
                <w:highlight w:val="none"/>
              </w:rPr>
              <w:t>已完成。制定实施《＜青岛市落实水污染防治行动计划实施方案＞收官之年工作措施计划》；每季度对全市落实水污染防治行动计划情况进行通报；加强水质监测，每月通报94个地表水水体断面水质监测结果，为水环境问题原因分析、措施制定、治理整改等提供了可靠数据支撑；全市11个国省控地表水考核断面水质全部达标，6个断面较水质目标实现类别跃升，超额完成国家、省下达给我市的优良水体和劣V类水体两项约束性指标，全市碧水保卫战取得阶段性成效。印发实施《关于再次扩展纳入地表水环境质量生态补偿范围水体断面的通知》，生态补偿断面实现94个市控以上地表水断面全覆盖，每月通报地表水环境质量生态补偿工作情况。印发《青岛市集中式地表水饮用水水源地突发环境事件应急预案》，进一步明晰各部门突发环境事件应急职责；5月底，全市31处“千吨万人”集中式饮用水水源地保护区区划相继印发实施，根据新一轮的区划范围，开展了标志标识牌设立和突出环境问题排查整治工作。</w:t>
            </w: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1.青岛市生态环境委员会办公室关于印发《青岛市落实水污染防治行动计划实施方案》收官之年工作措施计划的通知（青环委办发〔2020〕24号）</w:t>
            </w:r>
          </w:p>
          <w:p>
            <w:pPr>
              <w:spacing w:line="306" w:lineRule="exact"/>
              <w:ind w:firstLine="0" w:firstLineChars="0"/>
              <w:rPr>
                <w:color w:val="auto"/>
                <w:sz w:val="21"/>
                <w:szCs w:val="21"/>
                <w:highlight w:val="none"/>
              </w:rPr>
            </w:pPr>
            <w:r>
              <w:rPr>
                <w:rFonts w:hint="eastAsia"/>
                <w:color w:val="auto"/>
                <w:sz w:val="21"/>
                <w:szCs w:val="21"/>
                <w:highlight w:val="none"/>
              </w:rPr>
              <w:t>2.青岛市生态环境委员会办公室关于全市落实水污染防治行动计划情况的通报</w:t>
            </w:r>
          </w:p>
          <w:p>
            <w:pPr>
              <w:spacing w:line="306" w:lineRule="exact"/>
              <w:ind w:firstLine="0" w:firstLineChars="0"/>
              <w:rPr>
                <w:color w:val="auto"/>
                <w:sz w:val="21"/>
                <w:szCs w:val="21"/>
                <w:highlight w:val="none"/>
              </w:rPr>
            </w:pPr>
            <w:r>
              <w:rPr>
                <w:rFonts w:hint="eastAsia"/>
                <w:color w:val="auto"/>
                <w:sz w:val="21"/>
                <w:szCs w:val="21"/>
                <w:highlight w:val="none"/>
              </w:rPr>
              <w:t>3.青岛市生态环境委员会办公室关于全市地表水体水质监测结果的通报</w:t>
            </w:r>
          </w:p>
          <w:p>
            <w:pPr>
              <w:spacing w:line="306" w:lineRule="exact"/>
              <w:ind w:firstLine="0" w:firstLineChars="0"/>
              <w:rPr>
                <w:color w:val="auto"/>
                <w:sz w:val="21"/>
                <w:szCs w:val="21"/>
                <w:highlight w:val="none"/>
              </w:rPr>
            </w:pPr>
            <w:r>
              <w:rPr>
                <w:rFonts w:hint="eastAsia"/>
                <w:color w:val="auto"/>
                <w:sz w:val="21"/>
                <w:szCs w:val="21"/>
                <w:highlight w:val="none"/>
              </w:rPr>
              <w:t>4.全市11个国省控地表水断面水质情况一览表</w:t>
            </w:r>
          </w:p>
          <w:p>
            <w:pPr>
              <w:spacing w:line="306" w:lineRule="exact"/>
              <w:ind w:firstLine="0" w:firstLineChars="0"/>
              <w:rPr>
                <w:color w:val="auto"/>
                <w:sz w:val="21"/>
                <w:szCs w:val="21"/>
                <w:highlight w:val="none"/>
              </w:rPr>
            </w:pPr>
            <w:r>
              <w:rPr>
                <w:rFonts w:hint="eastAsia"/>
                <w:color w:val="auto"/>
                <w:sz w:val="21"/>
                <w:szCs w:val="21"/>
                <w:highlight w:val="none"/>
              </w:rPr>
              <w:t xml:space="preserve">5.青岛市生态环境局 青岛市财政局关于再次扩展纳入地表水环境质量生态补偿范围水体断面的通知（青环发〔2020〕20号）  </w:t>
            </w:r>
          </w:p>
          <w:p>
            <w:pPr>
              <w:spacing w:line="306" w:lineRule="exact"/>
              <w:ind w:firstLine="0" w:firstLineChars="0"/>
              <w:rPr>
                <w:color w:val="auto"/>
                <w:sz w:val="21"/>
                <w:szCs w:val="21"/>
                <w:highlight w:val="none"/>
              </w:rPr>
            </w:pPr>
            <w:r>
              <w:rPr>
                <w:rFonts w:hint="eastAsia"/>
                <w:color w:val="auto"/>
                <w:sz w:val="21"/>
                <w:szCs w:val="21"/>
                <w:highlight w:val="none"/>
              </w:rPr>
              <w:t>6.青岛市生态环境局关于地表水环境质量生态补偿工作情况的通报</w:t>
            </w:r>
          </w:p>
          <w:p>
            <w:pPr>
              <w:spacing w:line="306" w:lineRule="exact"/>
              <w:ind w:firstLine="0" w:firstLineChars="0"/>
              <w:rPr>
                <w:color w:val="auto"/>
                <w:sz w:val="21"/>
                <w:szCs w:val="21"/>
                <w:highlight w:val="none"/>
              </w:rPr>
            </w:pPr>
            <w:r>
              <w:rPr>
                <w:rFonts w:hint="eastAsia"/>
                <w:color w:val="auto"/>
                <w:sz w:val="21"/>
                <w:szCs w:val="21"/>
                <w:highlight w:val="none"/>
              </w:rPr>
              <w:t>7.青岛市人民政府办公厅关于印发青岛市集中式地表水饮用水水源地突发环境事件应急预案的通知（青政办字〔2020〕19号）</w:t>
            </w:r>
          </w:p>
          <w:p>
            <w:pPr>
              <w:spacing w:line="306" w:lineRule="exact"/>
              <w:ind w:firstLine="0" w:firstLineChars="0"/>
              <w:rPr>
                <w:color w:val="auto"/>
                <w:sz w:val="21"/>
                <w:szCs w:val="21"/>
                <w:highlight w:val="none"/>
              </w:rPr>
            </w:pPr>
            <w:r>
              <w:rPr>
                <w:rFonts w:hint="eastAsia"/>
                <w:color w:val="auto"/>
                <w:sz w:val="21"/>
                <w:szCs w:val="21"/>
                <w:highlight w:val="none"/>
              </w:rPr>
              <w:t>8.各有关区市“千吨万人”级水源地区划文件</w:t>
            </w:r>
          </w:p>
          <w:p>
            <w:pPr>
              <w:spacing w:line="306" w:lineRule="exact"/>
              <w:ind w:firstLine="0" w:firstLineChars="0"/>
              <w:rPr>
                <w:color w:val="auto"/>
                <w:sz w:val="21"/>
                <w:szCs w:val="21"/>
                <w:highlight w:val="none"/>
              </w:rPr>
            </w:pPr>
            <w:r>
              <w:rPr>
                <w:rFonts w:hint="eastAsia"/>
                <w:color w:val="auto"/>
                <w:sz w:val="21"/>
                <w:szCs w:val="21"/>
                <w:highlight w:val="none"/>
              </w:rPr>
              <w:t>9.各有关区市“千吨万人”级水源地标志标识牌设立台账</w:t>
            </w:r>
          </w:p>
          <w:p>
            <w:pPr>
              <w:spacing w:line="306" w:lineRule="exact"/>
              <w:ind w:firstLine="0" w:firstLineChars="0"/>
              <w:rPr>
                <w:color w:val="auto"/>
                <w:sz w:val="21"/>
                <w:szCs w:val="21"/>
                <w:highlight w:val="none"/>
              </w:rPr>
            </w:pPr>
            <w:r>
              <w:rPr>
                <w:rFonts w:hint="eastAsia"/>
                <w:color w:val="auto"/>
                <w:sz w:val="21"/>
                <w:szCs w:val="21"/>
                <w:highlight w:val="none"/>
              </w:rPr>
              <w:t>10.突出环境问题排查整治工作台账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0" w:type="dxa"/>
            <w:vMerge w:val="continue"/>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p>
        </w:tc>
        <w:tc>
          <w:tcPr>
            <w:tcW w:w="650" w:type="dxa"/>
            <w:tcBorders>
              <w:top w:val="single" w:color="auto" w:sz="6" w:space="0"/>
              <w:bottom w:val="single" w:color="auto" w:sz="6" w:space="0"/>
            </w:tcBorders>
            <w:vAlign w:val="center"/>
          </w:tcPr>
          <w:p>
            <w:pPr>
              <w:spacing w:line="0" w:lineRule="atLeast"/>
              <w:ind w:firstLine="0" w:firstLineChars="0"/>
              <w:jc w:val="center"/>
              <w:rPr>
                <w:rFonts w:hAnsi="宋体" w:cs="宋体-18030"/>
                <w:color w:val="auto"/>
                <w:sz w:val="21"/>
                <w:szCs w:val="21"/>
                <w:highlight w:val="none"/>
              </w:rPr>
            </w:pPr>
            <w:r>
              <w:rPr>
                <w:rFonts w:hint="eastAsia" w:hAnsi="宋体" w:cs="宋体-18030"/>
                <w:color w:val="auto"/>
                <w:sz w:val="21"/>
                <w:szCs w:val="21"/>
                <w:highlight w:val="none"/>
              </w:rPr>
              <w:t>3</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Calibri"/>
                <w:color w:val="auto"/>
                <w:kern w:val="0"/>
                <w:sz w:val="21"/>
                <w:szCs w:val="21"/>
                <w:highlight w:val="none"/>
              </w:rPr>
            </w:pPr>
            <w:r>
              <w:rPr>
                <w:rFonts w:hint="eastAsia" w:hAnsi="Calibri"/>
                <w:color w:val="auto"/>
                <w:kern w:val="0"/>
                <w:sz w:val="21"/>
                <w:szCs w:val="21"/>
                <w:highlight w:val="none"/>
              </w:rPr>
              <w:t>打好海洋生态环境保护硬仗</w:t>
            </w:r>
          </w:p>
        </w:tc>
        <w:tc>
          <w:tcPr>
            <w:tcW w:w="7203" w:type="dxa"/>
            <w:tcBorders>
              <w:top w:val="single" w:color="auto" w:sz="6" w:space="0"/>
              <w:bottom w:val="single" w:color="auto" w:sz="6" w:space="0"/>
            </w:tcBorders>
            <w:vAlign w:val="center"/>
          </w:tcPr>
          <w:p>
            <w:pPr>
              <w:spacing w:line="306" w:lineRule="exact"/>
              <w:ind w:firstLine="482"/>
              <w:rPr>
                <w:b/>
                <w:color w:val="auto"/>
                <w:sz w:val="21"/>
                <w:szCs w:val="21"/>
                <w:highlight w:val="none"/>
              </w:rPr>
            </w:pPr>
            <w:r>
              <w:rPr>
                <w:rFonts w:hint="eastAsia"/>
                <w:b/>
                <w:color w:val="auto"/>
                <w:sz w:val="21"/>
                <w:szCs w:val="21"/>
                <w:highlight w:val="none"/>
              </w:rPr>
              <w:t>目标内容：</w:t>
            </w:r>
            <w:r>
              <w:rPr>
                <w:rFonts w:hint="eastAsia"/>
                <w:color w:val="auto"/>
                <w:sz w:val="21"/>
                <w:szCs w:val="21"/>
                <w:highlight w:val="none"/>
              </w:rPr>
              <w:t>编制完成青岛市“十四五”海洋生态环境保护形势与任务研究报告；组织开展青岛市近岸海域入海排污口监测溯源，为入海排污口整治提供基础数据支撑；开展全市近岸海域海洋生态环境监测与评价，及时通报近岸海域水质监测结果；严格落实湾长制，启动建设胶州湾湾长制管理信息系统，修订印发实施《关于推行湾长制加强海湾管理保护的方案》。</w:t>
            </w:r>
          </w:p>
          <w:p>
            <w:pPr>
              <w:spacing w:line="306" w:lineRule="exact"/>
              <w:ind w:firstLine="482"/>
              <w:rPr>
                <w:color w:val="auto"/>
                <w:sz w:val="21"/>
                <w:szCs w:val="21"/>
                <w:highlight w:val="none"/>
              </w:rPr>
            </w:pPr>
            <w:r>
              <w:rPr>
                <w:rFonts w:hint="eastAsia"/>
                <w:b/>
                <w:color w:val="auto"/>
                <w:sz w:val="21"/>
                <w:szCs w:val="21"/>
                <w:highlight w:val="none"/>
              </w:rPr>
              <w:t>完成情况综述：</w:t>
            </w:r>
            <w:r>
              <w:rPr>
                <w:rFonts w:hint="eastAsia" w:hAnsi="宋体"/>
                <w:color w:val="auto"/>
                <w:sz w:val="21"/>
                <w:szCs w:val="21"/>
                <w:highlight w:val="none"/>
              </w:rPr>
              <w:t>已完成。完成青岛市“十四五”海洋生态环境保护形势与任务研究报告，创新提出了“四分法”的“美丽海湾”建设目标，2次作为先进典型在生态环境部作经验介绍；完成青岛市近岸海域6174个入海排污口的初步溯源，筛选出有代表性的排污口进行水质状况监测并建立监测台账，进一步摸清入海污染源现状，提升陆源污染监管水平，为下步深入溯源分析提供了科学、有效的数据支撑；完成2020年度青岛市海洋生态环境监测与评价，编制季度、年度技术评价报告，及时通报水质达标情况。根据监测评价结果，2020年我市近岸海域水质优良比例达到98.8%，延续了近年来稳中向好的趋势，完成省市考核要求；修订完成《关于推行湾长制加强海湾管理保护的方案》并印发实施，严格湾长制制度落实、强化规范管理，加强落实请督导检查和考核评估，启动了胶州湾湾长制管理信息系统研发工作，目前正在抓紧推进。</w:t>
            </w: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1.青岛市“十四五”海洋生态环境保护形势与任务研究报告;</w:t>
            </w:r>
          </w:p>
          <w:p>
            <w:pPr>
              <w:spacing w:line="306" w:lineRule="exact"/>
              <w:ind w:firstLine="0" w:firstLineChars="0"/>
              <w:rPr>
                <w:color w:val="auto"/>
                <w:sz w:val="21"/>
                <w:szCs w:val="21"/>
                <w:highlight w:val="none"/>
              </w:rPr>
            </w:pPr>
            <w:r>
              <w:rPr>
                <w:rFonts w:hint="eastAsia"/>
                <w:color w:val="auto"/>
                <w:sz w:val="21"/>
                <w:szCs w:val="21"/>
                <w:highlight w:val="none"/>
              </w:rPr>
              <w:t>2.关于山东省海洋生态环境保护“十四五”规划编制阶段性成果审核意见的函；</w:t>
            </w:r>
          </w:p>
          <w:p>
            <w:pPr>
              <w:spacing w:line="306" w:lineRule="exact"/>
              <w:ind w:firstLine="0" w:firstLineChars="0"/>
              <w:rPr>
                <w:color w:val="auto"/>
                <w:sz w:val="21"/>
                <w:szCs w:val="21"/>
                <w:highlight w:val="none"/>
              </w:rPr>
            </w:pPr>
            <w:r>
              <w:rPr>
                <w:rFonts w:hint="eastAsia"/>
                <w:color w:val="auto"/>
                <w:sz w:val="21"/>
                <w:szCs w:val="21"/>
                <w:highlight w:val="none"/>
              </w:rPr>
              <w:t>3.关于开展全国沿海地市海洋生态环境保护“十四五”规划编制工作经验交流的函；</w:t>
            </w:r>
          </w:p>
          <w:p>
            <w:pPr>
              <w:spacing w:line="306" w:lineRule="exact"/>
              <w:ind w:firstLine="0" w:firstLineChars="0"/>
              <w:rPr>
                <w:color w:val="auto"/>
                <w:sz w:val="21"/>
                <w:szCs w:val="21"/>
                <w:highlight w:val="none"/>
              </w:rPr>
            </w:pPr>
            <w:r>
              <w:rPr>
                <w:rFonts w:hint="eastAsia"/>
                <w:color w:val="auto"/>
                <w:sz w:val="21"/>
                <w:szCs w:val="21"/>
                <w:highlight w:val="none"/>
              </w:rPr>
              <w:t>4.关于视频调度重点流域水生态环境保护和全国海洋生态环境保护“十四五”规划编制工作进展的函。</w:t>
            </w:r>
          </w:p>
          <w:p>
            <w:pPr>
              <w:spacing w:line="306" w:lineRule="exact"/>
              <w:ind w:firstLine="0" w:firstLineChars="0"/>
              <w:rPr>
                <w:color w:val="auto"/>
                <w:sz w:val="21"/>
                <w:szCs w:val="21"/>
                <w:highlight w:val="none"/>
              </w:rPr>
            </w:pPr>
            <w:r>
              <w:rPr>
                <w:rFonts w:hint="eastAsia"/>
                <w:color w:val="auto"/>
                <w:sz w:val="21"/>
                <w:szCs w:val="21"/>
                <w:highlight w:val="none"/>
              </w:rPr>
              <w:t>5.青岛市生态环境局关于报审青岛市入海排污口监测与初步溯源实施方案的报告；</w:t>
            </w:r>
          </w:p>
          <w:p>
            <w:pPr>
              <w:spacing w:line="306" w:lineRule="exact"/>
              <w:ind w:firstLine="0" w:firstLineChars="0"/>
              <w:rPr>
                <w:color w:val="auto"/>
                <w:sz w:val="21"/>
                <w:szCs w:val="21"/>
                <w:highlight w:val="none"/>
              </w:rPr>
            </w:pPr>
            <w:r>
              <w:rPr>
                <w:rFonts w:hint="eastAsia"/>
                <w:color w:val="auto"/>
                <w:sz w:val="21"/>
                <w:szCs w:val="21"/>
                <w:highlight w:val="none"/>
              </w:rPr>
              <w:t>6.青岛市入海排污口监测与初步溯源中期验收报告。</w:t>
            </w:r>
          </w:p>
          <w:p>
            <w:pPr>
              <w:spacing w:line="306" w:lineRule="exact"/>
              <w:ind w:firstLine="0" w:firstLineChars="0"/>
              <w:rPr>
                <w:color w:val="auto"/>
                <w:sz w:val="21"/>
                <w:szCs w:val="21"/>
                <w:highlight w:val="none"/>
              </w:rPr>
            </w:pPr>
            <w:r>
              <w:rPr>
                <w:rFonts w:hint="eastAsia"/>
                <w:color w:val="auto"/>
                <w:sz w:val="21"/>
                <w:szCs w:val="21"/>
                <w:highlight w:val="none"/>
              </w:rPr>
              <w:t>7.2020年度青岛市近岸海域海洋生态环境监测评价工作报告；</w:t>
            </w:r>
          </w:p>
          <w:p>
            <w:pPr>
              <w:spacing w:line="306" w:lineRule="exact"/>
              <w:ind w:firstLine="0" w:firstLineChars="0"/>
              <w:rPr>
                <w:color w:val="auto"/>
                <w:sz w:val="21"/>
                <w:szCs w:val="21"/>
                <w:highlight w:val="none"/>
              </w:rPr>
            </w:pPr>
            <w:r>
              <w:rPr>
                <w:rFonts w:hint="eastAsia"/>
                <w:color w:val="auto"/>
                <w:sz w:val="21"/>
                <w:szCs w:val="21"/>
                <w:highlight w:val="none"/>
              </w:rPr>
              <w:t>8.青岛市湾长制办公室印发关于推行湾长制加强海湾管理保护的方案的通知；</w:t>
            </w:r>
          </w:p>
          <w:p>
            <w:pPr>
              <w:spacing w:line="306" w:lineRule="exact"/>
              <w:ind w:firstLine="0" w:firstLineChars="0"/>
              <w:rPr>
                <w:color w:val="auto"/>
                <w:sz w:val="21"/>
                <w:szCs w:val="21"/>
                <w:highlight w:val="none"/>
              </w:rPr>
            </w:pPr>
            <w:r>
              <w:rPr>
                <w:rFonts w:hint="eastAsia"/>
                <w:color w:val="auto"/>
                <w:sz w:val="21"/>
                <w:szCs w:val="21"/>
                <w:highlight w:val="none"/>
              </w:rPr>
              <w:t>9.胶州湾湾长制管理信息系统建设项目合同；</w:t>
            </w:r>
          </w:p>
          <w:p>
            <w:pPr>
              <w:spacing w:line="306" w:lineRule="exact"/>
              <w:ind w:firstLine="0" w:firstLineChars="0"/>
              <w:rPr>
                <w:color w:val="auto"/>
                <w:sz w:val="21"/>
                <w:szCs w:val="21"/>
                <w:highlight w:val="none"/>
              </w:rPr>
            </w:pPr>
            <w:r>
              <w:rPr>
                <w:rFonts w:hint="eastAsia"/>
                <w:color w:val="auto"/>
                <w:sz w:val="21"/>
                <w:szCs w:val="21"/>
                <w:highlight w:val="none"/>
              </w:rPr>
              <w:t>10.胶州湾湾长制管理信息系统建设项目年度工作总结。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0" w:type="dxa"/>
            <w:vMerge w:val="continue"/>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p>
        </w:tc>
        <w:tc>
          <w:tcPr>
            <w:tcW w:w="650" w:type="dxa"/>
            <w:tcBorders>
              <w:top w:val="single" w:color="auto" w:sz="6" w:space="0"/>
              <w:bottom w:val="single" w:color="auto" w:sz="6" w:space="0"/>
            </w:tcBorders>
            <w:vAlign w:val="center"/>
          </w:tcPr>
          <w:p>
            <w:pPr>
              <w:spacing w:line="0" w:lineRule="atLeast"/>
              <w:ind w:firstLine="0" w:firstLineChars="0"/>
              <w:jc w:val="center"/>
              <w:rPr>
                <w:rFonts w:hAnsi="宋体" w:cs="宋体-18030"/>
                <w:color w:val="auto"/>
                <w:sz w:val="21"/>
                <w:szCs w:val="21"/>
                <w:highlight w:val="none"/>
              </w:rPr>
            </w:pPr>
            <w:r>
              <w:rPr>
                <w:rFonts w:hint="eastAsia" w:hAnsi="宋体" w:cs="宋体-18030"/>
                <w:color w:val="auto"/>
                <w:sz w:val="21"/>
                <w:szCs w:val="21"/>
                <w:highlight w:val="none"/>
              </w:rPr>
              <w:t>4</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Calibri"/>
                <w:color w:val="auto"/>
                <w:kern w:val="0"/>
                <w:sz w:val="21"/>
                <w:szCs w:val="21"/>
                <w:highlight w:val="none"/>
              </w:rPr>
            </w:pPr>
            <w:r>
              <w:rPr>
                <w:rFonts w:hint="eastAsia" w:hAnsi="Calibri"/>
                <w:color w:val="auto"/>
                <w:kern w:val="0"/>
                <w:sz w:val="21"/>
                <w:szCs w:val="21"/>
                <w:highlight w:val="none"/>
              </w:rPr>
              <w:t>加强农村生态环境保护</w:t>
            </w:r>
          </w:p>
        </w:tc>
        <w:tc>
          <w:tcPr>
            <w:tcW w:w="7203" w:type="dxa"/>
            <w:tcBorders>
              <w:top w:val="single" w:color="auto" w:sz="6" w:space="0"/>
              <w:bottom w:val="single" w:color="auto" w:sz="6" w:space="0"/>
            </w:tcBorders>
            <w:vAlign w:val="center"/>
          </w:tcPr>
          <w:p>
            <w:pPr>
              <w:spacing w:line="306" w:lineRule="exact"/>
              <w:ind w:firstLine="482"/>
              <w:rPr>
                <w:color w:val="auto"/>
                <w:sz w:val="21"/>
                <w:szCs w:val="21"/>
                <w:highlight w:val="none"/>
              </w:rPr>
            </w:pPr>
            <w:r>
              <w:rPr>
                <w:rFonts w:hint="eastAsia"/>
                <w:b/>
                <w:color w:val="auto"/>
                <w:sz w:val="21"/>
                <w:szCs w:val="21"/>
                <w:highlight w:val="none"/>
              </w:rPr>
              <w:t>目标内容：</w:t>
            </w:r>
            <w:r>
              <w:rPr>
                <w:rFonts w:hint="eastAsia"/>
                <w:color w:val="auto"/>
                <w:sz w:val="21"/>
                <w:szCs w:val="21"/>
                <w:highlight w:val="none"/>
              </w:rPr>
              <w:t>充分发挥市乡村生态振兴工作专班平台作用，制定年度重点任务清单和考核指标体系，建立工作台账，加强工作调度，完成年度各项重点目标任务；加强农村生活污水治理工作，40%以上的行政村完成治理目标任务。</w:t>
            </w:r>
          </w:p>
          <w:p>
            <w:pPr>
              <w:spacing w:line="306" w:lineRule="exact"/>
              <w:ind w:firstLine="482"/>
              <w:rPr>
                <w:color w:val="auto"/>
                <w:sz w:val="21"/>
                <w:szCs w:val="21"/>
                <w:highlight w:val="none"/>
              </w:rPr>
            </w:pPr>
            <w:r>
              <w:rPr>
                <w:rFonts w:hint="eastAsia"/>
                <w:b/>
                <w:color w:val="auto"/>
                <w:sz w:val="21"/>
                <w:szCs w:val="21"/>
                <w:highlight w:val="none"/>
              </w:rPr>
              <w:t>完成情况综述：</w:t>
            </w:r>
            <w:r>
              <w:rPr>
                <w:rFonts w:hint="eastAsia" w:hAnsi="宋体"/>
                <w:color w:val="auto"/>
                <w:sz w:val="21"/>
                <w:szCs w:val="21"/>
                <w:highlight w:val="none"/>
              </w:rPr>
              <w:t>已完成。市生态振兴工作专班制定印发《青岛市乡村生态振兴2020年度重点任务实施方案》，确定2020年22项重点任务，明确责任单位和完成时限，每季度调度工作进展情况，每季度召开生态专班工作会议，研究重点工作进展情况，安排部署下阶段工作任务。截至12月底，22项工作已完成。制定印发《2020年度区市乡村生态振兴考核指标标准》，对区市2020年农村“厕所革命”、农村生活垃圾治理、农村生活污水治理、农村通户道路硬化完成率、</w:t>
            </w:r>
            <w:r>
              <w:rPr>
                <w:rFonts w:hint="eastAsia" w:hAnsi="宋体"/>
                <w:color w:val="auto"/>
                <w:kern w:val="0"/>
                <w:sz w:val="21"/>
                <w:szCs w:val="21"/>
                <w:highlight w:val="none"/>
              </w:rPr>
              <w:t>美丽乡村示范村建设、村庄清洁行动开展、省级美丽村居建设试点、美丽庭院示范户创建等工作进行考核，强化考核“指挥棒”作用，推动乡村生态振兴重点工作落到实处，完成年度目标任务。</w:t>
            </w:r>
            <w:r>
              <w:rPr>
                <w:rFonts w:hint="eastAsia" w:hAnsi="宋体"/>
                <w:color w:val="auto"/>
                <w:sz w:val="21"/>
                <w:szCs w:val="21"/>
                <w:highlight w:val="none"/>
              </w:rPr>
              <w:t>加快推进农村生活污水治理，2020年，全市完成生活污水治理的行政村累计3315个，占全市5368个应治理行政村的61.75%，提前超额完成省上下达我市今年30%的目标任务和今年市政府工作报告确定的40%的目标任务。其中：新治理行政村1989个，完成年度任务的109.65%，我市农村生活污水治理工作已提前并超额完成省定目标任务。</w:t>
            </w: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关于印发《青岛市乡村生态振兴2020年度重点任务实施方案》的通知；2.关于印发《2020年度区市乡村生态振兴考核指标标准》的通知；3.关于调度2020年第一季度乡村生态振兴重点任务进展情况的通知；4.关于报送乡村生态振兴2020年度重点任务进展情况的通知；5.关于报送乡村生态振兴2020年第三季度重点任务进展情况的通知；6.关于报送2020年乡村生态振兴重点任务完成情况的通知；7.关于召开市乡村生态振兴工作调度会议的通知；8.关于召开全市2020年上半年乡村生态振兴暨农业农村污染治理攻坚战调度会议的通知；9.关于召开全市农村生活污水治理工作会议的通知；10.关于召开全市农村生活污水治理工作现场会议的通知；11.关于农村生活污水治理工作有关情况的报告（政办通报第13期）；12.关于开展农村生活污水治理帮扶调研的通知；13.关于开展农村生活污水治理工作第二轮帮扶调研的通知；14.农村生活污水治理半月工作进展情况专报；15.青岛市农村生活污水治理工作进展情况汇总表；16.青岛市已完成生活污水治理的行政村汇总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70" w:type="dxa"/>
            <w:vMerge w:val="continue"/>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p>
        </w:tc>
        <w:tc>
          <w:tcPr>
            <w:tcW w:w="650" w:type="dxa"/>
            <w:tcBorders>
              <w:top w:val="single" w:color="auto" w:sz="6" w:space="0"/>
              <w:bottom w:val="single" w:color="auto" w:sz="6" w:space="0"/>
            </w:tcBorders>
            <w:vAlign w:val="center"/>
          </w:tcPr>
          <w:p>
            <w:pPr>
              <w:spacing w:line="0" w:lineRule="atLeast"/>
              <w:ind w:firstLine="0" w:firstLineChars="0"/>
              <w:jc w:val="center"/>
              <w:rPr>
                <w:rFonts w:hAnsi="宋体" w:cs="宋体-18030"/>
                <w:color w:val="auto"/>
                <w:sz w:val="21"/>
                <w:szCs w:val="21"/>
                <w:highlight w:val="none"/>
              </w:rPr>
            </w:pPr>
            <w:r>
              <w:rPr>
                <w:rFonts w:hint="eastAsia" w:hAnsi="宋体" w:cs="宋体-18030"/>
                <w:color w:val="auto"/>
                <w:sz w:val="21"/>
                <w:szCs w:val="21"/>
                <w:highlight w:val="none"/>
              </w:rPr>
              <w:t>5</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Calibri"/>
                <w:color w:val="auto"/>
                <w:kern w:val="0"/>
                <w:sz w:val="21"/>
                <w:szCs w:val="21"/>
                <w:highlight w:val="none"/>
              </w:rPr>
            </w:pPr>
            <w:r>
              <w:rPr>
                <w:rFonts w:hint="eastAsia" w:hAnsi="Calibri"/>
                <w:color w:val="auto"/>
                <w:kern w:val="0"/>
                <w:sz w:val="21"/>
                <w:szCs w:val="21"/>
                <w:highlight w:val="none"/>
              </w:rPr>
              <w:t>完成污染物总量减排、降碳和排污许可证发证登记工作</w:t>
            </w:r>
          </w:p>
        </w:tc>
        <w:tc>
          <w:tcPr>
            <w:tcW w:w="7203" w:type="dxa"/>
            <w:tcBorders>
              <w:top w:val="single" w:color="auto" w:sz="6" w:space="0"/>
              <w:bottom w:val="single" w:color="auto" w:sz="6" w:space="0"/>
            </w:tcBorders>
            <w:vAlign w:val="center"/>
          </w:tcPr>
          <w:p>
            <w:pPr>
              <w:spacing w:line="306" w:lineRule="exact"/>
              <w:ind w:firstLine="482"/>
              <w:rPr>
                <w:b/>
                <w:color w:val="auto"/>
                <w:sz w:val="21"/>
                <w:szCs w:val="21"/>
                <w:highlight w:val="none"/>
              </w:rPr>
            </w:pPr>
            <w:r>
              <w:rPr>
                <w:rFonts w:hint="eastAsia"/>
                <w:b/>
                <w:color w:val="auto"/>
                <w:sz w:val="21"/>
                <w:szCs w:val="21"/>
                <w:highlight w:val="none"/>
              </w:rPr>
              <w:t>目标内容：</w:t>
            </w:r>
            <w:r>
              <w:rPr>
                <w:rFonts w:hint="eastAsia" w:hAnsi="宋体"/>
                <w:color w:val="auto"/>
                <w:sz w:val="21"/>
                <w:szCs w:val="21"/>
                <w:highlight w:val="none"/>
              </w:rPr>
              <w:t>制定印发全市2020年度减排项目计划，完成重点减排项目；核查我市重点企业2019年度碳排放数据，全面完成省下达的减排降碳约束性指标；按照上级生态环境部门要求,完成我市固定污染源清理整顿及2020年排污许可证发证登记工作，实现固定污染源排污许可全覆盖。组织实施“污染物排放总量指标跟着项目走”改革攻坚行动方案。</w:t>
            </w:r>
          </w:p>
          <w:p>
            <w:pPr>
              <w:spacing w:line="306" w:lineRule="exact"/>
              <w:ind w:firstLine="482"/>
              <w:rPr>
                <w:color w:val="auto"/>
                <w:kern w:val="0"/>
                <w:sz w:val="21"/>
                <w:szCs w:val="21"/>
                <w:highlight w:val="none"/>
              </w:rPr>
            </w:pPr>
            <w:r>
              <w:rPr>
                <w:rFonts w:hint="eastAsia"/>
                <w:b/>
                <w:color w:val="auto"/>
                <w:sz w:val="21"/>
                <w:szCs w:val="21"/>
                <w:highlight w:val="none"/>
              </w:rPr>
              <w:t>完成情况综述：</w:t>
            </w:r>
            <w:r>
              <w:rPr>
                <w:rFonts w:hint="eastAsia" w:hAnsi="宋体"/>
                <w:color w:val="auto"/>
                <w:sz w:val="21"/>
                <w:szCs w:val="21"/>
                <w:highlight w:val="none"/>
              </w:rPr>
              <w:t>已完成。经市政府同意印发《青岛市2020年主要污染物总量减排项目计划》，2020年全市共组织实施污染减排重点项目71个，已全部完成。对我市发电、钢铁制造等8个行业的42家重点企业2019年度碳排放数据进行了核查，提前一年完成降碳“十三五”约束性目标。组织开展了“大气污染防治和碳减排协同控制战略研究”，在研究成果基础上编制了协同控制工作方案，积极探索实现城市碳排放达峰和空气质量达标“双达”目标的路径。完成了青岛市第二次全国污染源普查任务，发布普查公告。强化培训、深入帮扶，顺利完成固定污染源清理整顿、2020年排污许可证发证登记及“回头看”工作，全市固定污染源排污许可实现全覆盖。组织实施“污染物排放总量指标跟着项目走”改革攻坚行动，印发实施办法，保障重点项目落地，推进全市经济高质量发展。</w:t>
            </w:r>
          </w:p>
          <w:p>
            <w:pPr>
              <w:spacing w:line="306" w:lineRule="exact"/>
              <w:ind w:firstLine="482"/>
              <w:rPr>
                <w:b/>
                <w:color w:val="auto"/>
                <w:sz w:val="21"/>
                <w:szCs w:val="21"/>
                <w:highlight w:val="none"/>
              </w:rPr>
            </w:pP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关于印发青岛市2020年主要污染物总量减排项目计划的通知；2.关于调度2020年主要污染物总量减排项目进展的通知；3.2020年青岛市主要污染物总量减排自查报告；4.关于认真做好我市重点企业2020年度碳排放数据核查复查工作的通知；5.青岛市大气污染防治和碳减排协同控制战略研究报告；6.青岛市协同推进大气污染防治与温室气体排放控制工作方案（2021-2025年）；7.青岛市第二次全国污染源普查技术报告；8.青岛市第二次全国污染源普查公告；9.国务院第二次全国污染源普查领导小组办公室《关于表扬第二次全国污染源普查表现突出的集体和个人的决定》；10.山东省第二次全国污染源普查领导小组办公室《关于表扬山东省第二次全国污染源普查表现突出的集体和个人的决定》；</w:t>
            </w:r>
          </w:p>
          <w:p>
            <w:pPr>
              <w:spacing w:line="306" w:lineRule="exact"/>
              <w:ind w:firstLine="0" w:firstLineChars="0"/>
              <w:rPr>
                <w:color w:val="auto"/>
                <w:sz w:val="21"/>
                <w:szCs w:val="21"/>
                <w:highlight w:val="none"/>
              </w:rPr>
            </w:pPr>
            <w:r>
              <w:rPr>
                <w:rFonts w:hint="eastAsia"/>
                <w:color w:val="auto"/>
                <w:sz w:val="21"/>
                <w:szCs w:val="21"/>
                <w:highlight w:val="none"/>
              </w:rPr>
              <w:t>11.青岛市生态环境局关于固定污染源排污许可清理整顿和2020年排污许可发证登记网上办理的通告；</w:t>
            </w:r>
          </w:p>
          <w:p>
            <w:pPr>
              <w:spacing w:line="306" w:lineRule="exact"/>
              <w:ind w:firstLine="0" w:firstLineChars="0"/>
              <w:rPr>
                <w:color w:val="auto"/>
                <w:sz w:val="21"/>
                <w:szCs w:val="21"/>
                <w:highlight w:val="none"/>
              </w:rPr>
            </w:pPr>
            <w:r>
              <w:rPr>
                <w:rFonts w:hint="eastAsia"/>
                <w:color w:val="auto"/>
                <w:sz w:val="21"/>
                <w:szCs w:val="21"/>
                <w:highlight w:val="none"/>
              </w:rPr>
              <w:t>12.青岛市排污许可工作简报；13.关于举办排污许可证申请与核发技术规范培训的通知及相关材料；14.青岛市核发排污许可证企业清单；15.《“污染物排放总量指标跟着项目走”实施办法（试行）》；16.青岛市生态环境局“污染物排放总量指标跟着项目走”工作总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70" w:type="dxa"/>
            <w:vMerge w:val="continue"/>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p>
        </w:tc>
        <w:tc>
          <w:tcPr>
            <w:tcW w:w="650" w:type="dxa"/>
            <w:tcBorders>
              <w:top w:val="single" w:color="auto" w:sz="6" w:space="0"/>
              <w:bottom w:val="single" w:color="auto" w:sz="6" w:space="0"/>
            </w:tcBorders>
            <w:vAlign w:val="center"/>
          </w:tcPr>
          <w:p>
            <w:pPr>
              <w:spacing w:line="0" w:lineRule="atLeast"/>
              <w:ind w:firstLine="0" w:firstLineChars="0"/>
              <w:jc w:val="center"/>
              <w:rPr>
                <w:rFonts w:hAnsi="宋体" w:cs="宋体-18030"/>
                <w:color w:val="auto"/>
                <w:sz w:val="21"/>
                <w:szCs w:val="21"/>
                <w:highlight w:val="none"/>
              </w:rPr>
            </w:pPr>
            <w:r>
              <w:rPr>
                <w:rFonts w:hint="eastAsia" w:hAnsi="宋体" w:cs="宋体-18030"/>
                <w:color w:val="auto"/>
                <w:sz w:val="21"/>
                <w:szCs w:val="21"/>
                <w:highlight w:val="none"/>
              </w:rPr>
              <w:t>6</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Calibri"/>
                <w:color w:val="auto"/>
                <w:kern w:val="0"/>
                <w:sz w:val="21"/>
                <w:szCs w:val="21"/>
                <w:highlight w:val="none"/>
              </w:rPr>
            </w:pPr>
            <w:r>
              <w:rPr>
                <w:rFonts w:hint="eastAsia" w:hAnsi="Calibri"/>
                <w:color w:val="auto"/>
                <w:kern w:val="0"/>
                <w:sz w:val="21"/>
                <w:szCs w:val="21"/>
                <w:highlight w:val="none"/>
              </w:rPr>
              <w:t>完成中央、省生态环境保护督察反馈问题年度整改任务</w:t>
            </w:r>
          </w:p>
        </w:tc>
        <w:tc>
          <w:tcPr>
            <w:tcW w:w="7203" w:type="dxa"/>
            <w:tcBorders>
              <w:top w:val="single" w:color="auto" w:sz="6" w:space="0"/>
              <w:bottom w:val="single" w:color="auto" w:sz="6" w:space="0"/>
            </w:tcBorders>
            <w:vAlign w:val="center"/>
          </w:tcPr>
          <w:p>
            <w:pPr>
              <w:spacing w:line="306" w:lineRule="exact"/>
              <w:ind w:firstLine="482"/>
              <w:rPr>
                <w:rFonts w:hint="eastAsia" w:hAnsi="宋体"/>
                <w:b/>
                <w:color w:val="auto"/>
                <w:sz w:val="21"/>
                <w:szCs w:val="21"/>
                <w:highlight w:val="none"/>
              </w:rPr>
            </w:pPr>
            <w:r>
              <w:rPr>
                <w:rFonts w:hint="eastAsia"/>
                <w:b/>
                <w:color w:val="auto"/>
                <w:sz w:val="21"/>
                <w:szCs w:val="21"/>
                <w:highlight w:val="none"/>
              </w:rPr>
              <w:t>目标内容：</w:t>
            </w:r>
            <w:r>
              <w:rPr>
                <w:rFonts w:hint="eastAsia" w:hAnsi="宋体"/>
                <w:color w:val="auto"/>
                <w:spacing w:val="-6"/>
                <w:sz w:val="21"/>
                <w:szCs w:val="21"/>
                <w:highlight w:val="none"/>
              </w:rPr>
              <w:t>组织制定《青岛市贯彻落实中央生态环境保护督察“回头看”及大气污染防治专项督察反馈意见整改方案》和《青岛市贯彻落实省“1+1+8”污染防治攻坚战驻区督察反馈意见整改方案》，对中央生态环保督察“回头看”涉及我市的14项共性问题、省“1+1+8”污染防治攻坚战驻区督察分解的57项问题整改工作，逐一落实整改任务，明确督办人和责任人，建立整改任务清单。组织协调推进中央生态环保督察及“回头看”、省环保督察、省“1+1+8”污染防治攻坚战驻区督察反馈问题整改工作，落实清单化调度、督战、问题督办、验收销号等制度，督促各责任单位按要求完成各项年度任务。对中央、省环保督察信访件整改情况不定期抽查，发现问题及时督促整改。</w:t>
            </w:r>
          </w:p>
          <w:p>
            <w:pPr>
              <w:spacing w:line="306" w:lineRule="exact"/>
              <w:ind w:firstLine="482"/>
              <w:rPr>
                <w:color w:val="auto"/>
                <w:sz w:val="21"/>
                <w:szCs w:val="21"/>
                <w:highlight w:val="none"/>
              </w:rPr>
            </w:pPr>
            <w:r>
              <w:rPr>
                <w:rFonts w:hint="eastAsia"/>
                <w:b/>
                <w:color w:val="auto"/>
                <w:sz w:val="21"/>
                <w:szCs w:val="21"/>
                <w:highlight w:val="none"/>
              </w:rPr>
              <w:t>完成情况综述：</w:t>
            </w:r>
            <w:r>
              <w:rPr>
                <w:rFonts w:hint="eastAsia" w:hAnsi="宋体"/>
                <w:color w:val="auto"/>
                <w:spacing w:val="-6"/>
                <w:sz w:val="21"/>
                <w:szCs w:val="21"/>
                <w:highlight w:val="none"/>
              </w:rPr>
              <w:t>已完成。印发《青岛市贯彻落实中央生态环境保护督察“回头看”及大气污染防治专项督察反馈意见整改方案》、《青岛市贯彻落实省“1+1+8”污染防治攻坚战驻区督察反馈意见整改方案》，对中央生态环保督察“回头看”涉及我市的14项共性问题、省“1+1+8”污染防治攻坚战驻区督察分解的57项问题，逐一明确整改牵头部门和责任单位，并组织各责任单位结合实际确定整改目标、整改措施和整改时限，形成整改任务清单。综合运用调度通报、提醒催办、督办问责等方式，协调推进环保督察各项反馈问题整改工作。根据上级部署，对中央生态环保督察及“回头看”、省环保督察、省“1+1+8”污染防治攻坚战驻区督察反馈问题整改情况实施清单化调度28项次，对即将到期的整改事项及时函告提醒，督促抓紧整改。组织全市11支督察整改工作督战队从行业监管领域进行集中督战。市整改办对交办我市信访件中的重点件、重复访件等进行“四不两直”抽查；组织市重点部门、各区市在上半年、下半年各开展了1次环保督察问题整改集中排查整治行动。下发督办通知单19份，移交问责线索通知单8份，对发现的生态环境问题进行督办。44项年度整改任务已全部完成。组织各牵头部门对完成整改事项验收销号。</w:t>
            </w: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1.青岛市贯彻落实中央生态环境保护督察“回头看”及大气污染防治专项督察反馈意见整改方案（青办发〔2020〕8号）；</w:t>
            </w:r>
          </w:p>
          <w:p>
            <w:pPr>
              <w:spacing w:line="306" w:lineRule="exact"/>
              <w:ind w:firstLine="0" w:firstLineChars="0"/>
              <w:rPr>
                <w:color w:val="auto"/>
                <w:sz w:val="21"/>
                <w:szCs w:val="21"/>
                <w:highlight w:val="none"/>
              </w:rPr>
            </w:pPr>
            <w:r>
              <w:rPr>
                <w:rFonts w:hint="eastAsia"/>
                <w:color w:val="auto"/>
                <w:sz w:val="21"/>
                <w:szCs w:val="21"/>
                <w:highlight w:val="none"/>
              </w:rPr>
              <w:t>2.青岛市贯彻落实省“1+1+8”污染防治攻坚战驻区督察反馈意见整改方案（青环督改办〔2020〕3号）；</w:t>
            </w:r>
          </w:p>
          <w:p>
            <w:pPr>
              <w:spacing w:line="306" w:lineRule="exact"/>
              <w:ind w:firstLine="0" w:firstLineChars="0"/>
              <w:rPr>
                <w:color w:val="auto"/>
                <w:sz w:val="21"/>
                <w:szCs w:val="21"/>
                <w:highlight w:val="none"/>
              </w:rPr>
            </w:pPr>
            <w:r>
              <w:rPr>
                <w:rFonts w:hint="eastAsia"/>
                <w:color w:val="auto"/>
                <w:sz w:val="21"/>
                <w:szCs w:val="21"/>
                <w:highlight w:val="none"/>
              </w:rPr>
              <w:t>3.中央督察及回头看整改清单化调度报告、青岛市省级环境保护督察整改清单化调度情况、省“1+1+8”污染防治攻坚战驻区督察反馈意见涉及问题整改台账；</w:t>
            </w:r>
          </w:p>
          <w:p>
            <w:pPr>
              <w:spacing w:line="306" w:lineRule="exact"/>
              <w:ind w:firstLine="0" w:firstLineChars="0"/>
              <w:rPr>
                <w:color w:val="auto"/>
                <w:sz w:val="21"/>
                <w:szCs w:val="21"/>
                <w:highlight w:val="none"/>
              </w:rPr>
            </w:pPr>
            <w:r>
              <w:rPr>
                <w:rFonts w:hint="eastAsia"/>
                <w:color w:val="auto"/>
                <w:sz w:val="21"/>
                <w:szCs w:val="21"/>
                <w:highlight w:val="none"/>
              </w:rPr>
              <w:t>4.4-6月、9-10月，组织市重点部门、各区市开展了环保督察问题整改集中排查整治行动的通知文件；</w:t>
            </w:r>
          </w:p>
          <w:p>
            <w:pPr>
              <w:spacing w:line="306" w:lineRule="exact"/>
              <w:ind w:firstLine="0" w:firstLineChars="0"/>
              <w:rPr>
                <w:color w:val="auto"/>
                <w:sz w:val="21"/>
                <w:szCs w:val="21"/>
                <w:highlight w:val="none"/>
              </w:rPr>
            </w:pPr>
            <w:r>
              <w:rPr>
                <w:rFonts w:hint="eastAsia"/>
                <w:color w:val="auto"/>
                <w:sz w:val="21"/>
                <w:szCs w:val="21"/>
                <w:highlight w:val="none"/>
              </w:rPr>
              <w:t>5.生态环保督察信息：全市环保督察反馈问题排查整治情况通报、全市生态环境保护督察问题整改集中巡查工作情况通报等文件；</w:t>
            </w:r>
          </w:p>
          <w:p>
            <w:pPr>
              <w:spacing w:line="306" w:lineRule="exact"/>
              <w:ind w:firstLine="0" w:firstLineChars="0"/>
              <w:rPr>
                <w:color w:val="auto"/>
                <w:sz w:val="21"/>
                <w:szCs w:val="21"/>
                <w:highlight w:val="none"/>
              </w:rPr>
            </w:pPr>
            <w:r>
              <w:rPr>
                <w:rFonts w:hint="eastAsia"/>
                <w:color w:val="auto"/>
                <w:sz w:val="21"/>
                <w:szCs w:val="21"/>
                <w:highlight w:val="none"/>
              </w:rPr>
              <w:t>6.关于加快推进中央生态环保督察及“回头看”反馈意见整改事项销号工作按时报备销号材料的通知、部分整改事项销号台账；</w:t>
            </w:r>
          </w:p>
          <w:p>
            <w:pPr>
              <w:spacing w:line="306" w:lineRule="exact"/>
              <w:ind w:firstLine="0" w:firstLineChars="0"/>
              <w:rPr>
                <w:color w:val="auto"/>
                <w:sz w:val="21"/>
                <w:szCs w:val="21"/>
                <w:highlight w:val="none"/>
              </w:rPr>
            </w:pPr>
            <w:r>
              <w:rPr>
                <w:rFonts w:hint="eastAsia"/>
                <w:color w:val="auto"/>
                <w:sz w:val="21"/>
                <w:szCs w:val="21"/>
                <w:highlight w:val="none"/>
              </w:rPr>
              <w:t>7.督办通知单及办理情况；涉嫌问责案件办理通知单及办理情况；工作提醒函。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670" w:type="dxa"/>
            <w:vMerge w:val="continue"/>
            <w:tcBorders>
              <w:top w:val="single" w:color="auto" w:sz="6" w:space="0"/>
              <w:bottom w:val="single" w:color="auto" w:sz="6" w:space="0"/>
            </w:tcBorders>
            <w:vAlign w:val="center"/>
          </w:tcPr>
          <w:p>
            <w:pPr>
              <w:spacing w:line="0" w:lineRule="atLeast"/>
              <w:ind w:firstLine="0" w:firstLineChars="0"/>
              <w:jc w:val="center"/>
              <w:rPr>
                <w:rFonts w:hAnsi="宋体" w:cs="Times New Roman"/>
                <w:color w:val="auto"/>
                <w:sz w:val="21"/>
                <w:szCs w:val="21"/>
                <w:highlight w:val="none"/>
              </w:rPr>
            </w:pPr>
          </w:p>
        </w:tc>
        <w:tc>
          <w:tcPr>
            <w:tcW w:w="650" w:type="dxa"/>
            <w:tcBorders>
              <w:top w:val="single" w:color="auto" w:sz="6" w:space="0"/>
              <w:bottom w:val="single" w:color="auto" w:sz="6" w:space="0"/>
            </w:tcBorders>
            <w:vAlign w:val="center"/>
          </w:tcPr>
          <w:p>
            <w:pPr>
              <w:spacing w:line="300" w:lineRule="exact"/>
              <w:ind w:firstLine="0" w:firstLineChars="0"/>
              <w:jc w:val="center"/>
              <w:rPr>
                <w:rFonts w:hAnsi="宋体" w:cs="Times New Roman"/>
                <w:color w:val="auto"/>
                <w:sz w:val="21"/>
                <w:szCs w:val="21"/>
                <w:highlight w:val="none"/>
              </w:rPr>
            </w:pPr>
            <w:r>
              <w:rPr>
                <w:rFonts w:hint="eastAsia" w:hAnsi="宋体" w:cs="Times New Roman"/>
                <w:color w:val="auto"/>
                <w:sz w:val="21"/>
                <w:szCs w:val="21"/>
                <w:highlight w:val="none"/>
              </w:rPr>
              <w:t>7</w:t>
            </w:r>
          </w:p>
        </w:tc>
        <w:tc>
          <w:tcPr>
            <w:tcW w:w="984" w:type="dxa"/>
            <w:tcBorders>
              <w:top w:val="single" w:color="auto" w:sz="6" w:space="0"/>
              <w:bottom w:val="single" w:color="auto" w:sz="6" w:space="0"/>
            </w:tcBorders>
            <w:vAlign w:val="center"/>
          </w:tcPr>
          <w:p>
            <w:pPr>
              <w:spacing w:line="300" w:lineRule="exact"/>
              <w:ind w:firstLine="0" w:firstLineChars="0"/>
              <w:contextualSpacing/>
              <w:jc w:val="left"/>
              <w:rPr>
                <w:rFonts w:hAnsi="Calibri"/>
                <w:color w:val="auto"/>
                <w:kern w:val="0"/>
                <w:sz w:val="21"/>
                <w:szCs w:val="21"/>
                <w:highlight w:val="none"/>
              </w:rPr>
            </w:pPr>
            <w:r>
              <w:rPr>
                <w:rFonts w:hint="eastAsia" w:hAnsi="Calibri"/>
                <w:color w:val="auto"/>
                <w:kern w:val="0"/>
                <w:sz w:val="21"/>
                <w:szCs w:val="21"/>
                <w:highlight w:val="none"/>
              </w:rPr>
              <w:t>强化环境执法监管</w:t>
            </w:r>
          </w:p>
        </w:tc>
        <w:tc>
          <w:tcPr>
            <w:tcW w:w="7203" w:type="dxa"/>
            <w:tcBorders>
              <w:top w:val="single" w:color="auto" w:sz="6" w:space="0"/>
              <w:bottom w:val="single" w:color="auto" w:sz="6" w:space="0"/>
            </w:tcBorders>
            <w:vAlign w:val="center"/>
          </w:tcPr>
          <w:p>
            <w:pPr>
              <w:spacing w:line="306" w:lineRule="exact"/>
              <w:ind w:firstLine="482"/>
              <w:rPr>
                <w:color w:val="auto"/>
                <w:sz w:val="21"/>
                <w:szCs w:val="21"/>
                <w:highlight w:val="none"/>
              </w:rPr>
            </w:pPr>
            <w:r>
              <w:rPr>
                <w:rFonts w:hint="eastAsia"/>
                <w:b/>
                <w:color w:val="auto"/>
                <w:sz w:val="21"/>
                <w:szCs w:val="21"/>
                <w:highlight w:val="none"/>
              </w:rPr>
              <w:t>目标内容：</w:t>
            </w:r>
            <w:r>
              <w:rPr>
                <w:rFonts w:hint="eastAsia"/>
                <w:color w:val="auto"/>
                <w:sz w:val="21"/>
                <w:szCs w:val="21"/>
                <w:highlight w:val="none"/>
              </w:rPr>
              <w:t>落实污染源执法“双随机一公开”。组织开展秋冬季大气污染执法检查，加强非道路移动机械污染防治执法，改善大气环境质量。组织开展饮用水水源地专项排查，强化重点流域、城镇污水处理厂等涉水的环境执法，促进水环境质量改善；开展土壤、危废、环境应急执法，保障环境安全。强化科技执法手段运用，将无人机飞检、电量监控、机动车尾气遥感检测等科技手段引入环境执法，提高精准执法能力。加强环境执法宣传，曝光典型环境违法案件;组织做好疫情防控执法检查，开展执法帮扶，支持企业复工复产。健全环境应急处置协调联动机制。</w:t>
            </w:r>
          </w:p>
          <w:p>
            <w:pPr>
              <w:spacing w:line="306" w:lineRule="exact"/>
              <w:ind w:firstLine="482"/>
              <w:rPr>
                <w:rFonts w:hint="eastAsia" w:hAnsi="宋体"/>
                <w:color w:val="auto"/>
                <w:sz w:val="21"/>
                <w:szCs w:val="21"/>
                <w:highlight w:val="none"/>
              </w:rPr>
            </w:pPr>
            <w:r>
              <w:rPr>
                <w:rFonts w:hint="eastAsia"/>
                <w:b/>
                <w:color w:val="auto"/>
                <w:sz w:val="21"/>
                <w:szCs w:val="21"/>
                <w:highlight w:val="none"/>
              </w:rPr>
              <w:t>完成情况综述：</w:t>
            </w:r>
            <w:r>
              <w:rPr>
                <w:rFonts w:hint="eastAsia" w:hAnsi="宋体"/>
                <w:color w:val="auto"/>
                <w:sz w:val="21"/>
                <w:szCs w:val="21"/>
                <w:highlight w:val="none"/>
              </w:rPr>
              <w:t>已完成。印发“双随机、一公开”监管随机抽查计划，秋冬季大气污染执法查处环境违法行为103起406万元;停放地监督检查重型柴油车5147辆，申报登记非道路移动机械23951台。立案处罚涉水违法案件49起1231万元。开展涉危化工、危废贮存和处置场所专项检查，联合公安部门开展严厉打击危险废物环境违法犯罪行为专项行动，发现危险废物环境违法犯罪线索9个;检查土壤重点监管单位284家次,保障环境安全。联网用电量监控企业100家，机动车遥感检测车辆891万辆次,无人机巡查水源地和自然保护区22次，正射影像数据面积324.25平方千米。发布抗击疫情党员先行党员倡议书、致全市排污单位的倡议书，检查医疗机构2137家次。制定2批105项执法正面清单，实行差异化分类监管。召开环境执法新闻发布会或新闻通气会2次，向社会通报环境执法工作，曝光环境违法典型案件11件。</w:t>
            </w:r>
          </w:p>
          <w:p>
            <w:pPr>
              <w:spacing w:line="306" w:lineRule="exact"/>
              <w:ind w:firstLine="480"/>
              <w:rPr>
                <w:color w:val="auto"/>
                <w:sz w:val="21"/>
                <w:szCs w:val="21"/>
                <w:highlight w:val="none"/>
              </w:rPr>
            </w:pPr>
            <w:r>
              <w:rPr>
                <w:rFonts w:hint="eastAsia" w:hAnsi="宋体"/>
                <w:color w:val="auto"/>
                <w:sz w:val="21"/>
                <w:szCs w:val="21"/>
                <w:highlight w:val="none"/>
              </w:rPr>
              <w:t>注重应急队伍能力提升，对全系统200余名应急管理人员进行应急能力提升专题培训；扎实做好应急演练，针对“油罐车侧翻”和“汛期危化品泄露”两个突发环境事件进行了桌面推演；在董家口建设首个省级海上环境应急物资储备库，在胶州市建成首个市级突发环境事件联合应急物资储备库；签署胶东经济圈一体化发展（胶东五市）突发环境事件联防联控工作方案，推进突发环境事件联防联动。</w:t>
            </w:r>
          </w:p>
        </w:tc>
        <w:tc>
          <w:tcPr>
            <w:tcW w:w="5253" w:type="dxa"/>
            <w:tcBorders>
              <w:top w:val="single" w:color="auto" w:sz="6" w:space="0"/>
              <w:bottom w:val="single" w:color="auto" w:sz="6"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1.关于印发2020年度“双随机、一公开”监管随机抽查计划的通知；</w:t>
            </w:r>
          </w:p>
          <w:p>
            <w:pPr>
              <w:spacing w:line="306" w:lineRule="exact"/>
              <w:ind w:firstLine="0" w:firstLineChars="0"/>
              <w:rPr>
                <w:color w:val="auto"/>
                <w:sz w:val="21"/>
                <w:szCs w:val="21"/>
                <w:highlight w:val="none"/>
              </w:rPr>
            </w:pPr>
            <w:r>
              <w:rPr>
                <w:rFonts w:hint="eastAsia"/>
                <w:color w:val="auto"/>
                <w:sz w:val="21"/>
                <w:szCs w:val="21"/>
                <w:highlight w:val="none"/>
              </w:rPr>
              <w:t>2.关于印发青岛市2019—2020年秋冬季大气污染治理攻坚暨企业帮扶综合执法行动方案的通知；</w:t>
            </w:r>
          </w:p>
          <w:p>
            <w:pPr>
              <w:spacing w:line="306" w:lineRule="exact"/>
              <w:ind w:firstLine="0" w:firstLineChars="0"/>
              <w:rPr>
                <w:color w:val="auto"/>
                <w:sz w:val="21"/>
                <w:szCs w:val="21"/>
                <w:highlight w:val="none"/>
              </w:rPr>
            </w:pPr>
            <w:r>
              <w:rPr>
                <w:rFonts w:hint="eastAsia"/>
                <w:color w:val="auto"/>
                <w:sz w:val="21"/>
                <w:szCs w:val="21"/>
                <w:highlight w:val="none"/>
              </w:rPr>
              <w:t>3.关于印发2020年非道路移动机械环境执法专项工作方案的通知；</w:t>
            </w:r>
          </w:p>
          <w:p>
            <w:pPr>
              <w:spacing w:line="306" w:lineRule="exact"/>
              <w:ind w:firstLine="0" w:firstLineChars="0"/>
              <w:rPr>
                <w:color w:val="auto"/>
                <w:sz w:val="21"/>
                <w:szCs w:val="21"/>
                <w:highlight w:val="none"/>
              </w:rPr>
            </w:pPr>
            <w:r>
              <w:rPr>
                <w:rFonts w:hint="eastAsia"/>
                <w:color w:val="auto"/>
                <w:sz w:val="21"/>
                <w:szCs w:val="21"/>
                <w:highlight w:val="none"/>
              </w:rPr>
              <w:t>4.水污染综合执法行动方案；</w:t>
            </w:r>
          </w:p>
          <w:p>
            <w:pPr>
              <w:spacing w:line="306" w:lineRule="exact"/>
              <w:ind w:firstLine="0" w:firstLineChars="0"/>
              <w:rPr>
                <w:color w:val="auto"/>
                <w:sz w:val="21"/>
                <w:szCs w:val="21"/>
                <w:highlight w:val="none"/>
              </w:rPr>
            </w:pPr>
            <w:r>
              <w:rPr>
                <w:rFonts w:hint="eastAsia"/>
                <w:color w:val="auto"/>
                <w:sz w:val="21"/>
                <w:szCs w:val="21"/>
                <w:highlight w:val="none"/>
              </w:rPr>
              <w:t>5.关于印发2020年生态环境执法专项工作方案的通知；</w:t>
            </w:r>
          </w:p>
          <w:p>
            <w:pPr>
              <w:spacing w:line="306" w:lineRule="exact"/>
              <w:ind w:firstLine="0" w:firstLineChars="0"/>
              <w:rPr>
                <w:color w:val="auto"/>
                <w:sz w:val="21"/>
                <w:szCs w:val="21"/>
                <w:highlight w:val="none"/>
              </w:rPr>
            </w:pPr>
            <w:r>
              <w:rPr>
                <w:rFonts w:hint="eastAsia"/>
                <w:color w:val="auto"/>
                <w:sz w:val="21"/>
                <w:szCs w:val="21"/>
                <w:highlight w:val="none"/>
              </w:rPr>
              <w:t>6.关于开展土壤污染防治排查治理暨专项执法行动的通知；</w:t>
            </w:r>
          </w:p>
          <w:p>
            <w:pPr>
              <w:spacing w:line="306" w:lineRule="exact"/>
              <w:ind w:firstLine="0" w:firstLineChars="0"/>
              <w:rPr>
                <w:color w:val="auto"/>
                <w:sz w:val="21"/>
                <w:szCs w:val="21"/>
                <w:highlight w:val="none"/>
              </w:rPr>
            </w:pPr>
            <w:r>
              <w:rPr>
                <w:rFonts w:hint="eastAsia"/>
                <w:color w:val="auto"/>
                <w:sz w:val="21"/>
                <w:szCs w:val="21"/>
                <w:highlight w:val="none"/>
              </w:rPr>
              <w:t>7.关于开展涉危化工企业环境安全专项执法检查行动的通知；</w:t>
            </w:r>
          </w:p>
          <w:p>
            <w:pPr>
              <w:spacing w:line="306" w:lineRule="exact"/>
              <w:ind w:firstLine="0" w:firstLineChars="0"/>
              <w:rPr>
                <w:color w:val="auto"/>
                <w:sz w:val="21"/>
                <w:szCs w:val="21"/>
                <w:highlight w:val="none"/>
              </w:rPr>
            </w:pPr>
            <w:r>
              <w:rPr>
                <w:rFonts w:hint="eastAsia"/>
                <w:color w:val="auto"/>
                <w:sz w:val="21"/>
                <w:szCs w:val="21"/>
                <w:highlight w:val="none"/>
              </w:rPr>
              <w:t>8.关于印发青岛市严厉打击危险废物环境违法犯罪行为实施方案的通知；</w:t>
            </w:r>
          </w:p>
          <w:p>
            <w:pPr>
              <w:spacing w:line="306" w:lineRule="exact"/>
              <w:ind w:firstLine="0" w:firstLineChars="0"/>
              <w:rPr>
                <w:color w:val="auto"/>
                <w:sz w:val="21"/>
                <w:szCs w:val="21"/>
                <w:highlight w:val="none"/>
              </w:rPr>
            </w:pPr>
            <w:r>
              <w:rPr>
                <w:rFonts w:hint="eastAsia"/>
                <w:color w:val="auto"/>
                <w:sz w:val="21"/>
                <w:szCs w:val="21"/>
                <w:highlight w:val="none"/>
              </w:rPr>
              <w:t>9.污染源自动在线监控、治污设施智能监控、机动车环检监控、无人机飞检情况；</w:t>
            </w:r>
          </w:p>
          <w:p>
            <w:pPr>
              <w:spacing w:line="306" w:lineRule="exact"/>
              <w:ind w:firstLine="0" w:firstLineChars="0"/>
              <w:rPr>
                <w:color w:val="auto"/>
                <w:sz w:val="21"/>
                <w:szCs w:val="21"/>
                <w:highlight w:val="none"/>
              </w:rPr>
            </w:pPr>
            <w:r>
              <w:rPr>
                <w:rFonts w:hint="eastAsia"/>
                <w:color w:val="auto"/>
                <w:sz w:val="21"/>
                <w:szCs w:val="21"/>
                <w:highlight w:val="none"/>
              </w:rPr>
              <w:t>10.关于加强新型冠状病毒感染肺炎疫情定点医疗单位和有关城镇污水处理设施废水处理环境监管的通知；</w:t>
            </w:r>
          </w:p>
          <w:p>
            <w:pPr>
              <w:spacing w:line="306" w:lineRule="exact"/>
              <w:ind w:firstLine="0" w:firstLineChars="0"/>
              <w:rPr>
                <w:color w:val="auto"/>
                <w:sz w:val="21"/>
                <w:szCs w:val="21"/>
                <w:highlight w:val="none"/>
              </w:rPr>
            </w:pPr>
            <w:r>
              <w:rPr>
                <w:rFonts w:hint="eastAsia"/>
                <w:color w:val="auto"/>
                <w:sz w:val="21"/>
                <w:szCs w:val="21"/>
                <w:highlight w:val="none"/>
              </w:rPr>
              <w:t>11.抗击疫情党员先行党员倡议书、致全市排污单位的倡议书；</w:t>
            </w:r>
          </w:p>
          <w:p>
            <w:pPr>
              <w:spacing w:line="306" w:lineRule="exact"/>
              <w:ind w:firstLine="0" w:firstLineChars="0"/>
              <w:rPr>
                <w:color w:val="auto"/>
                <w:sz w:val="21"/>
                <w:szCs w:val="21"/>
                <w:highlight w:val="none"/>
              </w:rPr>
            </w:pPr>
            <w:r>
              <w:rPr>
                <w:rFonts w:hint="eastAsia"/>
                <w:color w:val="auto"/>
                <w:sz w:val="21"/>
                <w:szCs w:val="21"/>
                <w:highlight w:val="none"/>
              </w:rPr>
              <w:t>12.执法情况新闻通气会、帮扶企业新闻通气会通报；</w:t>
            </w:r>
          </w:p>
          <w:p>
            <w:pPr>
              <w:spacing w:line="306" w:lineRule="exact"/>
              <w:ind w:firstLine="0" w:firstLineChars="0"/>
              <w:rPr>
                <w:color w:val="auto"/>
                <w:sz w:val="21"/>
                <w:szCs w:val="21"/>
                <w:highlight w:val="none"/>
              </w:rPr>
            </w:pPr>
            <w:r>
              <w:rPr>
                <w:rFonts w:hint="eastAsia"/>
                <w:color w:val="auto"/>
                <w:sz w:val="21"/>
                <w:szCs w:val="21"/>
                <w:highlight w:val="none"/>
              </w:rPr>
              <w:t>13.关于持续深入优化营商环境严禁生态环境执法“一刀切”的意见；</w:t>
            </w:r>
          </w:p>
          <w:p>
            <w:pPr>
              <w:spacing w:line="306" w:lineRule="exact"/>
              <w:ind w:firstLine="0" w:firstLineChars="0"/>
              <w:rPr>
                <w:color w:val="auto"/>
                <w:sz w:val="21"/>
                <w:szCs w:val="21"/>
                <w:highlight w:val="none"/>
              </w:rPr>
            </w:pPr>
            <w:r>
              <w:rPr>
                <w:rFonts w:hint="eastAsia"/>
                <w:color w:val="auto"/>
                <w:sz w:val="21"/>
                <w:szCs w:val="21"/>
                <w:highlight w:val="none"/>
              </w:rPr>
              <w:t>14.青岛市支持企业复工复产生态环境执法帮扶行动方案；</w:t>
            </w:r>
          </w:p>
          <w:p>
            <w:pPr>
              <w:spacing w:line="306" w:lineRule="exact"/>
              <w:ind w:firstLine="0" w:firstLineChars="0"/>
              <w:rPr>
                <w:color w:val="auto"/>
                <w:sz w:val="21"/>
                <w:szCs w:val="21"/>
                <w:highlight w:val="none"/>
              </w:rPr>
            </w:pPr>
            <w:r>
              <w:rPr>
                <w:rFonts w:hint="eastAsia"/>
                <w:color w:val="auto"/>
                <w:sz w:val="21"/>
                <w:szCs w:val="21"/>
                <w:highlight w:val="none"/>
              </w:rPr>
              <w:t>15.签署《胶东经济圈一体化发展生态环境共保联治合作框架协议》；</w:t>
            </w:r>
          </w:p>
          <w:p>
            <w:pPr>
              <w:spacing w:line="306" w:lineRule="exact"/>
              <w:ind w:firstLine="0" w:firstLineChars="0"/>
              <w:rPr>
                <w:color w:val="auto"/>
                <w:sz w:val="21"/>
                <w:szCs w:val="21"/>
                <w:highlight w:val="none"/>
              </w:rPr>
            </w:pPr>
            <w:r>
              <w:rPr>
                <w:rFonts w:hint="eastAsia"/>
                <w:color w:val="auto"/>
                <w:sz w:val="21"/>
                <w:szCs w:val="21"/>
                <w:highlight w:val="none"/>
              </w:rPr>
              <w:t>16.修订《青岛市突发环境事件应急预案》；</w:t>
            </w:r>
          </w:p>
          <w:p>
            <w:pPr>
              <w:spacing w:line="306" w:lineRule="exact"/>
              <w:ind w:firstLine="0" w:firstLineChars="0"/>
              <w:rPr>
                <w:color w:val="auto"/>
                <w:sz w:val="21"/>
                <w:szCs w:val="21"/>
                <w:highlight w:val="none"/>
              </w:rPr>
            </w:pPr>
            <w:r>
              <w:rPr>
                <w:rFonts w:hint="eastAsia"/>
                <w:color w:val="auto"/>
                <w:sz w:val="21"/>
                <w:szCs w:val="21"/>
                <w:highlight w:val="none"/>
              </w:rPr>
              <w:t xml:space="preserve">17.修订《青岛市生态环境局突发环境事件应急预案》。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0" w:type="dxa"/>
            <w:tcBorders>
              <w:top w:val="double" w:color="auto" w:sz="4" w:space="0"/>
            </w:tcBorders>
            <w:vAlign w:val="center"/>
          </w:tcPr>
          <w:p>
            <w:pPr>
              <w:spacing w:line="0" w:lineRule="atLeast"/>
              <w:ind w:firstLine="0" w:firstLineChars="0"/>
              <w:jc w:val="center"/>
              <w:rPr>
                <w:rFonts w:hAnsi="宋体" w:cs="Times New Roman"/>
                <w:color w:val="auto"/>
                <w:sz w:val="21"/>
                <w:szCs w:val="21"/>
                <w:highlight w:val="none"/>
              </w:rPr>
            </w:pPr>
            <w:r>
              <w:rPr>
                <w:rFonts w:hint="eastAsia" w:hAnsi="宋体" w:cs="Times New Roman"/>
                <w:color w:val="auto"/>
                <w:sz w:val="21"/>
                <w:szCs w:val="21"/>
                <w:highlight w:val="none"/>
              </w:rPr>
              <w:t>创优目标</w:t>
            </w:r>
          </w:p>
        </w:tc>
        <w:tc>
          <w:tcPr>
            <w:tcW w:w="650" w:type="dxa"/>
            <w:tcBorders>
              <w:top w:val="double" w:color="auto" w:sz="4" w:space="0"/>
            </w:tcBorders>
            <w:vAlign w:val="center"/>
          </w:tcPr>
          <w:p>
            <w:pPr>
              <w:spacing w:line="300" w:lineRule="exact"/>
              <w:ind w:firstLine="0" w:firstLineChars="0"/>
              <w:jc w:val="center"/>
              <w:rPr>
                <w:rFonts w:hAnsi="宋体" w:cs="Times New Roman"/>
                <w:color w:val="auto"/>
                <w:sz w:val="21"/>
                <w:szCs w:val="21"/>
                <w:highlight w:val="none"/>
              </w:rPr>
            </w:pPr>
            <w:r>
              <w:rPr>
                <w:rFonts w:hint="eastAsia" w:hAnsi="宋体" w:cs="Times New Roman"/>
                <w:color w:val="auto"/>
                <w:sz w:val="21"/>
                <w:szCs w:val="21"/>
                <w:highlight w:val="none"/>
              </w:rPr>
              <w:t>1</w:t>
            </w:r>
          </w:p>
        </w:tc>
        <w:tc>
          <w:tcPr>
            <w:tcW w:w="984" w:type="dxa"/>
            <w:tcBorders>
              <w:top w:val="double" w:color="auto" w:sz="4" w:space="0"/>
            </w:tcBorders>
            <w:vAlign w:val="center"/>
          </w:tcPr>
          <w:p>
            <w:pPr>
              <w:spacing w:line="300" w:lineRule="exact"/>
              <w:ind w:firstLine="0" w:firstLineChars="0"/>
              <w:rPr>
                <w:rFonts w:hAnsi="Calibri"/>
                <w:color w:val="auto"/>
                <w:kern w:val="0"/>
                <w:sz w:val="21"/>
                <w:szCs w:val="21"/>
                <w:highlight w:val="none"/>
              </w:rPr>
            </w:pPr>
            <w:r>
              <w:rPr>
                <w:rFonts w:hint="eastAsia" w:hAnsi="Calibri"/>
                <w:color w:val="auto"/>
                <w:kern w:val="0"/>
                <w:sz w:val="21"/>
                <w:szCs w:val="21"/>
                <w:highlight w:val="none"/>
              </w:rPr>
              <w:t>加强建设用地土壤污染防治各项工作，推进项目落地</w:t>
            </w:r>
          </w:p>
        </w:tc>
        <w:tc>
          <w:tcPr>
            <w:tcW w:w="7203" w:type="dxa"/>
            <w:tcBorders>
              <w:top w:val="double" w:color="auto" w:sz="4" w:space="0"/>
            </w:tcBorders>
            <w:vAlign w:val="center"/>
          </w:tcPr>
          <w:p>
            <w:pPr>
              <w:spacing w:line="300" w:lineRule="exact"/>
              <w:ind w:firstLine="482"/>
              <w:rPr>
                <w:color w:val="auto"/>
                <w:sz w:val="21"/>
                <w:szCs w:val="21"/>
                <w:highlight w:val="none"/>
              </w:rPr>
            </w:pPr>
            <w:r>
              <w:rPr>
                <w:rFonts w:hint="eastAsia" w:hAnsi="Times New Roman"/>
                <w:b/>
                <w:color w:val="auto"/>
                <w:sz w:val="21"/>
                <w:szCs w:val="21"/>
                <w:highlight w:val="none"/>
              </w:rPr>
              <w:t>目标内容：</w:t>
            </w:r>
            <w:r>
              <w:rPr>
                <w:rFonts w:hint="eastAsia" w:hAnsi="Times New Roman"/>
                <w:color w:val="auto"/>
                <w:sz w:val="21"/>
                <w:szCs w:val="21"/>
                <w:highlight w:val="none"/>
              </w:rPr>
              <w:t>对青岛市建设用地土壤污染状况调查报告评审程序实施流程再造，通过提前介入、分类评审、网上受理、增加评审机构、扩充专家库等方式，将评审时限由原先法定的40个工作日压缩至10个工作日，可推动项目早落地近1个半月时间。通过加快评审，促进项目落地，为企业创造经济效益。建立市级土壤污染防治部门联动机制，形成土壤污染防治工作齐抓共管的局面，通过各部门协同，及时掌握我市土壤污染环境风险，指导土地使用人采取各类预防措施，减少后期土壤治理修复投入；组织污染地块提前开展土壤污染状况调查，并采取风险管控或治理修复措施，有计划实施建设用地再开发利用。</w:t>
            </w:r>
          </w:p>
          <w:p>
            <w:pPr>
              <w:spacing w:line="300" w:lineRule="exact"/>
              <w:ind w:firstLine="482"/>
              <w:rPr>
                <w:color w:val="auto"/>
                <w:sz w:val="21"/>
                <w:szCs w:val="21"/>
                <w:highlight w:val="none"/>
              </w:rPr>
            </w:pPr>
            <w:r>
              <w:rPr>
                <w:rFonts w:hint="eastAsia" w:hAnsi="Times New Roman"/>
                <w:b/>
                <w:color w:val="auto"/>
                <w:sz w:val="21"/>
                <w:szCs w:val="21"/>
                <w:highlight w:val="none"/>
              </w:rPr>
              <w:t>标杆城市及标杆值：</w:t>
            </w:r>
            <w:r>
              <w:rPr>
                <w:rFonts w:hint="eastAsia" w:hAnsi="Times New Roman"/>
                <w:color w:val="auto"/>
                <w:sz w:val="21"/>
                <w:szCs w:val="21"/>
                <w:highlight w:val="none"/>
              </w:rPr>
              <w:t>深圳市。全省领先，全国前列。</w:t>
            </w:r>
          </w:p>
          <w:p>
            <w:pPr>
              <w:spacing w:line="300" w:lineRule="exact"/>
              <w:ind w:firstLine="482"/>
              <w:rPr>
                <w:color w:val="auto"/>
                <w:sz w:val="21"/>
                <w:szCs w:val="21"/>
                <w:highlight w:val="none"/>
              </w:rPr>
            </w:pPr>
            <w:r>
              <w:rPr>
                <w:rFonts w:hint="eastAsia" w:hAnsi="Times New Roman"/>
                <w:b/>
                <w:color w:val="auto"/>
                <w:sz w:val="21"/>
                <w:szCs w:val="21"/>
                <w:highlight w:val="none"/>
              </w:rPr>
              <w:t>完成情况综述</w:t>
            </w:r>
            <w:r>
              <w:rPr>
                <w:rFonts w:hint="eastAsia" w:hAnsi="Times New Roman"/>
                <w:color w:val="auto"/>
                <w:sz w:val="21"/>
                <w:szCs w:val="21"/>
                <w:highlight w:val="none"/>
              </w:rPr>
              <w:t>：已完成。实施建设用地“源头预防、过程管控、末端治理”全过程管理，全年完成915个地块的调查评审、578家重点企业的用地普查详查，将81个地块纳入污染风险管控名单，全力确保土地开发利用“零风险”，污染地块安全利用率达到100%，超额完成净土保卫战确定的90%的目标任务。目前，我市评审时限全国最短，在全省率先构建行之有效的管理模式和制度体系，管理水平全省领先，工作经验在全省推广，得到省领导的充分肯定。</w:t>
            </w:r>
          </w:p>
          <w:p>
            <w:pPr>
              <w:spacing w:line="300" w:lineRule="exact"/>
              <w:ind w:firstLine="482"/>
              <w:rPr>
                <w:color w:val="auto"/>
                <w:sz w:val="21"/>
                <w:szCs w:val="21"/>
                <w:highlight w:val="none"/>
              </w:rPr>
            </w:pPr>
            <w:r>
              <w:rPr>
                <w:rFonts w:hint="eastAsia" w:hAnsi="Times New Roman"/>
                <w:b/>
                <w:color w:val="auto"/>
                <w:sz w:val="21"/>
                <w:szCs w:val="21"/>
                <w:highlight w:val="none"/>
              </w:rPr>
              <w:t>创优性：</w:t>
            </w:r>
            <w:r>
              <w:rPr>
                <w:rFonts w:hint="eastAsia" w:hAnsi="Times New Roman"/>
                <w:color w:val="auto"/>
                <w:sz w:val="21"/>
                <w:szCs w:val="21"/>
                <w:highlight w:val="none"/>
              </w:rPr>
              <w:t>一是全力提供优质服务。推行“互联网+服务”，评审全程网办，实现企业“零跑腿”，得到企业一致好评；实施重点项目提前介入、精准帮扶，明确调查范围并开展跟踪服务，有效避免了盲目调查或过度调查，特别是对全市317个“百日攻坚”项目实施“一对一”专人服务，为项目落地节约了时间和资金。二是全力优化评审流程。对对“受理、评审、结果告知”各环节实施流程再造，最大限度压缩评审时限，由国家规定的40个工作日压缩至10个，目前全国最短。三是全力打造优质工程。在全省率先组织开展22个重点行业的用地普查工作，摸清了建设用地污染状况和底数，对61个超标地块实施分类管控，防范土壤污染风险。圆满完成全省“普查全流程”试点任务，布点采样方案作为模板在全国推广应用。</w:t>
            </w:r>
          </w:p>
          <w:p>
            <w:pPr>
              <w:spacing w:line="300" w:lineRule="exact"/>
              <w:ind w:firstLine="482"/>
              <w:rPr>
                <w:color w:val="auto"/>
                <w:sz w:val="21"/>
                <w:szCs w:val="21"/>
                <w:highlight w:val="none"/>
              </w:rPr>
            </w:pPr>
            <w:r>
              <w:rPr>
                <w:rFonts w:hint="eastAsia" w:hAnsi="Times New Roman"/>
                <w:b/>
                <w:color w:val="auto"/>
                <w:sz w:val="21"/>
                <w:szCs w:val="21"/>
                <w:highlight w:val="none"/>
              </w:rPr>
              <w:t>攻坚性：</w:t>
            </w:r>
            <w:r>
              <w:rPr>
                <w:rFonts w:hint="eastAsia" w:hAnsi="Times New Roman"/>
                <w:color w:val="auto"/>
                <w:sz w:val="21"/>
                <w:szCs w:val="21"/>
                <w:highlight w:val="none"/>
              </w:rPr>
              <w:t>一是统筹谋划，打好用地普查攻坚战。面对疫情导致一季度无法开展现场工作的局面，及时调整工作方案，合理安排工作计划，压茬推进普查工作,提前20天完成任务目标，得到省厅表扬。二是攻坚克难，打好调查评审攻坚战。为克服评审数量多任务重的困难，我局发扬“5+2”“白+黑”连续作战精神，在7个月的时间内集中完成评审项目834个，平均每天评审4个。在提速的同时，严把评审质量关，调查评审通过率由去年的52%提升至91%，实现了数量质量的双提升。三是顶格协调，打好重点项目攻坚战。我局安排局领导带队，对市重点项目实行全过程帮扶，及时协调解决项目调查评审中遇到的困难和问题，有效推动项目落地。比如我市公共卫生应急备用医院7天就完成了调查和评审工作，评审用时仅2天。</w:t>
            </w:r>
          </w:p>
          <w:p>
            <w:pPr>
              <w:spacing w:line="300" w:lineRule="exact"/>
              <w:ind w:firstLine="482"/>
              <w:rPr>
                <w:color w:val="auto"/>
                <w:sz w:val="21"/>
                <w:szCs w:val="21"/>
                <w:highlight w:val="none"/>
              </w:rPr>
            </w:pPr>
            <w:r>
              <w:rPr>
                <w:rFonts w:hint="eastAsia" w:hAnsi="Times New Roman"/>
                <w:b/>
                <w:color w:val="auto"/>
                <w:sz w:val="21"/>
                <w:szCs w:val="21"/>
                <w:highlight w:val="none"/>
              </w:rPr>
              <w:t>创新性：</w:t>
            </w:r>
            <w:r>
              <w:rPr>
                <w:rFonts w:hint="eastAsia" w:hAnsi="Times New Roman"/>
                <w:color w:val="auto"/>
                <w:sz w:val="21"/>
                <w:szCs w:val="21"/>
                <w:highlight w:val="none"/>
              </w:rPr>
              <w:t>一是创新建立部门协调联动机制。充分利用信息化系统，实现多部门信息共享和共同监管，做到调查与准入无缝链接，确保用地安全。二是创新建立制度体系。制定印发《青岛市建设用地土壤污染状况调查报告评审工作指南》《青岛市建设用地土壤污染风险管控和修复工作指引》等8项制度文件，在全省率先形成了调查评审和管理制度体系，保证了建设用地管理高效有序、公平公正。三是创新全过程监管模式。强化“事前”主动对接、“事中”评审把关、“事后”质量监督，采取培训座谈、监督性监测、专家复审等措施，确保调查质量。“全过程监管模式”在全省推广，省内其他地市来我市实地考察或索要文件学习借鉴我市经验做法。</w:t>
            </w:r>
          </w:p>
          <w:p>
            <w:pPr>
              <w:spacing w:line="300" w:lineRule="exact"/>
              <w:ind w:firstLine="482"/>
              <w:rPr>
                <w:b/>
                <w:color w:val="auto"/>
                <w:sz w:val="21"/>
                <w:szCs w:val="21"/>
                <w:highlight w:val="none"/>
              </w:rPr>
            </w:pPr>
            <w:r>
              <w:rPr>
                <w:rFonts w:hint="eastAsia" w:hAnsi="Times New Roman"/>
                <w:b/>
                <w:color w:val="auto"/>
                <w:sz w:val="21"/>
                <w:szCs w:val="21"/>
                <w:highlight w:val="none"/>
              </w:rPr>
              <w:t>效益性：</w:t>
            </w:r>
            <w:r>
              <w:rPr>
                <w:rFonts w:hint="eastAsia" w:hAnsi="Times New Roman"/>
                <w:color w:val="auto"/>
                <w:sz w:val="21"/>
                <w:szCs w:val="21"/>
                <w:highlight w:val="none"/>
              </w:rPr>
              <w:t>一是经济效益日益凸显。通过帮扶指导、压缩评审时限，全市834个项目每个项目较以前至少提前40天完成调查评审，最短在2个工作日完成评审，有效降低了项目建设运行成本。仅从贷款利率一项估算，每个项目至少节省成本100万元，部分大项目如海尔大云谷节约成本达5000万元，有效助推项目快速落地，取得了良好经济效益。二是社会效益持续释放。广泛开展土壤污染防治宣讲活动，普及土壤污染防治知识，回应群众诉求，扩大社会知晓度；主动公开调查及评审有关信息，保障群众知情权、监督权，我市民生项目土壤污染“零舆情”，让老百姓“住得安心”。三是环境效益不断提升。动态发布我市污染地块名录，治理修复污染土壤面积29万平方米，全市污染地块全部实现安全开发再利用，保障了人居环境安全，净土保卫战圆满收官。</w:t>
            </w:r>
          </w:p>
        </w:tc>
        <w:tc>
          <w:tcPr>
            <w:tcW w:w="5253" w:type="dxa"/>
            <w:tcBorders>
              <w:top w:val="double" w:color="auto" w:sz="4" w:space="0"/>
            </w:tcBorders>
            <w:vAlign w:val="center"/>
          </w:tcPr>
          <w:p>
            <w:pPr>
              <w:spacing w:line="306" w:lineRule="exact"/>
              <w:ind w:firstLine="0" w:firstLineChars="0"/>
              <w:rPr>
                <w:color w:val="auto"/>
                <w:sz w:val="21"/>
                <w:szCs w:val="21"/>
                <w:highlight w:val="none"/>
              </w:rPr>
            </w:pPr>
            <w:r>
              <w:rPr>
                <w:rFonts w:hint="eastAsia"/>
                <w:color w:val="auto"/>
                <w:sz w:val="21"/>
                <w:szCs w:val="21"/>
                <w:highlight w:val="none"/>
              </w:rPr>
              <w:t>1.青岛市生态环境委员会办公室关于建立土壤污染防治工作市级部门协调联动机制的通知</w:t>
            </w:r>
          </w:p>
          <w:p>
            <w:pPr>
              <w:spacing w:line="306" w:lineRule="exact"/>
              <w:ind w:firstLine="0" w:firstLineChars="0"/>
              <w:rPr>
                <w:color w:val="auto"/>
                <w:sz w:val="21"/>
                <w:szCs w:val="21"/>
                <w:highlight w:val="none"/>
              </w:rPr>
            </w:pPr>
            <w:r>
              <w:rPr>
                <w:rFonts w:hint="eastAsia"/>
                <w:color w:val="auto"/>
                <w:sz w:val="21"/>
                <w:szCs w:val="21"/>
                <w:highlight w:val="none"/>
              </w:rPr>
              <w:t>2.青岛市生态环境局青岛市自然资源和规划局青岛市工业和信息化局关于进一步加强协调联动切实推进建设用地土壤污染状况调查工作的通知</w:t>
            </w:r>
          </w:p>
          <w:p>
            <w:pPr>
              <w:spacing w:line="306" w:lineRule="exact"/>
              <w:ind w:firstLine="0" w:firstLineChars="0"/>
              <w:rPr>
                <w:color w:val="auto"/>
                <w:sz w:val="21"/>
                <w:szCs w:val="21"/>
                <w:highlight w:val="none"/>
              </w:rPr>
            </w:pPr>
            <w:r>
              <w:rPr>
                <w:rFonts w:hint="eastAsia"/>
                <w:color w:val="auto"/>
                <w:sz w:val="21"/>
                <w:szCs w:val="21"/>
                <w:highlight w:val="none"/>
              </w:rPr>
              <w:t>3.青岛市生态环境局青岛市自然资源和规划局关于印发《青岛市建设用地土壤污染状况调查报告评审工作指南（试行）》的通知</w:t>
            </w:r>
          </w:p>
          <w:p>
            <w:pPr>
              <w:spacing w:line="306" w:lineRule="exact"/>
              <w:ind w:firstLine="0" w:firstLineChars="0"/>
              <w:rPr>
                <w:color w:val="auto"/>
                <w:sz w:val="21"/>
                <w:szCs w:val="21"/>
                <w:highlight w:val="none"/>
              </w:rPr>
            </w:pPr>
            <w:r>
              <w:rPr>
                <w:rFonts w:hint="eastAsia"/>
                <w:color w:val="auto"/>
                <w:sz w:val="21"/>
                <w:szCs w:val="21"/>
                <w:highlight w:val="none"/>
              </w:rPr>
              <w:t>4.青岛市生态环境局青岛市自然资源和规划局关于印发《青岛市建设用地土壤污染风险管控和修复工作指引》的通知</w:t>
            </w:r>
          </w:p>
          <w:p>
            <w:pPr>
              <w:spacing w:line="306" w:lineRule="exact"/>
              <w:ind w:firstLine="0" w:firstLineChars="0"/>
              <w:rPr>
                <w:color w:val="auto"/>
                <w:sz w:val="21"/>
                <w:szCs w:val="21"/>
                <w:highlight w:val="none"/>
              </w:rPr>
            </w:pPr>
            <w:r>
              <w:rPr>
                <w:rFonts w:hint="eastAsia"/>
                <w:color w:val="auto"/>
                <w:sz w:val="21"/>
                <w:szCs w:val="21"/>
                <w:highlight w:val="none"/>
              </w:rPr>
              <w:t>5.青岛市生态环境局青岛市自然资源和规划局关于对建设用地安全利用存在问题进行整改的函（明确建设用地准入管理时间节点）</w:t>
            </w:r>
          </w:p>
          <w:p>
            <w:pPr>
              <w:spacing w:line="306" w:lineRule="exact"/>
              <w:ind w:firstLine="0" w:firstLineChars="0"/>
              <w:rPr>
                <w:color w:val="auto"/>
                <w:sz w:val="21"/>
                <w:szCs w:val="21"/>
                <w:highlight w:val="none"/>
              </w:rPr>
            </w:pPr>
            <w:r>
              <w:rPr>
                <w:rFonts w:hint="eastAsia"/>
                <w:color w:val="auto"/>
                <w:sz w:val="21"/>
                <w:szCs w:val="21"/>
                <w:highlight w:val="none"/>
              </w:rPr>
              <w:t>6.青岛市生态环境局关于做好迎接各级人大《中华人民共和国土壤污染防治法》执法检查工作的函（《土壤污染防治法》职责清单）</w:t>
            </w:r>
          </w:p>
          <w:p>
            <w:pPr>
              <w:spacing w:line="306" w:lineRule="exact"/>
              <w:ind w:firstLine="0" w:firstLineChars="0"/>
              <w:rPr>
                <w:color w:val="auto"/>
                <w:sz w:val="21"/>
                <w:szCs w:val="21"/>
                <w:highlight w:val="none"/>
              </w:rPr>
            </w:pPr>
            <w:r>
              <w:rPr>
                <w:rFonts w:hint="eastAsia"/>
                <w:color w:val="auto"/>
                <w:sz w:val="21"/>
                <w:szCs w:val="21"/>
                <w:highlight w:val="none"/>
              </w:rPr>
              <w:t>7.青岛市生态环境局办公室关于印发2020年青岛市土壤污染重点监管单位名录的通知</w:t>
            </w:r>
          </w:p>
          <w:p>
            <w:pPr>
              <w:spacing w:line="306" w:lineRule="exact"/>
              <w:ind w:firstLine="0" w:firstLineChars="0"/>
              <w:rPr>
                <w:color w:val="auto"/>
                <w:sz w:val="21"/>
                <w:szCs w:val="21"/>
                <w:highlight w:val="none"/>
              </w:rPr>
            </w:pPr>
            <w:r>
              <w:rPr>
                <w:rFonts w:hint="eastAsia"/>
                <w:color w:val="auto"/>
                <w:sz w:val="21"/>
                <w:szCs w:val="21"/>
                <w:highlight w:val="none"/>
              </w:rPr>
              <w:t>8.在省政府组织召开全省土壤污染防治工作视频会议上作经验交流</w:t>
            </w:r>
          </w:p>
          <w:p>
            <w:pPr>
              <w:spacing w:line="306" w:lineRule="exact"/>
              <w:ind w:firstLine="0" w:firstLineChars="0"/>
              <w:rPr>
                <w:color w:val="auto"/>
                <w:sz w:val="21"/>
                <w:szCs w:val="21"/>
                <w:highlight w:val="none"/>
              </w:rPr>
            </w:pPr>
            <w:r>
              <w:rPr>
                <w:rFonts w:hint="eastAsia"/>
                <w:color w:val="auto"/>
                <w:sz w:val="21"/>
                <w:szCs w:val="21"/>
                <w:highlight w:val="none"/>
              </w:rPr>
              <w:t>9.在全省土壤污染状况调查评估质量推进视频会议、全省土壤污染状况调查报告质量和评审工作座谈会上作经验介绍</w:t>
            </w:r>
          </w:p>
          <w:p>
            <w:pPr>
              <w:spacing w:line="306" w:lineRule="exact"/>
              <w:ind w:firstLine="0" w:firstLineChars="0"/>
              <w:rPr>
                <w:color w:val="auto"/>
                <w:sz w:val="21"/>
                <w:szCs w:val="21"/>
                <w:highlight w:val="none"/>
              </w:rPr>
            </w:pPr>
            <w:r>
              <w:rPr>
                <w:rFonts w:hint="eastAsia"/>
                <w:color w:val="auto"/>
                <w:sz w:val="21"/>
                <w:szCs w:val="21"/>
                <w:highlight w:val="none"/>
              </w:rPr>
              <w:t>10.省生态环境厅发我局表扬信、山东省重点行业企业用地初步采样调查工作周报（布点采样全流程环节在全省首个打通）</w:t>
            </w:r>
          </w:p>
          <w:p>
            <w:pPr>
              <w:spacing w:line="306" w:lineRule="exact"/>
              <w:ind w:firstLine="0" w:firstLineChars="0"/>
              <w:rPr>
                <w:color w:val="auto"/>
                <w:sz w:val="21"/>
                <w:szCs w:val="21"/>
                <w:highlight w:val="none"/>
              </w:rPr>
            </w:pPr>
            <w:r>
              <w:rPr>
                <w:rFonts w:hint="eastAsia"/>
                <w:color w:val="auto"/>
                <w:sz w:val="21"/>
                <w:szCs w:val="21"/>
                <w:highlight w:val="none"/>
              </w:rPr>
              <w:t>11.青岛市污染地块安全利用率统计表</w:t>
            </w:r>
          </w:p>
          <w:p>
            <w:pPr>
              <w:spacing w:line="306" w:lineRule="exact"/>
              <w:ind w:firstLine="0" w:firstLineChars="0"/>
              <w:rPr>
                <w:color w:val="auto"/>
                <w:sz w:val="21"/>
                <w:szCs w:val="21"/>
                <w:highlight w:val="none"/>
              </w:rPr>
            </w:pPr>
            <w:r>
              <w:rPr>
                <w:rFonts w:hint="eastAsia"/>
                <w:color w:val="auto"/>
                <w:sz w:val="21"/>
                <w:szCs w:val="21"/>
                <w:highlight w:val="none"/>
              </w:rPr>
              <w:t>12.“百日攻坚”项目对接情况、建设用地土壤污染状况调查工作开展情况周报</w:t>
            </w:r>
          </w:p>
          <w:p>
            <w:pPr>
              <w:spacing w:line="306" w:lineRule="exact"/>
              <w:ind w:firstLine="0" w:firstLineChars="0"/>
              <w:rPr>
                <w:color w:val="auto"/>
                <w:sz w:val="21"/>
                <w:szCs w:val="21"/>
                <w:highlight w:val="none"/>
              </w:rPr>
            </w:pPr>
            <w:r>
              <w:rPr>
                <w:rFonts w:hint="eastAsia"/>
                <w:color w:val="auto"/>
                <w:sz w:val="21"/>
                <w:szCs w:val="21"/>
                <w:highlight w:val="none"/>
              </w:rPr>
              <w:t>13.学深圳赶深圳情况通报第91期刊发《强化服务意识 优化营商环境--市生态环境局优质高效帮助企业开展建设用地土壤污染状况调查》</w:t>
            </w:r>
          </w:p>
          <w:p>
            <w:pPr>
              <w:spacing w:line="306" w:lineRule="exact"/>
              <w:ind w:firstLine="0" w:firstLineChars="0"/>
              <w:rPr>
                <w:color w:val="auto"/>
                <w:sz w:val="21"/>
                <w:szCs w:val="21"/>
                <w:highlight w:val="none"/>
              </w:rPr>
            </w:pPr>
            <w:r>
              <w:rPr>
                <w:rFonts w:hint="eastAsia"/>
                <w:color w:val="auto"/>
                <w:sz w:val="21"/>
                <w:szCs w:val="21"/>
                <w:highlight w:val="none"/>
              </w:rPr>
              <w:t>14.外地借鉴我市有关工作做法</w:t>
            </w:r>
          </w:p>
          <w:p>
            <w:pPr>
              <w:spacing w:line="306" w:lineRule="exact"/>
              <w:ind w:firstLine="0" w:firstLineChars="0"/>
              <w:rPr>
                <w:color w:val="auto"/>
                <w:sz w:val="21"/>
                <w:szCs w:val="21"/>
                <w:highlight w:val="none"/>
              </w:rPr>
            </w:pPr>
            <w:r>
              <w:rPr>
                <w:rFonts w:hint="eastAsia"/>
                <w:color w:val="auto"/>
                <w:sz w:val="21"/>
                <w:szCs w:val="21"/>
                <w:highlight w:val="none"/>
              </w:rPr>
              <w:t>15.有关媒体报道</w:t>
            </w:r>
          </w:p>
        </w:tc>
      </w:tr>
    </w:tbl>
    <w:p>
      <w:pPr>
        <w:keepNext/>
        <w:keepLines/>
        <w:pageBreakBefore w:val="0"/>
        <w:widowControl w:val="0"/>
        <w:numPr>
          <w:ilvl w:val="1"/>
          <w:numId w:val="0"/>
        </w:numPr>
        <w:kinsoku/>
        <w:wordWrap/>
        <w:overflowPunct/>
        <w:topLinePunct w:val="0"/>
        <w:autoSpaceDE/>
        <w:autoSpaceDN/>
        <w:bidi w:val="0"/>
        <w:adjustRightInd/>
        <w:snapToGrid/>
        <w:spacing w:before="120" w:after="120" w:line="216" w:lineRule="auto"/>
        <w:jc w:val="center"/>
        <w:textAlignment w:val="auto"/>
        <w:outlineLvl w:val="9"/>
        <w:rPr>
          <w:rFonts w:hint="eastAsia" w:ascii="宋体" w:hAnsi="宋体" w:eastAsia="宋体" w:cs="宋体"/>
          <w:color w:val="auto"/>
          <w:sz w:val="32"/>
          <w:szCs w:val="32"/>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sectPr>
          <w:type w:val="continuous"/>
          <w:pgSz w:w="16838" w:h="11906" w:orient="landscape"/>
          <w:pgMar w:top="1701" w:right="907" w:bottom="1701" w:left="1304" w:header="851" w:footer="992" w:gutter="0"/>
          <w:cols w:space="720" w:num="1"/>
          <w:docGrid w:linePitch="312" w:charSpace="0"/>
        </w:sectPr>
      </w:pPr>
    </w:p>
    <w:p>
      <w:pPr>
        <w:widowControl/>
        <w:adjustRightInd w:val="0"/>
        <w:snapToGrid w:val="0"/>
        <w:textAlignment w:val="center"/>
        <w:rPr>
          <w:rFonts w:hint="default"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附件</w:t>
      </w:r>
      <w:r>
        <w:rPr>
          <w:rFonts w:hint="eastAsia" w:ascii="仿宋_GB2312" w:hAnsi="仿宋_GB2312" w:eastAsia="仿宋_GB2312" w:cs="仿宋_GB2312"/>
          <w:color w:val="auto"/>
          <w:kern w:val="0"/>
          <w:sz w:val="24"/>
          <w:szCs w:val="24"/>
          <w:highlight w:val="none"/>
          <w:lang w:val="en-US" w:eastAsia="zh-CN"/>
        </w:rPr>
        <w:t>4.</w:t>
      </w:r>
    </w:p>
    <w:p>
      <w:pPr>
        <w:adjustRightInd w:val="0"/>
        <w:snapToGrid w:val="0"/>
        <w:jc w:val="center"/>
        <w:rPr>
          <w:rFonts w:hint="eastAsia" w:ascii="宋体" w:hAnsi="宋体" w:eastAsia="宋体" w:cs="宋体"/>
          <w:b/>
          <w:bCs w:val="0"/>
          <w:color w:val="auto"/>
          <w:kern w:val="44"/>
          <w:sz w:val="32"/>
          <w:szCs w:val="32"/>
          <w:highlight w:val="none"/>
          <w:lang w:val="en-US" w:eastAsia="zh-CN"/>
        </w:rPr>
      </w:pPr>
      <w:r>
        <w:rPr>
          <w:rFonts w:hint="eastAsia" w:ascii="宋体" w:hAnsi="宋体" w:eastAsia="宋体" w:cs="宋体"/>
          <w:b/>
          <w:bCs w:val="0"/>
          <w:color w:val="auto"/>
          <w:kern w:val="44"/>
          <w:sz w:val="32"/>
          <w:szCs w:val="32"/>
          <w:highlight w:val="none"/>
          <w:lang w:val="en-US" w:eastAsia="zh-CN"/>
        </w:rPr>
        <w:t>2020年度青岛市生态环境局</w:t>
      </w:r>
    </w:p>
    <w:p>
      <w:pPr>
        <w:adjustRightInd w:val="0"/>
        <w:snapToGrid w:val="0"/>
        <w:jc w:val="center"/>
        <w:rPr>
          <w:rFonts w:hint="eastAsia" w:ascii="宋体" w:hAnsi="宋体" w:eastAsia="宋体" w:cs="宋体"/>
          <w:b/>
          <w:bCs w:val="0"/>
          <w:color w:val="auto"/>
          <w:kern w:val="44"/>
          <w:sz w:val="32"/>
          <w:szCs w:val="32"/>
          <w:highlight w:val="none"/>
        </w:rPr>
      </w:pPr>
      <w:r>
        <w:rPr>
          <w:rFonts w:hint="eastAsia" w:ascii="宋体" w:hAnsi="宋体" w:eastAsia="宋体" w:cs="宋体"/>
          <w:b/>
          <w:bCs w:val="0"/>
          <w:color w:val="auto"/>
          <w:kern w:val="44"/>
          <w:sz w:val="32"/>
          <w:szCs w:val="32"/>
          <w:highlight w:val="none"/>
        </w:rPr>
        <w:t>满意度调查问卷</w:t>
      </w:r>
    </w:p>
    <w:p>
      <w:pPr>
        <w:widowControl/>
        <w:adjustRightInd w:val="0"/>
        <w:snapToGrid w:val="0"/>
        <w:ind w:firstLine="482"/>
        <w:textAlignment w:val="center"/>
        <w:rPr>
          <w:rFonts w:ascii="仿宋_GB2312" w:hAnsi="仿宋_GB2312" w:eastAsia="仿宋_GB2312" w:cs="仿宋_GB2312"/>
          <w:color w:val="auto"/>
          <w:sz w:val="24"/>
          <w:highlight w:val="none"/>
          <w:shd w:val="clear" w:color="auto" w:fill="FFFFFF"/>
        </w:rPr>
      </w:pPr>
    </w:p>
    <w:p>
      <w:pPr>
        <w:widowControl/>
        <w:adjustRightInd w:val="0"/>
        <w:snapToGrid w:val="0"/>
        <w:spacing w:line="360" w:lineRule="auto"/>
        <w:ind w:firstLine="482"/>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shd w:val="clear" w:color="auto" w:fill="FFFFFF"/>
        </w:rPr>
        <w:t>您好！为更好的开展</w:t>
      </w:r>
      <w:r>
        <w:rPr>
          <w:rFonts w:hint="eastAsia" w:ascii="仿宋_GB2312" w:hAnsi="仿宋_GB2312" w:eastAsia="仿宋_GB2312" w:cs="仿宋_GB2312"/>
          <w:color w:val="auto"/>
          <w:sz w:val="24"/>
          <w:szCs w:val="24"/>
          <w:highlight w:val="none"/>
          <w:shd w:val="clear" w:color="auto" w:fill="FFFFFF"/>
          <w:lang w:val="en-US" w:eastAsia="zh-CN"/>
        </w:rPr>
        <w:t>2020年度青岛市生态环境局整体支出</w:t>
      </w:r>
      <w:r>
        <w:rPr>
          <w:rFonts w:hint="eastAsia" w:ascii="仿宋_GB2312" w:hAnsi="仿宋_GB2312" w:eastAsia="仿宋_GB2312" w:cs="仿宋_GB2312"/>
          <w:color w:val="auto"/>
          <w:sz w:val="24"/>
          <w:szCs w:val="24"/>
          <w:highlight w:val="none"/>
          <w:shd w:val="clear" w:color="auto" w:fill="FFFFFF"/>
        </w:rPr>
        <w:t>的绩效评价工作。</w:t>
      </w:r>
      <w:r>
        <w:rPr>
          <w:rFonts w:hint="eastAsia" w:ascii="仿宋_GB2312" w:hAnsi="仿宋_GB2312" w:eastAsia="仿宋_GB2312" w:cs="仿宋_GB2312"/>
          <w:color w:val="auto"/>
          <w:kern w:val="0"/>
          <w:sz w:val="24"/>
          <w:szCs w:val="24"/>
          <w:highlight w:val="none"/>
        </w:rPr>
        <w:t>邀请您在百忙之中完成这份调查问卷，您真实的回答对于我们得到有效的结论非常重要，我们对于您的个人信息予以严格保密，感谢您的支持与配合！</w:t>
      </w:r>
    </w:p>
    <w:p>
      <w:pPr>
        <w:keepNext w:val="0"/>
        <w:keepLines w:val="0"/>
        <w:pageBreakBefore w:val="0"/>
        <w:widowControl/>
        <w:kinsoku/>
        <w:wordWrap/>
        <w:overflowPunct/>
        <w:topLinePunct w:val="0"/>
        <w:autoSpaceDE/>
        <w:autoSpaceDN/>
        <w:bidi w:val="0"/>
        <w:adjustRightInd w:val="0"/>
        <w:snapToGrid w:val="0"/>
        <w:spacing w:line="360" w:lineRule="auto"/>
        <w:textAlignment w:val="center"/>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一、基础问题</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您的年龄</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A．18</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29</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B．30</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39</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C．40</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49</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D．50</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65</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F．18以下，65以上</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2.</w:t>
      </w:r>
      <w:r>
        <w:rPr>
          <w:rFonts w:hint="eastAsia" w:ascii="仿宋_GB2312" w:hAnsi="仿宋_GB2312" w:eastAsia="仿宋_GB2312" w:cs="仿宋_GB2312"/>
          <w:color w:val="auto"/>
          <w:kern w:val="0"/>
          <w:sz w:val="24"/>
          <w:szCs w:val="24"/>
          <w:highlight w:val="none"/>
        </w:rPr>
        <w:t>您的文化程度</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A．小学及以下</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B．初中</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C．高中（中专）</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D．大专</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E．本科及以上</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3.您的职业</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A．机关、事业单位工作人员</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B．企业从业人员</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C．科教文体卫专业人员</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D．自由职业者</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E．个体商贩</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F．离退休人员</w:t>
      </w:r>
      <w:r>
        <w:rPr>
          <w:rFonts w:hint="eastAsia" w:ascii="仿宋_GB2312" w:hAnsi="仿宋_GB2312" w:eastAsia="仿宋_GB2312" w:cs="仿宋_GB2312"/>
          <w:color w:val="auto"/>
          <w:kern w:val="0"/>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G．农民</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H．学生</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I．失业，无业人员</w:t>
      </w:r>
      <w:r>
        <w:rPr>
          <w:rFonts w:hint="eastAsia" w:ascii="仿宋_GB2312" w:hAnsi="仿宋_GB2312" w:eastAsia="仿宋_GB2312" w:cs="仿宋_GB2312"/>
          <w:color w:val="auto"/>
          <w:kern w:val="0"/>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u w:val="single"/>
          <w:lang w:val="en-US" w:eastAsia="zh-CN"/>
        </w:rPr>
      </w:pPr>
      <w:r>
        <w:rPr>
          <w:rFonts w:hint="eastAsia" w:ascii="仿宋_GB2312" w:hAnsi="仿宋_GB2312" w:eastAsia="仿宋_GB2312" w:cs="仿宋_GB2312"/>
          <w:color w:val="auto"/>
          <w:kern w:val="0"/>
          <w:sz w:val="24"/>
          <w:szCs w:val="24"/>
          <w:highlight w:val="none"/>
        </w:rPr>
        <w:t>J．其它</w:t>
      </w:r>
      <w:r>
        <w:rPr>
          <w:rFonts w:hint="eastAsia" w:ascii="仿宋_GB2312" w:hAnsi="仿宋_GB2312" w:eastAsia="仿宋_GB2312" w:cs="仿宋_GB2312"/>
          <w:color w:val="auto"/>
          <w:kern w:val="0"/>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textAlignment w:val="center"/>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eastAsia="zh-CN"/>
        </w:rPr>
        <w:t>二、基本问题</w:t>
      </w:r>
      <w:r>
        <w:rPr>
          <w:rFonts w:hint="eastAsia" w:ascii="仿宋_GB2312" w:hAnsi="仿宋_GB2312" w:eastAsia="仿宋_GB2312" w:cs="仿宋_GB2312"/>
          <w:color w:val="auto"/>
          <w:kern w:val="0"/>
          <w:sz w:val="24"/>
          <w:szCs w:val="24"/>
          <w:highlight w:val="none"/>
          <w:lang w:eastAsia="zh-CN"/>
        </w:rPr>
        <w:t>（每小题以</w:t>
      </w:r>
      <w:r>
        <w:rPr>
          <w:rFonts w:hint="eastAsia" w:ascii="仿宋_GB2312" w:hAnsi="仿宋_GB2312" w:eastAsia="仿宋_GB2312" w:cs="仿宋_GB2312"/>
          <w:color w:val="auto"/>
          <w:kern w:val="0"/>
          <w:sz w:val="24"/>
          <w:szCs w:val="24"/>
          <w:highlight w:val="none"/>
          <w:lang w:val="en-US" w:eastAsia="zh-CN"/>
        </w:rPr>
        <w:t>5分为满分</w:t>
      </w:r>
      <w:r>
        <w:rPr>
          <w:rFonts w:hint="eastAsia" w:ascii="仿宋_GB2312" w:hAnsi="仿宋_GB2312" w:eastAsia="仿宋_GB2312" w:cs="仿宋_GB2312"/>
          <w:color w:val="auto"/>
          <w:kern w:val="0"/>
          <w:sz w:val="24"/>
          <w:szCs w:val="24"/>
          <w:highlight w:val="none"/>
          <w:lang w:eastAsia="zh-CN"/>
        </w:rPr>
        <w:t>）</w:t>
      </w:r>
    </w:p>
    <w:p>
      <w:pPr>
        <w:keepNext w:val="0"/>
        <w:keepLines w:val="0"/>
        <w:pageBreakBefore w:val="0"/>
        <w:numPr>
          <w:ilvl w:val="0"/>
          <w:numId w:val="2"/>
        </w:numPr>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您对青岛市生态环境保护宣传工作的满意程度。</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2.</w:t>
      </w:r>
      <w:r>
        <w:rPr>
          <w:rFonts w:hint="eastAsia" w:ascii="仿宋_GB2312" w:hAnsi="仿宋_GB2312" w:eastAsia="仿宋_GB2312" w:cs="仿宋_GB2312"/>
          <w:color w:val="auto"/>
          <w:kern w:val="0"/>
          <w:sz w:val="24"/>
          <w:szCs w:val="24"/>
          <w:highlight w:val="none"/>
          <w:lang w:eastAsia="zh-CN"/>
        </w:rPr>
        <w:t>您对青岛市空气质量</w:t>
      </w:r>
      <w:r>
        <w:rPr>
          <w:rFonts w:hint="eastAsia" w:ascii="仿宋_GB2312" w:hAnsi="仿宋_GB2312" w:eastAsia="仿宋_GB2312" w:cs="仿宋_GB2312"/>
          <w:color w:val="auto"/>
          <w:kern w:val="0"/>
          <w:sz w:val="24"/>
          <w:szCs w:val="24"/>
          <w:highlight w:val="none"/>
        </w:rPr>
        <w:t>的满意程度。</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lang w:eastAsia="zh-CN"/>
        </w:rPr>
        <w:t>您对青岛市</w:t>
      </w:r>
      <w:r>
        <w:rPr>
          <w:rFonts w:hint="eastAsia" w:ascii="仿宋_GB2312" w:hAnsi="仿宋_GB2312" w:eastAsia="仿宋_GB2312" w:cs="仿宋_GB2312"/>
          <w:color w:val="auto"/>
          <w:kern w:val="0"/>
          <w:sz w:val="24"/>
          <w:szCs w:val="24"/>
          <w:highlight w:val="none"/>
        </w:rPr>
        <w:t>水环境（</w:t>
      </w:r>
      <w:r>
        <w:rPr>
          <w:rFonts w:hint="eastAsia" w:ascii="仿宋_GB2312" w:hAnsi="仿宋_GB2312" w:eastAsia="仿宋_GB2312" w:cs="仿宋_GB2312"/>
          <w:color w:val="auto"/>
          <w:kern w:val="0"/>
          <w:sz w:val="24"/>
          <w:szCs w:val="24"/>
          <w:highlight w:val="none"/>
          <w:lang w:eastAsia="zh-CN"/>
        </w:rPr>
        <w:t>海域、</w:t>
      </w:r>
      <w:r>
        <w:rPr>
          <w:rFonts w:hint="eastAsia" w:ascii="仿宋_GB2312" w:hAnsi="仿宋_GB2312" w:eastAsia="仿宋_GB2312" w:cs="仿宋_GB2312"/>
          <w:color w:val="auto"/>
          <w:kern w:val="0"/>
          <w:sz w:val="24"/>
          <w:szCs w:val="24"/>
          <w:highlight w:val="none"/>
        </w:rPr>
        <w:t>河流、湖泊和饮用水水质等）状</w:t>
      </w:r>
      <w:r>
        <w:rPr>
          <w:rFonts w:hint="eastAsia" w:ascii="仿宋_GB2312" w:hAnsi="仿宋_GB2312" w:eastAsia="仿宋_GB2312" w:cs="仿宋_GB2312"/>
          <w:color w:val="auto"/>
          <w:kern w:val="0"/>
          <w:sz w:val="24"/>
          <w:szCs w:val="24"/>
          <w:highlight w:val="none"/>
          <w:lang w:eastAsia="zh-CN"/>
        </w:rPr>
        <w:t>况</w:t>
      </w:r>
      <w:r>
        <w:rPr>
          <w:rFonts w:hint="eastAsia" w:ascii="仿宋_GB2312" w:hAnsi="仿宋_GB2312" w:eastAsia="仿宋_GB2312" w:cs="仿宋_GB2312"/>
          <w:color w:val="auto"/>
          <w:kern w:val="0"/>
          <w:sz w:val="24"/>
          <w:szCs w:val="24"/>
          <w:highlight w:val="none"/>
        </w:rPr>
        <w:t>的满意程度。</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4</w:t>
      </w:r>
      <w:r>
        <w:rPr>
          <w:rFonts w:hint="eastAsia" w:ascii="仿宋_GB2312" w:hAnsi="仿宋_GB2312" w:eastAsia="仿宋_GB2312" w:cs="仿宋_GB2312"/>
          <w:color w:val="auto"/>
          <w:kern w:val="0"/>
          <w:sz w:val="24"/>
          <w:szCs w:val="24"/>
          <w:highlight w:val="none"/>
        </w:rPr>
        <w:t>.您</w:t>
      </w:r>
      <w:r>
        <w:rPr>
          <w:rFonts w:hint="eastAsia" w:ascii="仿宋_GB2312" w:hAnsi="仿宋_GB2312" w:eastAsia="仿宋_GB2312" w:cs="仿宋_GB2312"/>
          <w:color w:val="auto"/>
          <w:kern w:val="0"/>
          <w:sz w:val="24"/>
          <w:szCs w:val="24"/>
          <w:highlight w:val="none"/>
          <w:lang w:eastAsia="zh-CN"/>
        </w:rPr>
        <w:t>对青岛市</w:t>
      </w:r>
      <w:r>
        <w:rPr>
          <w:rFonts w:hint="eastAsia" w:ascii="仿宋_GB2312" w:hAnsi="仿宋_GB2312" w:eastAsia="仿宋_GB2312" w:cs="仿宋_GB2312"/>
          <w:color w:val="auto"/>
          <w:kern w:val="0"/>
          <w:sz w:val="24"/>
          <w:szCs w:val="24"/>
          <w:highlight w:val="none"/>
        </w:rPr>
        <w:t>控制噪声（工业噪声、交通噪声、建筑施工噪声、生活噪声）</w:t>
      </w:r>
      <w:r>
        <w:rPr>
          <w:rFonts w:hint="eastAsia" w:ascii="仿宋_GB2312" w:hAnsi="仿宋_GB2312" w:eastAsia="仿宋_GB2312" w:cs="仿宋_GB2312"/>
          <w:color w:val="auto"/>
          <w:kern w:val="0"/>
          <w:sz w:val="24"/>
          <w:szCs w:val="24"/>
          <w:highlight w:val="none"/>
          <w:lang w:eastAsia="zh-CN"/>
        </w:rPr>
        <w:t>效果的满意程度</w:t>
      </w:r>
      <w:r>
        <w:rPr>
          <w:rFonts w:hint="eastAsia" w:ascii="仿宋_GB2312" w:hAnsi="仿宋_GB2312" w:eastAsia="仿宋_GB2312" w:cs="仿宋_GB2312"/>
          <w:color w:val="auto"/>
          <w:kern w:val="0"/>
          <w:sz w:val="24"/>
          <w:szCs w:val="24"/>
          <w:highlight w:val="none"/>
        </w:rPr>
        <w:t>。</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您对青岛市生态环境状况的满意程度。</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6.</w:t>
      </w:r>
      <w:r>
        <w:rPr>
          <w:rFonts w:hint="eastAsia" w:ascii="仿宋_GB2312" w:hAnsi="仿宋_GB2312" w:eastAsia="仿宋_GB2312" w:cs="仿宋_GB2312"/>
          <w:color w:val="auto"/>
          <w:kern w:val="0"/>
          <w:sz w:val="24"/>
          <w:szCs w:val="24"/>
          <w:highlight w:val="none"/>
        </w:rPr>
        <w:t>您对自己居住、生活（村容村貌和居住）环境</w:t>
      </w:r>
      <w:r>
        <w:rPr>
          <w:rFonts w:hint="eastAsia" w:ascii="仿宋_GB2312" w:hAnsi="仿宋_GB2312" w:eastAsia="仿宋_GB2312" w:cs="仿宋_GB2312"/>
          <w:color w:val="auto"/>
          <w:kern w:val="0"/>
          <w:sz w:val="24"/>
          <w:szCs w:val="24"/>
          <w:highlight w:val="none"/>
          <w:lang w:eastAsia="zh-CN"/>
        </w:rPr>
        <w:t>的满意程度。</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7.</w:t>
      </w:r>
      <w:r>
        <w:rPr>
          <w:rFonts w:hint="eastAsia" w:ascii="仿宋_GB2312" w:hAnsi="仿宋_GB2312" w:eastAsia="仿宋_GB2312" w:cs="仿宋_GB2312"/>
          <w:color w:val="auto"/>
          <w:kern w:val="0"/>
          <w:sz w:val="24"/>
          <w:szCs w:val="24"/>
          <w:highlight w:val="none"/>
        </w:rPr>
        <w:t>您</w:t>
      </w:r>
      <w:r>
        <w:rPr>
          <w:rFonts w:hint="eastAsia" w:ascii="仿宋_GB2312" w:hAnsi="仿宋_GB2312" w:eastAsia="仿宋_GB2312" w:cs="仿宋_GB2312"/>
          <w:color w:val="auto"/>
          <w:kern w:val="0"/>
          <w:sz w:val="24"/>
          <w:szCs w:val="24"/>
          <w:highlight w:val="none"/>
          <w:lang w:eastAsia="zh-CN"/>
        </w:rPr>
        <w:t>对市生态环境局环境监测能力的满意程度</w:t>
      </w:r>
      <w:r>
        <w:rPr>
          <w:rFonts w:hint="eastAsia" w:ascii="仿宋_GB2312" w:hAnsi="仿宋_GB2312" w:eastAsia="仿宋_GB2312" w:cs="仿宋_GB2312"/>
          <w:color w:val="auto"/>
          <w:kern w:val="0"/>
          <w:sz w:val="24"/>
          <w:szCs w:val="24"/>
          <w:highlight w:val="none"/>
        </w:rPr>
        <w:t>。</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8.</w:t>
      </w:r>
      <w:r>
        <w:rPr>
          <w:rFonts w:hint="eastAsia" w:ascii="仿宋_GB2312" w:hAnsi="仿宋_GB2312" w:eastAsia="仿宋_GB2312" w:cs="仿宋_GB2312"/>
          <w:color w:val="auto"/>
          <w:kern w:val="0"/>
          <w:sz w:val="24"/>
          <w:szCs w:val="24"/>
          <w:highlight w:val="none"/>
          <w:lang w:eastAsia="zh-CN"/>
        </w:rPr>
        <w:t>您</w:t>
      </w:r>
      <w:r>
        <w:rPr>
          <w:rFonts w:hint="eastAsia" w:ascii="仿宋_GB2312" w:hAnsi="仿宋_GB2312" w:eastAsia="仿宋_GB2312" w:cs="仿宋_GB2312"/>
          <w:color w:val="auto"/>
          <w:kern w:val="0"/>
          <w:sz w:val="24"/>
          <w:szCs w:val="24"/>
          <w:highlight w:val="none"/>
        </w:rPr>
        <w:t>对</w:t>
      </w:r>
      <w:r>
        <w:rPr>
          <w:rFonts w:hint="eastAsia" w:ascii="仿宋_GB2312" w:hAnsi="仿宋_GB2312" w:eastAsia="仿宋_GB2312" w:cs="仿宋_GB2312"/>
          <w:color w:val="auto"/>
          <w:kern w:val="0"/>
          <w:sz w:val="24"/>
          <w:szCs w:val="24"/>
          <w:highlight w:val="none"/>
          <w:lang w:eastAsia="zh-CN"/>
        </w:rPr>
        <w:t>市</w:t>
      </w:r>
      <w:r>
        <w:rPr>
          <w:rFonts w:hint="eastAsia" w:ascii="仿宋_GB2312" w:hAnsi="仿宋_GB2312" w:eastAsia="仿宋_GB2312" w:cs="仿宋_GB2312"/>
          <w:color w:val="auto"/>
          <w:kern w:val="0"/>
          <w:sz w:val="24"/>
          <w:szCs w:val="24"/>
          <w:highlight w:val="none"/>
        </w:rPr>
        <w:t>环境污染（工业、生活污染）整治成效的满意程度。 </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A.5分  B.4分   C.3分   D.2分    E.1分</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9</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您</w:t>
      </w:r>
      <w:r>
        <w:rPr>
          <w:rFonts w:hint="eastAsia" w:ascii="仿宋_GB2312" w:hAnsi="仿宋_GB2312" w:eastAsia="仿宋_GB2312" w:cs="仿宋_GB2312"/>
          <w:color w:val="auto"/>
          <w:kern w:val="0"/>
          <w:sz w:val="24"/>
          <w:szCs w:val="24"/>
          <w:highlight w:val="none"/>
        </w:rPr>
        <w:t>对</w:t>
      </w:r>
      <w:r>
        <w:rPr>
          <w:rFonts w:hint="eastAsia" w:ascii="仿宋_GB2312" w:hAnsi="仿宋_GB2312" w:eastAsia="仿宋_GB2312" w:cs="仿宋_GB2312"/>
          <w:color w:val="auto"/>
          <w:kern w:val="0"/>
          <w:sz w:val="24"/>
          <w:szCs w:val="24"/>
          <w:highlight w:val="none"/>
          <w:lang w:eastAsia="zh-CN"/>
        </w:rPr>
        <w:t>市生态环境局推进环境整治</w:t>
      </w:r>
      <w:r>
        <w:rPr>
          <w:rFonts w:hint="eastAsia" w:ascii="仿宋_GB2312" w:hAnsi="仿宋_GB2312" w:eastAsia="仿宋_GB2312" w:cs="仿宋_GB2312"/>
          <w:color w:val="auto"/>
          <w:kern w:val="0"/>
          <w:sz w:val="24"/>
          <w:szCs w:val="24"/>
          <w:highlight w:val="none"/>
        </w:rPr>
        <w:t>的</w:t>
      </w:r>
      <w:r>
        <w:rPr>
          <w:rFonts w:hint="eastAsia" w:ascii="仿宋_GB2312" w:hAnsi="仿宋_GB2312" w:eastAsia="仿宋_GB2312" w:cs="仿宋_GB2312"/>
          <w:color w:val="auto"/>
          <w:kern w:val="0"/>
          <w:sz w:val="24"/>
          <w:szCs w:val="24"/>
          <w:highlight w:val="none"/>
          <w:lang w:eastAsia="zh-CN"/>
        </w:rPr>
        <w:t>意见或建议</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color w:val="auto"/>
          <w:sz w:val="24"/>
          <w:szCs w:val="24"/>
          <w:highlight w:val="none"/>
          <w:u w:val="single"/>
          <w:shd w:val="clear" w:color="auto" w:fill="FFFFFF"/>
        </w:rPr>
      </w:pPr>
      <w:r>
        <w:rPr>
          <w:rFonts w:hint="eastAsia" w:ascii="仿宋_GB2312" w:hAnsi="仿宋_GB2312" w:eastAsia="仿宋_GB2312" w:cs="仿宋_GB2312"/>
          <w:color w:val="auto"/>
          <w:kern w:val="0"/>
          <w:sz w:val="24"/>
          <w:szCs w:val="24"/>
          <w:highlight w:val="none"/>
          <w:u w:val="single"/>
        </w:rPr>
        <w:t xml:space="preserve">                                                   </w:t>
      </w:r>
    </w:p>
    <w:p>
      <w:pPr>
        <w:rPr>
          <w:rFonts w:hint="default"/>
          <w:color w:val="auto"/>
          <w:highlight w:val="none"/>
          <w:lang w:val="en-US" w:eastAsia="zh-CN"/>
        </w:rPr>
      </w:pP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文星简黑体">
    <w:altName w:val="黑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tabs>
        <w:tab w:val="center" w:pos="7699"/>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Times New Roman" w:hAnsi="Times New Roman" w:eastAsiaTheme="minorEastAsia"/>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54</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4"/>
                      <w:rPr>
                        <w:rFonts w:ascii="Times New Roman" w:hAnsi="Times New Roman" w:eastAsiaTheme="minorEastAsia"/>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54</w:t>
                    </w:r>
                    <w:r>
                      <w:rPr>
                        <w:rFonts w:ascii="Times New Roman" w:hAnsi="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tabs>
        <w:tab w:val="center" w:pos="7699"/>
      </w:tabs>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Times New Roman" w:hAnsi="Times New Roman" w:eastAsiaTheme="minorEastAsia"/>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54</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4"/>
                      <w:rPr>
                        <w:rFonts w:ascii="Times New Roman" w:hAnsi="Times New Roman" w:eastAsiaTheme="minorEastAsia"/>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54</w:t>
                    </w:r>
                    <w:r>
                      <w:rPr>
                        <w:rFonts w:ascii="Times New Roman" w:hAnsi="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jc w:val="center"/>
                          </w:pPr>
                          <w:r>
                            <w:fldChar w:fldCharType="begin"/>
                          </w:r>
                          <w:r>
                            <w:instrText xml:space="preserve">PAGE   \* MERGEFORMAT</w:instrText>
                          </w:r>
                          <w:r>
                            <w:fldChar w:fldCharType="separate"/>
                          </w:r>
                          <w:r>
                            <w:rPr>
                              <w:lang w:val="zh-CN"/>
                            </w:rPr>
                            <w:t>52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ind w:firstLine="360"/>
                      <w:jc w:val="center"/>
                    </w:pPr>
                    <w:r>
                      <w:fldChar w:fldCharType="begin"/>
                    </w:r>
                    <w:r>
                      <w:instrText xml:space="preserve">PAGE   \* MERGEFORMAT</w:instrText>
                    </w:r>
                    <w:r>
                      <w:fldChar w:fldCharType="separate"/>
                    </w:r>
                    <w:r>
                      <w:rPr>
                        <w:lang w:val="zh-CN"/>
                      </w:rPr>
                      <w:t>52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pPr>
      <w:ind w:firstLine="5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76E67"/>
    <w:multiLevelType w:val="singleLevel"/>
    <w:tmpl w:val="88F76E67"/>
    <w:lvl w:ilvl="0" w:tentative="0">
      <w:start w:val="1"/>
      <w:numFmt w:val="decimal"/>
      <w:lvlText w:val="%1."/>
      <w:lvlJc w:val="left"/>
      <w:pPr>
        <w:tabs>
          <w:tab w:val="left" w:pos="312"/>
        </w:tabs>
      </w:pPr>
    </w:lvl>
  </w:abstractNum>
  <w:abstractNum w:abstractNumId="1">
    <w:nsid w:val="610671B8"/>
    <w:multiLevelType w:val="multilevel"/>
    <w:tmpl w:val="610671B8"/>
    <w:lvl w:ilvl="0" w:tentative="0">
      <w:start w:val="1"/>
      <w:numFmt w:val="chineseCountingThousand"/>
      <w:pStyle w:val="3"/>
      <w:suff w:val="nothing"/>
      <w:lvlText w:val="%1、"/>
      <w:lvlJc w:val="left"/>
      <w:pPr>
        <w:ind w:left="4253" w:hanging="425"/>
      </w:pPr>
      <w:rPr>
        <w:rFonts w:hint="eastAsia"/>
      </w:rPr>
    </w:lvl>
    <w:lvl w:ilvl="1" w:tentative="0">
      <w:start w:val="1"/>
      <w:numFmt w:val="chineseCountingThousand"/>
      <w:pStyle w:val="4"/>
      <w:suff w:val="nothing"/>
      <w:lvlText w:val="（%2）"/>
      <w:lvlJc w:val="left"/>
      <w:pPr>
        <w:ind w:left="709" w:hanging="567"/>
      </w:pPr>
      <w:rPr>
        <w:rFonts w:hint="eastAsia"/>
      </w:rPr>
    </w:lvl>
    <w:lvl w:ilvl="2" w:tentative="0">
      <w:start w:val="1"/>
      <w:numFmt w:val="decimal"/>
      <w:pStyle w:val="5"/>
      <w:suff w:val="nothing"/>
      <w:lvlText w:val="%3. "/>
      <w:lvlJc w:val="left"/>
      <w:pPr>
        <w:ind w:left="426" w:hanging="567"/>
      </w:pPr>
      <w:rPr>
        <w:rFonts w:hint="eastAsia"/>
      </w:rPr>
    </w:lvl>
    <w:lvl w:ilvl="3" w:tentative="0">
      <w:start w:val="1"/>
      <w:numFmt w:val="decimal"/>
      <w:pStyle w:val="6"/>
      <w:suff w:val="nothing"/>
      <w:lvlText w:val="（%4）"/>
      <w:lvlJc w:val="left"/>
      <w:pPr>
        <w:ind w:left="1134" w:hanging="425"/>
      </w:pPr>
      <w:rPr>
        <w:rFonts w:hint="eastAsia"/>
      </w:rPr>
    </w:lvl>
    <w:lvl w:ilvl="4" w:tentative="0">
      <w:start w:val="1"/>
      <w:numFmt w:val="decimal"/>
      <w:pStyle w:val="8"/>
      <w:suff w:val="nothing"/>
      <w:lvlText w:val="%5）"/>
      <w:lvlJc w:val="left"/>
      <w:pPr>
        <w:ind w:left="709" w:hanging="113"/>
      </w:pPr>
      <w:rPr>
        <w:rFonts w:hint="eastAsia"/>
      </w:rPr>
    </w:lvl>
    <w:lvl w:ilvl="5" w:tentative="0">
      <w:start w:val="1"/>
      <w:numFmt w:val="decimal"/>
      <w:pStyle w:val="55"/>
      <w:suff w:val="nothing"/>
      <w:lvlText w:val="附件%6 "/>
      <w:lvlJc w:val="left"/>
      <w:pPr>
        <w:ind w:left="-283" w:firstLine="0"/>
      </w:pPr>
      <w:rPr>
        <w:rFonts w:hint="eastAsia"/>
      </w:rPr>
    </w:lvl>
    <w:lvl w:ilvl="6" w:tentative="0">
      <w:start w:val="1"/>
      <w:numFmt w:val="chineseCountingThousand"/>
      <w:suff w:val="nothing"/>
      <w:lvlText w:val="%7、"/>
      <w:lvlJc w:val="left"/>
      <w:pPr>
        <w:ind w:left="709" w:hanging="567"/>
      </w:pPr>
      <w:rPr>
        <w:rFonts w:hint="eastAsia"/>
      </w:rPr>
    </w:lvl>
    <w:lvl w:ilvl="7" w:tentative="0">
      <w:start w:val="1"/>
      <w:numFmt w:val="chineseCountingThousand"/>
      <w:suff w:val="nothing"/>
      <w:lvlText w:val="（%8）"/>
      <w:lvlJc w:val="left"/>
      <w:pPr>
        <w:ind w:left="709" w:hanging="567"/>
      </w:pPr>
      <w:rPr>
        <w:rFonts w:hint="eastAsia"/>
      </w:rPr>
    </w:lvl>
    <w:lvl w:ilvl="8" w:tentative="0">
      <w:start w:val="1"/>
      <w:numFmt w:val="decimal"/>
      <w:suff w:val="nothing"/>
      <w:lvlText w:val="%9. "/>
      <w:lvlJc w:val="left"/>
      <w:pPr>
        <w:ind w:left="709" w:hanging="56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4D"/>
    <w:rsid w:val="000103F6"/>
    <w:rsid w:val="00015FD7"/>
    <w:rsid w:val="00017425"/>
    <w:rsid w:val="000177CD"/>
    <w:rsid w:val="000215FD"/>
    <w:rsid w:val="00025E1A"/>
    <w:rsid w:val="00035C58"/>
    <w:rsid w:val="00044534"/>
    <w:rsid w:val="00045368"/>
    <w:rsid w:val="0005304B"/>
    <w:rsid w:val="00053EAD"/>
    <w:rsid w:val="0005634B"/>
    <w:rsid w:val="00065703"/>
    <w:rsid w:val="00066C9A"/>
    <w:rsid w:val="00071965"/>
    <w:rsid w:val="000760DA"/>
    <w:rsid w:val="00083FCC"/>
    <w:rsid w:val="00086675"/>
    <w:rsid w:val="00091146"/>
    <w:rsid w:val="000930F8"/>
    <w:rsid w:val="000962ED"/>
    <w:rsid w:val="000A261F"/>
    <w:rsid w:val="000A612E"/>
    <w:rsid w:val="000C0DDB"/>
    <w:rsid w:val="000C277D"/>
    <w:rsid w:val="000D04E1"/>
    <w:rsid w:val="000E5EFC"/>
    <w:rsid w:val="000E7309"/>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32A28"/>
    <w:rsid w:val="00147239"/>
    <w:rsid w:val="00147A7E"/>
    <w:rsid w:val="00152D39"/>
    <w:rsid w:val="001555BF"/>
    <w:rsid w:val="00162F82"/>
    <w:rsid w:val="00163A98"/>
    <w:rsid w:val="00172053"/>
    <w:rsid w:val="00173F46"/>
    <w:rsid w:val="001807D4"/>
    <w:rsid w:val="00181230"/>
    <w:rsid w:val="00184ABA"/>
    <w:rsid w:val="00192F0D"/>
    <w:rsid w:val="0019781C"/>
    <w:rsid w:val="00197D2B"/>
    <w:rsid w:val="001A05A0"/>
    <w:rsid w:val="001A7797"/>
    <w:rsid w:val="001B1EA4"/>
    <w:rsid w:val="001B24EE"/>
    <w:rsid w:val="001B486E"/>
    <w:rsid w:val="001C60B0"/>
    <w:rsid w:val="001D2018"/>
    <w:rsid w:val="001E4440"/>
    <w:rsid w:val="00204B59"/>
    <w:rsid w:val="00205309"/>
    <w:rsid w:val="002068C4"/>
    <w:rsid w:val="00216BF3"/>
    <w:rsid w:val="002173D5"/>
    <w:rsid w:val="00221726"/>
    <w:rsid w:val="00222A88"/>
    <w:rsid w:val="0022387E"/>
    <w:rsid w:val="00233597"/>
    <w:rsid w:val="0023442A"/>
    <w:rsid w:val="00237C0D"/>
    <w:rsid w:val="0026269B"/>
    <w:rsid w:val="00270EA4"/>
    <w:rsid w:val="00270F7F"/>
    <w:rsid w:val="00272D30"/>
    <w:rsid w:val="00274941"/>
    <w:rsid w:val="002766D9"/>
    <w:rsid w:val="00277770"/>
    <w:rsid w:val="00281D6F"/>
    <w:rsid w:val="00295624"/>
    <w:rsid w:val="002A429E"/>
    <w:rsid w:val="002A44DB"/>
    <w:rsid w:val="002B01E4"/>
    <w:rsid w:val="002B4447"/>
    <w:rsid w:val="002B54A2"/>
    <w:rsid w:val="002C3232"/>
    <w:rsid w:val="002C46C0"/>
    <w:rsid w:val="002D58DE"/>
    <w:rsid w:val="002E3092"/>
    <w:rsid w:val="002F0BBF"/>
    <w:rsid w:val="00304B83"/>
    <w:rsid w:val="00306A50"/>
    <w:rsid w:val="00306E74"/>
    <w:rsid w:val="0033302E"/>
    <w:rsid w:val="0034355A"/>
    <w:rsid w:val="003453B8"/>
    <w:rsid w:val="00345EF3"/>
    <w:rsid w:val="0035699D"/>
    <w:rsid w:val="00356FCE"/>
    <w:rsid w:val="003727B2"/>
    <w:rsid w:val="00383CBD"/>
    <w:rsid w:val="00390FDC"/>
    <w:rsid w:val="003957CB"/>
    <w:rsid w:val="0039624B"/>
    <w:rsid w:val="00397DBF"/>
    <w:rsid w:val="003A14CB"/>
    <w:rsid w:val="003A6EB1"/>
    <w:rsid w:val="003B427B"/>
    <w:rsid w:val="003D3060"/>
    <w:rsid w:val="003D428A"/>
    <w:rsid w:val="003D61E8"/>
    <w:rsid w:val="003F45CF"/>
    <w:rsid w:val="0041326E"/>
    <w:rsid w:val="00421805"/>
    <w:rsid w:val="00421A3F"/>
    <w:rsid w:val="0043483F"/>
    <w:rsid w:val="004408E8"/>
    <w:rsid w:val="00444700"/>
    <w:rsid w:val="0044724D"/>
    <w:rsid w:val="004531F9"/>
    <w:rsid w:val="004542E0"/>
    <w:rsid w:val="00461869"/>
    <w:rsid w:val="00466115"/>
    <w:rsid w:val="00477F73"/>
    <w:rsid w:val="00481171"/>
    <w:rsid w:val="004876E7"/>
    <w:rsid w:val="00493152"/>
    <w:rsid w:val="00493F68"/>
    <w:rsid w:val="004A3A8E"/>
    <w:rsid w:val="004A5E40"/>
    <w:rsid w:val="004B3569"/>
    <w:rsid w:val="004D40CF"/>
    <w:rsid w:val="004D5BB2"/>
    <w:rsid w:val="004F0717"/>
    <w:rsid w:val="00502945"/>
    <w:rsid w:val="0050520B"/>
    <w:rsid w:val="00514F5C"/>
    <w:rsid w:val="00546D71"/>
    <w:rsid w:val="00550A75"/>
    <w:rsid w:val="005602DA"/>
    <w:rsid w:val="00560DED"/>
    <w:rsid w:val="00584B70"/>
    <w:rsid w:val="005946B1"/>
    <w:rsid w:val="005954FF"/>
    <w:rsid w:val="005B41A4"/>
    <w:rsid w:val="005B429E"/>
    <w:rsid w:val="005B4DBE"/>
    <w:rsid w:val="005B5F1D"/>
    <w:rsid w:val="005C4184"/>
    <w:rsid w:val="005C7243"/>
    <w:rsid w:val="005E16C6"/>
    <w:rsid w:val="005E54C2"/>
    <w:rsid w:val="005E5FE8"/>
    <w:rsid w:val="005F2B0E"/>
    <w:rsid w:val="00604CEA"/>
    <w:rsid w:val="00607F4F"/>
    <w:rsid w:val="00610C44"/>
    <w:rsid w:val="00642A61"/>
    <w:rsid w:val="00653671"/>
    <w:rsid w:val="00656492"/>
    <w:rsid w:val="00670309"/>
    <w:rsid w:val="00671F28"/>
    <w:rsid w:val="00672BF2"/>
    <w:rsid w:val="00676082"/>
    <w:rsid w:val="00681991"/>
    <w:rsid w:val="00684679"/>
    <w:rsid w:val="00690D70"/>
    <w:rsid w:val="00697F95"/>
    <w:rsid w:val="006B25EE"/>
    <w:rsid w:val="006B5747"/>
    <w:rsid w:val="006B6D34"/>
    <w:rsid w:val="006C0552"/>
    <w:rsid w:val="006C56E6"/>
    <w:rsid w:val="006D2AA1"/>
    <w:rsid w:val="006D3289"/>
    <w:rsid w:val="006D38B2"/>
    <w:rsid w:val="006E058D"/>
    <w:rsid w:val="006E3C10"/>
    <w:rsid w:val="006E7F29"/>
    <w:rsid w:val="006F2868"/>
    <w:rsid w:val="0070312D"/>
    <w:rsid w:val="00736B86"/>
    <w:rsid w:val="00741C00"/>
    <w:rsid w:val="00744A5A"/>
    <w:rsid w:val="00744BAE"/>
    <w:rsid w:val="00756CD2"/>
    <w:rsid w:val="00760396"/>
    <w:rsid w:val="00762408"/>
    <w:rsid w:val="00763364"/>
    <w:rsid w:val="007665DB"/>
    <w:rsid w:val="0079506D"/>
    <w:rsid w:val="007B5552"/>
    <w:rsid w:val="007C1028"/>
    <w:rsid w:val="007C5DBA"/>
    <w:rsid w:val="007E6C44"/>
    <w:rsid w:val="007E7712"/>
    <w:rsid w:val="007F6F59"/>
    <w:rsid w:val="00800141"/>
    <w:rsid w:val="00803146"/>
    <w:rsid w:val="008052E9"/>
    <w:rsid w:val="00813462"/>
    <w:rsid w:val="0082340E"/>
    <w:rsid w:val="00825915"/>
    <w:rsid w:val="008362C0"/>
    <w:rsid w:val="00836DC7"/>
    <w:rsid w:val="0084030D"/>
    <w:rsid w:val="00844EAF"/>
    <w:rsid w:val="008461D5"/>
    <w:rsid w:val="008554F8"/>
    <w:rsid w:val="0086271D"/>
    <w:rsid w:val="00864A6F"/>
    <w:rsid w:val="008656D4"/>
    <w:rsid w:val="008719CF"/>
    <w:rsid w:val="00876338"/>
    <w:rsid w:val="00876C42"/>
    <w:rsid w:val="008822AB"/>
    <w:rsid w:val="00887AFB"/>
    <w:rsid w:val="008909AF"/>
    <w:rsid w:val="008A2A9A"/>
    <w:rsid w:val="008A4DAC"/>
    <w:rsid w:val="008A618D"/>
    <w:rsid w:val="008B68F7"/>
    <w:rsid w:val="008F0B0F"/>
    <w:rsid w:val="008F6E48"/>
    <w:rsid w:val="0090373E"/>
    <w:rsid w:val="00910FBE"/>
    <w:rsid w:val="00914E55"/>
    <w:rsid w:val="009204FB"/>
    <w:rsid w:val="0093120B"/>
    <w:rsid w:val="00935273"/>
    <w:rsid w:val="00944FA3"/>
    <w:rsid w:val="009463CC"/>
    <w:rsid w:val="00951537"/>
    <w:rsid w:val="009535A2"/>
    <w:rsid w:val="0096155B"/>
    <w:rsid w:val="009650E2"/>
    <w:rsid w:val="009747AF"/>
    <w:rsid w:val="00996D6E"/>
    <w:rsid w:val="009A3904"/>
    <w:rsid w:val="009A6EC2"/>
    <w:rsid w:val="009B506F"/>
    <w:rsid w:val="009B5C0F"/>
    <w:rsid w:val="009B6902"/>
    <w:rsid w:val="009B6DDE"/>
    <w:rsid w:val="009C7496"/>
    <w:rsid w:val="009E3D55"/>
    <w:rsid w:val="009E5B2A"/>
    <w:rsid w:val="009E7A87"/>
    <w:rsid w:val="009F08D9"/>
    <w:rsid w:val="009F536F"/>
    <w:rsid w:val="00A00F28"/>
    <w:rsid w:val="00A05231"/>
    <w:rsid w:val="00A058BE"/>
    <w:rsid w:val="00A134E9"/>
    <w:rsid w:val="00A251B7"/>
    <w:rsid w:val="00A274CE"/>
    <w:rsid w:val="00A36DCE"/>
    <w:rsid w:val="00A42809"/>
    <w:rsid w:val="00A42ACC"/>
    <w:rsid w:val="00A44B4D"/>
    <w:rsid w:val="00A558DE"/>
    <w:rsid w:val="00A6197A"/>
    <w:rsid w:val="00A72299"/>
    <w:rsid w:val="00A7645B"/>
    <w:rsid w:val="00A76C7F"/>
    <w:rsid w:val="00A81A24"/>
    <w:rsid w:val="00AA1D28"/>
    <w:rsid w:val="00AA2ECD"/>
    <w:rsid w:val="00AA3DE6"/>
    <w:rsid w:val="00AA53AE"/>
    <w:rsid w:val="00AA6DFA"/>
    <w:rsid w:val="00AA7BD8"/>
    <w:rsid w:val="00AB2DA1"/>
    <w:rsid w:val="00AB308A"/>
    <w:rsid w:val="00AC022B"/>
    <w:rsid w:val="00AC41A9"/>
    <w:rsid w:val="00AD214E"/>
    <w:rsid w:val="00AD253A"/>
    <w:rsid w:val="00AD596D"/>
    <w:rsid w:val="00AD6D5C"/>
    <w:rsid w:val="00AE461B"/>
    <w:rsid w:val="00AF6C81"/>
    <w:rsid w:val="00B2173E"/>
    <w:rsid w:val="00B242E6"/>
    <w:rsid w:val="00B274E4"/>
    <w:rsid w:val="00B40888"/>
    <w:rsid w:val="00B4122F"/>
    <w:rsid w:val="00B46BED"/>
    <w:rsid w:val="00B574A4"/>
    <w:rsid w:val="00B66A60"/>
    <w:rsid w:val="00B76B39"/>
    <w:rsid w:val="00B77990"/>
    <w:rsid w:val="00B82711"/>
    <w:rsid w:val="00B87DFC"/>
    <w:rsid w:val="00B9004E"/>
    <w:rsid w:val="00B906E1"/>
    <w:rsid w:val="00B932F3"/>
    <w:rsid w:val="00B934BC"/>
    <w:rsid w:val="00BA0039"/>
    <w:rsid w:val="00BB20D8"/>
    <w:rsid w:val="00BB212B"/>
    <w:rsid w:val="00BB6D6E"/>
    <w:rsid w:val="00BC37D0"/>
    <w:rsid w:val="00BC45D7"/>
    <w:rsid w:val="00BC6E4B"/>
    <w:rsid w:val="00BD7587"/>
    <w:rsid w:val="00BF5B0B"/>
    <w:rsid w:val="00C03D9D"/>
    <w:rsid w:val="00C051ED"/>
    <w:rsid w:val="00C06151"/>
    <w:rsid w:val="00C11F1D"/>
    <w:rsid w:val="00C14179"/>
    <w:rsid w:val="00C149BF"/>
    <w:rsid w:val="00C20481"/>
    <w:rsid w:val="00C233CE"/>
    <w:rsid w:val="00C266B9"/>
    <w:rsid w:val="00C47486"/>
    <w:rsid w:val="00C515BC"/>
    <w:rsid w:val="00C5307E"/>
    <w:rsid w:val="00C54DD6"/>
    <w:rsid w:val="00C6079B"/>
    <w:rsid w:val="00C672D2"/>
    <w:rsid w:val="00C705E2"/>
    <w:rsid w:val="00C71C8D"/>
    <w:rsid w:val="00C7785A"/>
    <w:rsid w:val="00C95D24"/>
    <w:rsid w:val="00CA0E49"/>
    <w:rsid w:val="00CA53E1"/>
    <w:rsid w:val="00CA7294"/>
    <w:rsid w:val="00CB3D5E"/>
    <w:rsid w:val="00CB4DCD"/>
    <w:rsid w:val="00CB636D"/>
    <w:rsid w:val="00CC1849"/>
    <w:rsid w:val="00CC2F11"/>
    <w:rsid w:val="00CC3A35"/>
    <w:rsid w:val="00CD5214"/>
    <w:rsid w:val="00CE7600"/>
    <w:rsid w:val="00D1642C"/>
    <w:rsid w:val="00D2613E"/>
    <w:rsid w:val="00D26C53"/>
    <w:rsid w:val="00D26E14"/>
    <w:rsid w:val="00D3096C"/>
    <w:rsid w:val="00D32DBF"/>
    <w:rsid w:val="00D348EA"/>
    <w:rsid w:val="00D54A94"/>
    <w:rsid w:val="00D54FCF"/>
    <w:rsid w:val="00D612A9"/>
    <w:rsid w:val="00D73E02"/>
    <w:rsid w:val="00D74E79"/>
    <w:rsid w:val="00D8113E"/>
    <w:rsid w:val="00D84754"/>
    <w:rsid w:val="00D91CAD"/>
    <w:rsid w:val="00DA134B"/>
    <w:rsid w:val="00DA2D58"/>
    <w:rsid w:val="00DA79D1"/>
    <w:rsid w:val="00DB521B"/>
    <w:rsid w:val="00DE254C"/>
    <w:rsid w:val="00DF454E"/>
    <w:rsid w:val="00E04113"/>
    <w:rsid w:val="00E041C3"/>
    <w:rsid w:val="00E048E8"/>
    <w:rsid w:val="00E160F7"/>
    <w:rsid w:val="00E20797"/>
    <w:rsid w:val="00E228E6"/>
    <w:rsid w:val="00E34DC0"/>
    <w:rsid w:val="00E427DD"/>
    <w:rsid w:val="00E4320E"/>
    <w:rsid w:val="00E4321C"/>
    <w:rsid w:val="00E449A7"/>
    <w:rsid w:val="00E51164"/>
    <w:rsid w:val="00E51F53"/>
    <w:rsid w:val="00E57492"/>
    <w:rsid w:val="00E61B30"/>
    <w:rsid w:val="00E67B38"/>
    <w:rsid w:val="00E81226"/>
    <w:rsid w:val="00E82DCF"/>
    <w:rsid w:val="00E917E4"/>
    <w:rsid w:val="00E95F7F"/>
    <w:rsid w:val="00EA01BD"/>
    <w:rsid w:val="00EA177C"/>
    <w:rsid w:val="00EB723A"/>
    <w:rsid w:val="00EC1253"/>
    <w:rsid w:val="00EC42B2"/>
    <w:rsid w:val="00EC569D"/>
    <w:rsid w:val="00ED1F81"/>
    <w:rsid w:val="00ED379F"/>
    <w:rsid w:val="00ED5703"/>
    <w:rsid w:val="00ED7C2E"/>
    <w:rsid w:val="00EE244A"/>
    <w:rsid w:val="00EE28C6"/>
    <w:rsid w:val="00EE684D"/>
    <w:rsid w:val="00EF1D4A"/>
    <w:rsid w:val="00EF1FA9"/>
    <w:rsid w:val="00F01138"/>
    <w:rsid w:val="00F117A5"/>
    <w:rsid w:val="00F14EA6"/>
    <w:rsid w:val="00F1584C"/>
    <w:rsid w:val="00F24ACB"/>
    <w:rsid w:val="00F2542E"/>
    <w:rsid w:val="00F270BD"/>
    <w:rsid w:val="00F27FC0"/>
    <w:rsid w:val="00F35308"/>
    <w:rsid w:val="00F36FD9"/>
    <w:rsid w:val="00F6514B"/>
    <w:rsid w:val="00F65ACD"/>
    <w:rsid w:val="00F76F9A"/>
    <w:rsid w:val="00F80EB6"/>
    <w:rsid w:val="00F8405D"/>
    <w:rsid w:val="00F92352"/>
    <w:rsid w:val="00F95D73"/>
    <w:rsid w:val="00FC36AB"/>
    <w:rsid w:val="00FC4671"/>
    <w:rsid w:val="00FE14F7"/>
    <w:rsid w:val="00FE2104"/>
    <w:rsid w:val="00FF2845"/>
    <w:rsid w:val="00FF42FB"/>
    <w:rsid w:val="00FF4B3C"/>
    <w:rsid w:val="018370A5"/>
    <w:rsid w:val="01A44DEE"/>
    <w:rsid w:val="01A967AF"/>
    <w:rsid w:val="03126EC1"/>
    <w:rsid w:val="03453D8E"/>
    <w:rsid w:val="038C1168"/>
    <w:rsid w:val="03940FB9"/>
    <w:rsid w:val="03C45EDE"/>
    <w:rsid w:val="03FD0AE8"/>
    <w:rsid w:val="04BA1F10"/>
    <w:rsid w:val="04FB75E7"/>
    <w:rsid w:val="056C2322"/>
    <w:rsid w:val="05DD5D7B"/>
    <w:rsid w:val="062279E7"/>
    <w:rsid w:val="064E0723"/>
    <w:rsid w:val="06CD3BCA"/>
    <w:rsid w:val="0776490D"/>
    <w:rsid w:val="07EB67A1"/>
    <w:rsid w:val="08351C39"/>
    <w:rsid w:val="088D0BB9"/>
    <w:rsid w:val="097B48C7"/>
    <w:rsid w:val="098E77E1"/>
    <w:rsid w:val="09D033F7"/>
    <w:rsid w:val="0A801B86"/>
    <w:rsid w:val="0AB37266"/>
    <w:rsid w:val="0AD75A66"/>
    <w:rsid w:val="0AE51120"/>
    <w:rsid w:val="0B171F47"/>
    <w:rsid w:val="0BAD7711"/>
    <w:rsid w:val="0BE409F8"/>
    <w:rsid w:val="0C966FBE"/>
    <w:rsid w:val="0CA30411"/>
    <w:rsid w:val="0CC01E85"/>
    <w:rsid w:val="0D2D24DA"/>
    <w:rsid w:val="0DC972B1"/>
    <w:rsid w:val="0E6761B9"/>
    <w:rsid w:val="0EC369E0"/>
    <w:rsid w:val="0EED14B0"/>
    <w:rsid w:val="0EF8029E"/>
    <w:rsid w:val="0F3B088E"/>
    <w:rsid w:val="1001138B"/>
    <w:rsid w:val="10EA5277"/>
    <w:rsid w:val="11385DD4"/>
    <w:rsid w:val="11840E93"/>
    <w:rsid w:val="11A2567C"/>
    <w:rsid w:val="123B58F9"/>
    <w:rsid w:val="124C467E"/>
    <w:rsid w:val="12D9735A"/>
    <w:rsid w:val="14202378"/>
    <w:rsid w:val="143F62F6"/>
    <w:rsid w:val="149F719C"/>
    <w:rsid w:val="14AA14D4"/>
    <w:rsid w:val="15696373"/>
    <w:rsid w:val="15F864B9"/>
    <w:rsid w:val="15F95F09"/>
    <w:rsid w:val="163356BD"/>
    <w:rsid w:val="16892BD1"/>
    <w:rsid w:val="17D35F57"/>
    <w:rsid w:val="18265452"/>
    <w:rsid w:val="18445EF6"/>
    <w:rsid w:val="18530C12"/>
    <w:rsid w:val="185E217B"/>
    <w:rsid w:val="1A6C415E"/>
    <w:rsid w:val="1A765319"/>
    <w:rsid w:val="1AC13F4A"/>
    <w:rsid w:val="1C8B70A3"/>
    <w:rsid w:val="1C9705AD"/>
    <w:rsid w:val="1D22358C"/>
    <w:rsid w:val="1D46343E"/>
    <w:rsid w:val="1D5C1EDB"/>
    <w:rsid w:val="1DDD0162"/>
    <w:rsid w:val="1DDE004C"/>
    <w:rsid w:val="1E7E1846"/>
    <w:rsid w:val="1EA34E0E"/>
    <w:rsid w:val="1F28078E"/>
    <w:rsid w:val="1FFB498D"/>
    <w:rsid w:val="211902FC"/>
    <w:rsid w:val="212548AD"/>
    <w:rsid w:val="2134219F"/>
    <w:rsid w:val="213627C5"/>
    <w:rsid w:val="21502A48"/>
    <w:rsid w:val="21EC1E8C"/>
    <w:rsid w:val="2218533B"/>
    <w:rsid w:val="22DB3200"/>
    <w:rsid w:val="23265177"/>
    <w:rsid w:val="23362DE5"/>
    <w:rsid w:val="234F0FEF"/>
    <w:rsid w:val="23F72DDF"/>
    <w:rsid w:val="24076DC4"/>
    <w:rsid w:val="25405C40"/>
    <w:rsid w:val="254D027F"/>
    <w:rsid w:val="25B43E05"/>
    <w:rsid w:val="25B57B2B"/>
    <w:rsid w:val="25E761DD"/>
    <w:rsid w:val="25F92596"/>
    <w:rsid w:val="264869CF"/>
    <w:rsid w:val="271622C9"/>
    <w:rsid w:val="271F34E1"/>
    <w:rsid w:val="27397FE9"/>
    <w:rsid w:val="27D17BCC"/>
    <w:rsid w:val="282268F9"/>
    <w:rsid w:val="29570B69"/>
    <w:rsid w:val="29E23656"/>
    <w:rsid w:val="29F71F5A"/>
    <w:rsid w:val="2A047A82"/>
    <w:rsid w:val="2A580CF9"/>
    <w:rsid w:val="2B5C209C"/>
    <w:rsid w:val="2B6B4505"/>
    <w:rsid w:val="2C08316E"/>
    <w:rsid w:val="2C424F5B"/>
    <w:rsid w:val="2CF72EED"/>
    <w:rsid w:val="2D273A7B"/>
    <w:rsid w:val="2D9773F6"/>
    <w:rsid w:val="2DA52BA3"/>
    <w:rsid w:val="2EF36A7E"/>
    <w:rsid w:val="2F0A3E88"/>
    <w:rsid w:val="2F780ABA"/>
    <w:rsid w:val="30FB2C7F"/>
    <w:rsid w:val="31125F8E"/>
    <w:rsid w:val="31216EAC"/>
    <w:rsid w:val="313B420C"/>
    <w:rsid w:val="314A7CDC"/>
    <w:rsid w:val="319134C7"/>
    <w:rsid w:val="31B171C6"/>
    <w:rsid w:val="32267DE8"/>
    <w:rsid w:val="32D86604"/>
    <w:rsid w:val="32ED3E13"/>
    <w:rsid w:val="33265B8A"/>
    <w:rsid w:val="33427C7A"/>
    <w:rsid w:val="33741648"/>
    <w:rsid w:val="33936E11"/>
    <w:rsid w:val="33D34759"/>
    <w:rsid w:val="33E33A33"/>
    <w:rsid w:val="34BD0964"/>
    <w:rsid w:val="34F46E93"/>
    <w:rsid w:val="352D6FAB"/>
    <w:rsid w:val="354C4A39"/>
    <w:rsid w:val="35CC3847"/>
    <w:rsid w:val="369304CA"/>
    <w:rsid w:val="36AD5B3F"/>
    <w:rsid w:val="370630C1"/>
    <w:rsid w:val="371E3962"/>
    <w:rsid w:val="37B57A4D"/>
    <w:rsid w:val="385A7BB7"/>
    <w:rsid w:val="389713CB"/>
    <w:rsid w:val="395057FB"/>
    <w:rsid w:val="39562773"/>
    <w:rsid w:val="39E45643"/>
    <w:rsid w:val="3A5D1B6C"/>
    <w:rsid w:val="3A774CAF"/>
    <w:rsid w:val="3BB31756"/>
    <w:rsid w:val="3BC73111"/>
    <w:rsid w:val="3BFD4B5C"/>
    <w:rsid w:val="3C0F5C6E"/>
    <w:rsid w:val="3C4C613C"/>
    <w:rsid w:val="3CD97B99"/>
    <w:rsid w:val="3CE91045"/>
    <w:rsid w:val="3CF809EB"/>
    <w:rsid w:val="3D444BCB"/>
    <w:rsid w:val="3E032505"/>
    <w:rsid w:val="3E6E39BC"/>
    <w:rsid w:val="3EC94F13"/>
    <w:rsid w:val="3F3C7550"/>
    <w:rsid w:val="3F4B4303"/>
    <w:rsid w:val="3FD0402F"/>
    <w:rsid w:val="3FDA42AE"/>
    <w:rsid w:val="3FFF033E"/>
    <w:rsid w:val="4012772C"/>
    <w:rsid w:val="405D0E0C"/>
    <w:rsid w:val="40712A4A"/>
    <w:rsid w:val="40D8246D"/>
    <w:rsid w:val="414430F9"/>
    <w:rsid w:val="419326E4"/>
    <w:rsid w:val="41B346F9"/>
    <w:rsid w:val="41DD5A5B"/>
    <w:rsid w:val="41DD7827"/>
    <w:rsid w:val="4328670A"/>
    <w:rsid w:val="434C33CE"/>
    <w:rsid w:val="43762879"/>
    <w:rsid w:val="44276CD4"/>
    <w:rsid w:val="44304F75"/>
    <w:rsid w:val="448256EE"/>
    <w:rsid w:val="45927057"/>
    <w:rsid w:val="46080217"/>
    <w:rsid w:val="461817D8"/>
    <w:rsid w:val="4632373C"/>
    <w:rsid w:val="465668EB"/>
    <w:rsid w:val="466B5CBC"/>
    <w:rsid w:val="4684284E"/>
    <w:rsid w:val="469E43E1"/>
    <w:rsid w:val="46DC5DFB"/>
    <w:rsid w:val="47047D72"/>
    <w:rsid w:val="47984AFA"/>
    <w:rsid w:val="47B946A3"/>
    <w:rsid w:val="47C8173C"/>
    <w:rsid w:val="47F27106"/>
    <w:rsid w:val="487774AA"/>
    <w:rsid w:val="48B94682"/>
    <w:rsid w:val="494915E2"/>
    <w:rsid w:val="49621948"/>
    <w:rsid w:val="49955E01"/>
    <w:rsid w:val="4A322BC0"/>
    <w:rsid w:val="4B08762C"/>
    <w:rsid w:val="4BF30E4D"/>
    <w:rsid w:val="4C133FE8"/>
    <w:rsid w:val="4C2C205C"/>
    <w:rsid w:val="4C381339"/>
    <w:rsid w:val="4C5B42A2"/>
    <w:rsid w:val="4C7F0211"/>
    <w:rsid w:val="4C7F566C"/>
    <w:rsid w:val="50BD6C97"/>
    <w:rsid w:val="510136A3"/>
    <w:rsid w:val="5133595A"/>
    <w:rsid w:val="53A83092"/>
    <w:rsid w:val="53BA19A8"/>
    <w:rsid w:val="553B552D"/>
    <w:rsid w:val="55451F01"/>
    <w:rsid w:val="55547C08"/>
    <w:rsid w:val="55D75A96"/>
    <w:rsid w:val="56527584"/>
    <w:rsid w:val="57B21943"/>
    <w:rsid w:val="5883006B"/>
    <w:rsid w:val="58832967"/>
    <w:rsid w:val="58E0007A"/>
    <w:rsid w:val="59C77953"/>
    <w:rsid w:val="5A614415"/>
    <w:rsid w:val="5A7D452D"/>
    <w:rsid w:val="5AAC5C94"/>
    <w:rsid w:val="5B4000FF"/>
    <w:rsid w:val="5B621FA0"/>
    <w:rsid w:val="5BA6144D"/>
    <w:rsid w:val="5BDF165D"/>
    <w:rsid w:val="5C216246"/>
    <w:rsid w:val="5C3227E0"/>
    <w:rsid w:val="5C413B49"/>
    <w:rsid w:val="5C571797"/>
    <w:rsid w:val="5C766004"/>
    <w:rsid w:val="5CC432B7"/>
    <w:rsid w:val="5D1C064B"/>
    <w:rsid w:val="5E560E07"/>
    <w:rsid w:val="5E9E0236"/>
    <w:rsid w:val="5F3F4284"/>
    <w:rsid w:val="5FEA0045"/>
    <w:rsid w:val="601109F2"/>
    <w:rsid w:val="611C0025"/>
    <w:rsid w:val="614B65E7"/>
    <w:rsid w:val="618A61D2"/>
    <w:rsid w:val="628B522D"/>
    <w:rsid w:val="6299295E"/>
    <w:rsid w:val="62E475E4"/>
    <w:rsid w:val="63833AFA"/>
    <w:rsid w:val="639D7DDE"/>
    <w:rsid w:val="63AE085A"/>
    <w:rsid w:val="63B876B7"/>
    <w:rsid w:val="641A3DD4"/>
    <w:rsid w:val="64AD1F50"/>
    <w:rsid w:val="64CD4FA1"/>
    <w:rsid w:val="64D864AA"/>
    <w:rsid w:val="65683A20"/>
    <w:rsid w:val="65A30284"/>
    <w:rsid w:val="66004207"/>
    <w:rsid w:val="66297704"/>
    <w:rsid w:val="67552C6B"/>
    <w:rsid w:val="676A7932"/>
    <w:rsid w:val="67EF7340"/>
    <w:rsid w:val="685D0847"/>
    <w:rsid w:val="68B5350F"/>
    <w:rsid w:val="694711D5"/>
    <w:rsid w:val="697E64DB"/>
    <w:rsid w:val="69A33F4A"/>
    <w:rsid w:val="69B63F57"/>
    <w:rsid w:val="69D51659"/>
    <w:rsid w:val="6BC30073"/>
    <w:rsid w:val="6BEF3EBF"/>
    <w:rsid w:val="6BF5169C"/>
    <w:rsid w:val="6C113FE7"/>
    <w:rsid w:val="6C1C01CB"/>
    <w:rsid w:val="6CF27A15"/>
    <w:rsid w:val="6D2E38A7"/>
    <w:rsid w:val="6D9A0C63"/>
    <w:rsid w:val="71063B92"/>
    <w:rsid w:val="713B1FDB"/>
    <w:rsid w:val="71C7782D"/>
    <w:rsid w:val="71E27DB2"/>
    <w:rsid w:val="73135945"/>
    <w:rsid w:val="735C0031"/>
    <w:rsid w:val="739F01C9"/>
    <w:rsid w:val="73BC7DFA"/>
    <w:rsid w:val="73D3199E"/>
    <w:rsid w:val="73F664E2"/>
    <w:rsid w:val="744F754B"/>
    <w:rsid w:val="74665964"/>
    <w:rsid w:val="74892848"/>
    <w:rsid w:val="74AD2B2E"/>
    <w:rsid w:val="74B04B5B"/>
    <w:rsid w:val="74CA6BF5"/>
    <w:rsid w:val="750221EF"/>
    <w:rsid w:val="769D204A"/>
    <w:rsid w:val="77C664C3"/>
    <w:rsid w:val="77F54F72"/>
    <w:rsid w:val="78862C04"/>
    <w:rsid w:val="78C2322C"/>
    <w:rsid w:val="79555989"/>
    <w:rsid w:val="7A6F3B8A"/>
    <w:rsid w:val="7B495D08"/>
    <w:rsid w:val="7B587545"/>
    <w:rsid w:val="7B6A560A"/>
    <w:rsid w:val="7BEC69B8"/>
    <w:rsid w:val="7C0A53F5"/>
    <w:rsid w:val="7CC737C3"/>
    <w:rsid w:val="7E560A1D"/>
    <w:rsid w:val="7E74636F"/>
    <w:rsid w:val="7E990045"/>
    <w:rsid w:val="7EA0276D"/>
    <w:rsid w:val="7EC535E2"/>
    <w:rsid w:val="7F8A5191"/>
    <w:rsid w:val="7FE226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2" w:semiHidden="0" w:name="heading 3"/>
    <w:lsdException w:qFormat="1" w:unhideWhenUsed="0" w:uiPriority="3" w:semiHidden="0" w:name="heading 4"/>
    <w:lsdException w:qFormat="1" w:uiPriority="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link w:val="33"/>
    <w:qFormat/>
    <w:uiPriority w:val="0"/>
    <w:pPr>
      <w:numPr>
        <w:ilvl w:val="0"/>
        <w:numId w:val="1"/>
      </w:numPr>
      <w:spacing w:before="120" w:after="60"/>
      <w:ind w:left="0" w:firstLine="200"/>
      <w:jc w:val="left"/>
      <w:outlineLvl w:val="0"/>
    </w:pPr>
    <w:rPr>
      <w:rFonts w:eastAsia="黑体"/>
      <w:bCs/>
      <w:kern w:val="44"/>
      <w:sz w:val="32"/>
      <w:szCs w:val="44"/>
    </w:rPr>
  </w:style>
  <w:style w:type="paragraph" w:styleId="4">
    <w:name w:val="heading 2"/>
    <w:basedOn w:val="1"/>
    <w:next w:val="1"/>
    <w:link w:val="34"/>
    <w:qFormat/>
    <w:uiPriority w:val="1"/>
    <w:pPr>
      <w:keepNext/>
      <w:keepLines/>
      <w:numPr>
        <w:ilvl w:val="1"/>
        <w:numId w:val="1"/>
      </w:numPr>
      <w:spacing w:before="120" w:after="60"/>
      <w:ind w:left="0" w:firstLine="200"/>
      <w:outlineLvl w:val="1"/>
    </w:pPr>
    <w:rPr>
      <w:rFonts w:cstheme="majorBidi"/>
      <w:b/>
      <w:bCs/>
      <w:szCs w:val="32"/>
    </w:rPr>
  </w:style>
  <w:style w:type="paragraph" w:styleId="5">
    <w:name w:val="heading 3"/>
    <w:basedOn w:val="1"/>
    <w:next w:val="1"/>
    <w:link w:val="35"/>
    <w:qFormat/>
    <w:uiPriority w:val="2"/>
    <w:pPr>
      <w:keepNext/>
      <w:keepLines/>
      <w:numPr>
        <w:ilvl w:val="2"/>
        <w:numId w:val="1"/>
      </w:numPr>
      <w:spacing w:before="120" w:after="60"/>
      <w:ind w:left="0" w:firstLine="200"/>
      <w:outlineLvl w:val="2"/>
    </w:pPr>
    <w:rPr>
      <w:b/>
      <w:bCs/>
      <w:szCs w:val="32"/>
    </w:rPr>
  </w:style>
  <w:style w:type="paragraph" w:styleId="6">
    <w:name w:val="heading 4"/>
    <w:basedOn w:val="7"/>
    <w:next w:val="1"/>
    <w:link w:val="36"/>
    <w:qFormat/>
    <w:uiPriority w:val="3"/>
    <w:pPr>
      <w:keepNext/>
      <w:keepLines/>
      <w:numPr>
        <w:ilvl w:val="3"/>
        <w:numId w:val="1"/>
      </w:numPr>
      <w:spacing w:before="120" w:after="60"/>
      <w:ind w:left="0" w:firstLine="200"/>
      <w:outlineLvl w:val="3"/>
    </w:pPr>
    <w:rPr>
      <w:rFonts w:cstheme="majorBidi"/>
      <w:b/>
      <w:bCs/>
    </w:rPr>
  </w:style>
  <w:style w:type="paragraph" w:styleId="8">
    <w:name w:val="heading 5"/>
    <w:basedOn w:val="7"/>
    <w:next w:val="7"/>
    <w:link w:val="37"/>
    <w:unhideWhenUsed/>
    <w:qFormat/>
    <w:uiPriority w:val="9"/>
    <w:pPr>
      <w:keepNext/>
      <w:keepLines/>
      <w:numPr>
        <w:ilvl w:val="4"/>
        <w:numId w:val="1"/>
      </w:numPr>
      <w:spacing w:before="120" w:after="60"/>
      <w:ind w:firstLine="0" w:firstLineChars="0"/>
      <w:outlineLvl w:val="4"/>
    </w:pPr>
    <w:rPr>
      <w:b/>
      <w:b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unhideWhenUsed/>
    <w:qFormat/>
    <w:uiPriority w:val="99"/>
    <w:pPr>
      <w:tabs>
        <w:tab w:val="left" w:pos="0"/>
      </w:tabs>
    </w:pPr>
    <w:rPr>
      <w:rFonts w:ascii="宋体" w:hAnsi="宋体" w:eastAsia="仿宋_GB2312"/>
      <w:color w:val="000000"/>
      <w:sz w:val="24"/>
    </w:rPr>
  </w:style>
  <w:style w:type="paragraph" w:customStyle="1" w:styleId="7">
    <w:name w:val="闻政正文"/>
    <w:basedOn w:val="1"/>
    <w:link w:val="32"/>
    <w:qFormat/>
    <w:uiPriority w:val="0"/>
    <w:pPr>
      <w:spacing w:line="500" w:lineRule="exact"/>
      <w:ind w:firstLine="200" w:firstLineChars="200"/>
    </w:pPr>
    <w:rPr>
      <w:rFonts w:ascii="Times New Roman" w:hAnsi="Times New Roman" w:eastAsia="仿宋_GB2312" w:cs="Times New Roman"/>
      <w:kern w:val="0"/>
      <w:sz w:val="28"/>
      <w:szCs w:val="28"/>
      <w:lang w:val="zh-CN"/>
    </w:rPr>
  </w:style>
  <w:style w:type="paragraph" w:styleId="9">
    <w:name w:val="caption"/>
    <w:basedOn w:val="1"/>
    <w:next w:val="1"/>
    <w:unhideWhenUsed/>
    <w:qFormat/>
    <w:uiPriority w:val="35"/>
    <w:rPr>
      <w:rFonts w:eastAsia="黑体" w:asciiTheme="majorHAnsi" w:hAnsiTheme="majorHAnsi" w:cstheme="majorBidi"/>
      <w:sz w:val="20"/>
      <w:szCs w:val="20"/>
    </w:rPr>
  </w:style>
  <w:style w:type="paragraph" w:styleId="10">
    <w:name w:val="annotation text"/>
    <w:basedOn w:val="1"/>
    <w:link w:val="38"/>
    <w:unhideWhenUsed/>
    <w:qFormat/>
    <w:uiPriority w:val="99"/>
    <w:pPr>
      <w:jc w:val="left"/>
    </w:pPr>
  </w:style>
  <w:style w:type="paragraph" w:styleId="11">
    <w:name w:val="Body Text Indent"/>
    <w:basedOn w:val="1"/>
    <w:next w:val="1"/>
    <w:qFormat/>
    <w:uiPriority w:val="0"/>
    <w:pPr>
      <w:widowControl/>
      <w:spacing w:before="100" w:beforeAutospacing="1" w:after="100" w:afterAutospacing="1"/>
      <w:jc w:val="left"/>
    </w:pPr>
    <w:rPr>
      <w:rFonts w:ascii="宋体" w:hAnsi="宋体" w:eastAsia="宋体"/>
      <w:kern w:val="0"/>
      <w:sz w:val="24"/>
    </w:rPr>
  </w:style>
  <w:style w:type="paragraph" w:styleId="12">
    <w:name w:val="toc 3"/>
    <w:basedOn w:val="1"/>
    <w:next w:val="1"/>
    <w:unhideWhenUsed/>
    <w:qFormat/>
    <w:uiPriority w:val="39"/>
    <w:pPr>
      <w:ind w:left="840" w:leftChars="400"/>
    </w:pPr>
  </w:style>
  <w:style w:type="paragraph" w:styleId="13">
    <w:name w:val="Balloon Text"/>
    <w:basedOn w:val="1"/>
    <w:link w:val="39"/>
    <w:semiHidden/>
    <w:unhideWhenUsed/>
    <w:qFormat/>
    <w:uiPriority w:val="99"/>
    <w:rPr>
      <w:sz w:val="18"/>
      <w:szCs w:val="18"/>
    </w:rPr>
  </w:style>
  <w:style w:type="paragraph" w:styleId="14">
    <w:name w:val="footer"/>
    <w:basedOn w:val="1"/>
    <w:link w:val="40"/>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spacing w:line="460" w:lineRule="exact"/>
      <w:ind w:firstLine="0" w:firstLineChars="0"/>
    </w:pPr>
    <w:rPr>
      <w:b/>
    </w:rPr>
  </w:style>
  <w:style w:type="paragraph" w:styleId="17">
    <w:name w:val="footnote text"/>
    <w:basedOn w:val="1"/>
    <w:link w:val="42"/>
    <w:qFormat/>
    <w:uiPriority w:val="0"/>
    <w:pPr>
      <w:snapToGrid w:val="0"/>
      <w:jc w:val="left"/>
    </w:pPr>
    <w:rPr>
      <w:rFonts w:ascii="Times New Roman" w:hAnsi="Times New Roman" w:eastAsia="仿宋_GB2312"/>
      <w:sz w:val="18"/>
      <w:szCs w:val="18"/>
    </w:rPr>
  </w:style>
  <w:style w:type="paragraph" w:styleId="18">
    <w:name w:val="toc 2"/>
    <w:basedOn w:val="7"/>
    <w:next w:val="7"/>
    <w:unhideWhenUsed/>
    <w:qFormat/>
    <w:uiPriority w:val="39"/>
    <w:pPr>
      <w:tabs>
        <w:tab w:val="right" w:leader="dot" w:pos="8296"/>
      </w:tabs>
      <w:spacing w:line="460" w:lineRule="exact"/>
      <w:ind w:left="200" w:leftChars="200" w:firstLine="0" w:firstLineChars="0"/>
    </w:pPr>
  </w:style>
  <w:style w:type="paragraph" w:styleId="19">
    <w:name w:val="Normal (Web)"/>
    <w:basedOn w:val="1"/>
    <w:qFormat/>
    <w:uiPriority w:val="99"/>
    <w:rPr>
      <w:rFonts w:ascii="Calibri" w:hAnsi="Calibri" w:eastAsia="宋体"/>
      <w:sz w:val="24"/>
      <w:szCs w:val="22"/>
    </w:rPr>
  </w:style>
  <w:style w:type="paragraph" w:styleId="20">
    <w:name w:val="Title"/>
    <w:basedOn w:val="1"/>
    <w:next w:val="1"/>
    <w:qFormat/>
    <w:uiPriority w:val="10"/>
    <w:pPr>
      <w:ind w:firstLine="0" w:firstLineChars="0"/>
      <w:jc w:val="center"/>
      <w:outlineLvl w:val="0"/>
    </w:pPr>
    <w:rPr>
      <w:rFonts w:ascii="方正小标宋简体" w:hAnsi="方正小标宋简体" w:eastAsia="方正小标宋简体" w:cs="Times New Roman"/>
      <w:bCs/>
      <w:sz w:val="44"/>
      <w:szCs w:val="44"/>
    </w:rPr>
  </w:style>
  <w:style w:type="paragraph" w:styleId="21">
    <w:name w:val="annotation subject"/>
    <w:basedOn w:val="10"/>
    <w:next w:val="10"/>
    <w:link w:val="43"/>
    <w:semiHidden/>
    <w:unhideWhenUsed/>
    <w:qFormat/>
    <w:uiPriority w:val="99"/>
    <w:rPr>
      <w:b/>
      <w:bCs/>
    </w:rPr>
  </w:style>
  <w:style w:type="paragraph" w:styleId="22">
    <w:name w:val="Body Text First Indent 2"/>
    <w:basedOn w:val="11"/>
    <w:qFormat/>
    <w:uiPriority w:val="0"/>
    <w:pPr>
      <w:spacing w:after="120" w:line="276" w:lineRule="auto"/>
      <w:ind w:left="420" w:leftChars="200" w:firstLine="420" w:firstLineChars="200"/>
    </w:pPr>
    <w:rPr>
      <w:rFonts w:ascii="Calibri" w:hAnsi="Calibri"/>
      <w:sz w:val="22"/>
      <w:szCs w:val="22"/>
      <w:lang w:eastAsia="en-US"/>
    </w:rPr>
  </w:style>
  <w:style w:type="table" w:styleId="24">
    <w:name w:val="Table Grid"/>
    <w:basedOn w:val="23"/>
    <w:qFormat/>
    <w:uiPriority w:val="3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tblHeader/>
    </w:trPr>
    <w:tcPr>
      <w:vAlign w:val="center"/>
    </w:tc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21"/>
      <w:szCs w:val="21"/>
    </w:rPr>
  </w:style>
  <w:style w:type="character" w:styleId="30">
    <w:name w:val="footnote reference"/>
    <w:qFormat/>
    <w:uiPriority w:val="0"/>
    <w:rPr>
      <w:vertAlign w:val="superscript"/>
    </w:rPr>
  </w:style>
  <w:style w:type="character" w:customStyle="1" w:styleId="31">
    <w:name w:val="正文文本 Char"/>
    <w:basedOn w:val="25"/>
    <w:link w:val="2"/>
    <w:qFormat/>
    <w:uiPriority w:val="99"/>
    <w:rPr>
      <w:rFonts w:ascii="宋体" w:hAnsi="宋体" w:eastAsia="仿宋_GB2312"/>
      <w:color w:val="000000"/>
      <w:kern w:val="2"/>
      <w:sz w:val="24"/>
      <w:szCs w:val="21"/>
    </w:rPr>
  </w:style>
  <w:style w:type="character" w:customStyle="1" w:styleId="32">
    <w:name w:val="闻政正文 Char"/>
    <w:link w:val="7"/>
    <w:qFormat/>
    <w:uiPriority w:val="0"/>
    <w:rPr>
      <w:rFonts w:ascii="Times New Roman" w:hAnsi="Times New Roman" w:eastAsia="仿宋_GB2312" w:cs="Times New Roman"/>
      <w:kern w:val="0"/>
      <w:sz w:val="28"/>
      <w:szCs w:val="28"/>
      <w:lang w:val="zh-CN" w:eastAsia="zh-CN"/>
    </w:rPr>
  </w:style>
  <w:style w:type="character" w:customStyle="1" w:styleId="33">
    <w:name w:val="标题 1 Char"/>
    <w:basedOn w:val="25"/>
    <w:link w:val="3"/>
    <w:qFormat/>
    <w:uiPriority w:val="0"/>
    <w:rPr>
      <w:rFonts w:ascii="Times New Roman" w:hAnsi="Times New Roman" w:eastAsia="黑体" w:cs="Times New Roman"/>
      <w:bCs/>
      <w:kern w:val="44"/>
      <w:sz w:val="32"/>
      <w:szCs w:val="44"/>
      <w:lang w:val="zh-CN" w:eastAsia="zh-CN"/>
    </w:rPr>
  </w:style>
  <w:style w:type="character" w:customStyle="1" w:styleId="34">
    <w:name w:val="标题 2 Char"/>
    <w:basedOn w:val="25"/>
    <w:link w:val="4"/>
    <w:qFormat/>
    <w:uiPriority w:val="1"/>
    <w:rPr>
      <w:rFonts w:ascii="Times New Roman" w:hAnsi="Times New Roman" w:eastAsia="仿宋_GB2312" w:cstheme="majorBidi"/>
      <w:b/>
      <w:bCs/>
      <w:kern w:val="0"/>
      <w:sz w:val="28"/>
      <w:szCs w:val="32"/>
      <w:lang w:val="zh-CN" w:eastAsia="zh-CN"/>
    </w:rPr>
  </w:style>
  <w:style w:type="character" w:customStyle="1" w:styleId="35">
    <w:name w:val="标题 3 Char"/>
    <w:basedOn w:val="25"/>
    <w:link w:val="5"/>
    <w:qFormat/>
    <w:uiPriority w:val="2"/>
    <w:rPr>
      <w:rFonts w:ascii="Times New Roman" w:hAnsi="Times New Roman" w:eastAsia="仿宋_GB2312" w:cs="Times New Roman"/>
      <w:b/>
      <w:bCs/>
      <w:kern w:val="0"/>
      <w:sz w:val="28"/>
      <w:szCs w:val="32"/>
      <w:lang w:val="zh-CN" w:eastAsia="zh-CN"/>
    </w:rPr>
  </w:style>
  <w:style w:type="character" w:customStyle="1" w:styleId="36">
    <w:name w:val="标题 4 Char"/>
    <w:basedOn w:val="25"/>
    <w:link w:val="6"/>
    <w:qFormat/>
    <w:uiPriority w:val="3"/>
    <w:rPr>
      <w:rFonts w:ascii="Times New Roman" w:hAnsi="Times New Roman" w:eastAsia="仿宋_GB2312" w:cstheme="majorBidi"/>
      <w:b/>
      <w:bCs/>
      <w:kern w:val="0"/>
      <w:sz w:val="28"/>
      <w:szCs w:val="28"/>
      <w:lang w:val="zh-CN" w:eastAsia="zh-CN"/>
    </w:rPr>
  </w:style>
  <w:style w:type="character" w:customStyle="1" w:styleId="37">
    <w:name w:val="标题 5 Char"/>
    <w:basedOn w:val="25"/>
    <w:link w:val="8"/>
    <w:qFormat/>
    <w:uiPriority w:val="9"/>
    <w:rPr>
      <w:rFonts w:ascii="Times New Roman" w:hAnsi="Times New Roman" w:eastAsia="仿宋_GB2312" w:cs="Times New Roman"/>
      <w:b/>
      <w:bCs/>
      <w:kern w:val="0"/>
      <w:sz w:val="28"/>
      <w:szCs w:val="28"/>
      <w:lang w:val="zh-CN" w:eastAsia="zh-CN"/>
    </w:rPr>
  </w:style>
  <w:style w:type="character" w:customStyle="1" w:styleId="38">
    <w:name w:val="批注文字 Char"/>
    <w:basedOn w:val="25"/>
    <w:link w:val="10"/>
    <w:qFormat/>
    <w:uiPriority w:val="99"/>
  </w:style>
  <w:style w:type="character" w:customStyle="1" w:styleId="39">
    <w:name w:val="批注框文本 Char"/>
    <w:basedOn w:val="25"/>
    <w:link w:val="13"/>
    <w:semiHidden/>
    <w:qFormat/>
    <w:uiPriority w:val="99"/>
    <w:rPr>
      <w:sz w:val="18"/>
      <w:szCs w:val="18"/>
    </w:rPr>
  </w:style>
  <w:style w:type="character" w:customStyle="1" w:styleId="40">
    <w:name w:val="页脚 Char"/>
    <w:basedOn w:val="25"/>
    <w:link w:val="14"/>
    <w:qFormat/>
    <w:uiPriority w:val="99"/>
    <w:rPr>
      <w:rFonts w:ascii="Calibri" w:hAnsi="Calibri" w:eastAsia="宋体" w:cs="Times New Roman"/>
      <w:sz w:val="18"/>
      <w:szCs w:val="18"/>
    </w:rPr>
  </w:style>
  <w:style w:type="character" w:customStyle="1" w:styleId="41">
    <w:name w:val="页眉 Char"/>
    <w:basedOn w:val="25"/>
    <w:link w:val="15"/>
    <w:qFormat/>
    <w:uiPriority w:val="99"/>
    <w:rPr>
      <w:sz w:val="18"/>
      <w:szCs w:val="18"/>
    </w:rPr>
  </w:style>
  <w:style w:type="character" w:customStyle="1" w:styleId="42">
    <w:name w:val="脚注文本 Char"/>
    <w:basedOn w:val="25"/>
    <w:link w:val="17"/>
    <w:qFormat/>
    <w:uiPriority w:val="0"/>
    <w:rPr>
      <w:rFonts w:ascii="Times New Roman" w:hAnsi="Times New Roman" w:eastAsia="仿宋_GB2312"/>
      <w:sz w:val="18"/>
      <w:szCs w:val="18"/>
    </w:rPr>
  </w:style>
  <w:style w:type="character" w:customStyle="1" w:styleId="43">
    <w:name w:val="批注主题 Char"/>
    <w:basedOn w:val="38"/>
    <w:link w:val="21"/>
    <w:semiHidden/>
    <w:qFormat/>
    <w:uiPriority w:val="99"/>
    <w:rPr>
      <w:b/>
      <w:bCs/>
    </w:rPr>
  </w:style>
  <w:style w:type="paragraph" w:customStyle="1" w:styleId="44">
    <w:name w:val="TOC 标题1"/>
    <w:basedOn w:val="3"/>
    <w:next w:val="1"/>
    <w:unhideWhenUsed/>
    <w:qFormat/>
    <w:uiPriority w:val="39"/>
    <w:pPr>
      <w:widowControl/>
      <w:numPr>
        <w:numId w:val="0"/>
      </w:numPr>
      <w:spacing w:before="240" w:after="0" w:line="259" w:lineRule="auto"/>
      <w:outlineLvl w:val="9"/>
    </w:pPr>
    <w:rPr>
      <w:rFonts w:asciiTheme="majorHAnsi" w:hAnsiTheme="majorHAnsi" w:eastAsiaTheme="majorEastAsia" w:cstheme="majorBidi"/>
      <w:b/>
      <w:bCs w:val="0"/>
      <w:color w:val="2F5597" w:themeColor="accent1" w:themeShade="BF"/>
      <w:kern w:val="0"/>
      <w:szCs w:val="32"/>
    </w:rPr>
  </w:style>
  <w:style w:type="paragraph" w:customStyle="1" w:styleId="45">
    <w:name w:val="闻政封面标题"/>
    <w:basedOn w:val="1"/>
    <w:next w:val="46"/>
    <w:qFormat/>
    <w:uiPriority w:val="0"/>
    <w:pPr>
      <w:spacing w:before="480" w:after="360"/>
      <w:jc w:val="center"/>
    </w:pPr>
    <w:rPr>
      <w:rFonts w:ascii="Times New Roman" w:hAnsi="Times New Roman" w:eastAsia="黑体" w:cs="Times New Roman"/>
      <w:b/>
      <w:snapToGrid w:val="0"/>
      <w:sz w:val="32"/>
      <w:szCs w:val="24"/>
    </w:rPr>
  </w:style>
  <w:style w:type="paragraph" w:customStyle="1" w:styleId="46">
    <w:name w:val="闻政封面项目信息"/>
    <w:basedOn w:val="1"/>
    <w:next w:val="47"/>
    <w:qFormat/>
    <w:uiPriority w:val="0"/>
    <w:pPr>
      <w:spacing w:before="120"/>
      <w:ind w:left="800" w:leftChars="800"/>
      <w:jc w:val="left"/>
    </w:pPr>
    <w:rPr>
      <w:rFonts w:ascii="Times New Roman" w:hAnsi="Times New Roman" w:eastAsia="黑体" w:cs="Times New Roman"/>
      <w:kern w:val="0"/>
      <w:sz w:val="28"/>
      <w:szCs w:val="28"/>
      <w:lang w:val="zh-CN"/>
    </w:rPr>
  </w:style>
  <w:style w:type="paragraph" w:customStyle="1" w:styleId="47">
    <w:name w:val="闻政封面完成时间"/>
    <w:basedOn w:val="46"/>
    <w:qFormat/>
    <w:uiPriority w:val="0"/>
    <w:pPr>
      <w:ind w:left="0" w:leftChars="0"/>
      <w:jc w:val="center"/>
    </w:pPr>
    <w:rPr>
      <w:b/>
    </w:rPr>
  </w:style>
  <w:style w:type="paragraph" w:customStyle="1" w:styleId="48">
    <w:name w:val="闻政页码"/>
    <w:qFormat/>
    <w:uiPriority w:val="6"/>
    <w:pPr>
      <w:jc w:val="center"/>
    </w:pPr>
    <w:rPr>
      <w:rFonts w:ascii="Times New Roman" w:hAnsi="Times New Roman" w:eastAsia="Times New Roman" w:cs="Times New Roman"/>
      <w:sz w:val="21"/>
      <w:szCs w:val="28"/>
      <w:lang w:val="en-US" w:eastAsia="zh-CN" w:bidi="ar-SA"/>
    </w:rPr>
  </w:style>
  <w:style w:type="paragraph" w:customStyle="1" w:styleId="49">
    <w:name w:val="闻政摘要标题"/>
    <w:basedOn w:val="1"/>
    <w:qFormat/>
    <w:uiPriority w:val="2"/>
    <w:pPr>
      <w:spacing w:before="480" w:after="360"/>
      <w:jc w:val="center"/>
      <w:outlineLvl w:val="0"/>
    </w:pPr>
    <w:rPr>
      <w:rFonts w:ascii="Times New Roman" w:hAnsi="Times New Roman" w:eastAsia="黑体" w:cs="Times New Roman"/>
      <w:b/>
      <w:snapToGrid w:val="0"/>
      <w:sz w:val="32"/>
      <w:szCs w:val="24"/>
    </w:rPr>
  </w:style>
  <w:style w:type="paragraph" w:customStyle="1" w:styleId="50">
    <w:name w:val="闻政图（表）注"/>
    <w:basedOn w:val="1"/>
    <w:link w:val="51"/>
    <w:qFormat/>
    <w:uiPriority w:val="5"/>
    <w:pPr>
      <w:spacing w:before="120"/>
    </w:pPr>
    <w:rPr>
      <w:rFonts w:ascii="Times New Roman" w:hAnsi="Times New Roman" w:eastAsia="仿宋_GB2312" w:cs="Arial"/>
      <w:kern w:val="0"/>
    </w:rPr>
  </w:style>
  <w:style w:type="character" w:customStyle="1" w:styleId="51">
    <w:name w:val="闻政图（表）注 Char"/>
    <w:link w:val="50"/>
    <w:qFormat/>
    <w:uiPriority w:val="5"/>
    <w:rPr>
      <w:rFonts w:ascii="Times New Roman" w:hAnsi="Times New Roman" w:eastAsia="仿宋_GB2312" w:cs="Arial"/>
      <w:kern w:val="0"/>
    </w:rPr>
  </w:style>
  <w:style w:type="paragraph" w:customStyle="1" w:styleId="52">
    <w:name w:val="闻政图表名"/>
    <w:basedOn w:val="1"/>
    <w:link w:val="53"/>
    <w:qFormat/>
    <w:uiPriority w:val="4"/>
    <w:pPr>
      <w:spacing w:before="60" w:after="60"/>
      <w:jc w:val="center"/>
    </w:pPr>
    <w:rPr>
      <w:rFonts w:ascii="Times New Roman" w:hAnsi="Times New Roman" w:eastAsia="仿宋_GB2312" w:cs="Times New Roman"/>
      <w:b/>
      <w:kern w:val="0"/>
      <w:sz w:val="24"/>
      <w:szCs w:val="28"/>
    </w:rPr>
  </w:style>
  <w:style w:type="character" w:customStyle="1" w:styleId="53">
    <w:name w:val="闻政图表名 字符"/>
    <w:link w:val="52"/>
    <w:qFormat/>
    <w:uiPriority w:val="4"/>
    <w:rPr>
      <w:rFonts w:ascii="Times New Roman" w:hAnsi="Times New Roman" w:eastAsia="仿宋_GB2312" w:cs="Times New Roman"/>
      <w:b/>
      <w:kern w:val="0"/>
      <w:sz w:val="24"/>
      <w:szCs w:val="28"/>
    </w:rPr>
  </w:style>
  <w:style w:type="paragraph" w:customStyle="1" w:styleId="54">
    <w:name w:val="闻政备注类"/>
    <w:basedOn w:val="7"/>
    <w:qFormat/>
    <w:uiPriority w:val="5"/>
    <w:pPr>
      <w:spacing w:line="240" w:lineRule="auto"/>
      <w:jc w:val="left"/>
    </w:pPr>
    <w:rPr>
      <w:rFonts w:cs="宋体"/>
      <w:sz w:val="21"/>
    </w:rPr>
  </w:style>
  <w:style w:type="paragraph" w:customStyle="1" w:styleId="55">
    <w:name w:val="闻政附件标题"/>
    <w:basedOn w:val="7"/>
    <w:qFormat/>
    <w:uiPriority w:val="5"/>
    <w:pPr>
      <w:numPr>
        <w:ilvl w:val="5"/>
        <w:numId w:val="1"/>
      </w:numPr>
      <w:spacing w:before="120" w:after="60" w:line="240" w:lineRule="auto"/>
      <w:ind w:firstLineChars="0"/>
      <w:outlineLvl w:val="0"/>
    </w:pPr>
    <w:rPr>
      <w:rFonts w:eastAsia="黑体"/>
      <w:b/>
      <w:sz w:val="32"/>
    </w:rPr>
  </w:style>
  <w:style w:type="paragraph" w:customStyle="1" w:styleId="56">
    <w:name w:val="闻政附件正文"/>
    <w:basedOn w:val="7"/>
    <w:qFormat/>
    <w:uiPriority w:val="99"/>
    <w:rPr>
      <w:sz w:val="24"/>
    </w:rPr>
  </w:style>
  <w:style w:type="paragraph" w:customStyle="1" w:styleId="57">
    <w:name w:val="闻政附件报告名"/>
    <w:basedOn w:val="7"/>
    <w:qFormat/>
    <w:uiPriority w:val="9"/>
    <w:pPr>
      <w:spacing w:before="120" w:after="60"/>
      <w:ind w:firstLine="0" w:firstLineChars="0"/>
      <w:jc w:val="center"/>
    </w:pPr>
    <w:rPr>
      <w:b/>
    </w:rPr>
  </w:style>
  <w:style w:type="paragraph" w:customStyle="1" w:styleId="58">
    <w:name w:val="闻政附件一级标题"/>
    <w:basedOn w:val="57"/>
    <w:next w:val="56"/>
    <w:qFormat/>
    <w:uiPriority w:val="6"/>
    <w:pPr>
      <w:ind w:firstLine="200" w:firstLineChars="200"/>
      <w:jc w:val="left"/>
    </w:pPr>
    <w:rPr>
      <w:rFonts w:cs="宋体"/>
    </w:rPr>
  </w:style>
  <w:style w:type="paragraph" w:customStyle="1" w:styleId="59">
    <w:name w:val="闻政附件二级标题"/>
    <w:basedOn w:val="58"/>
    <w:qFormat/>
    <w:uiPriority w:val="8"/>
    <w:rPr>
      <w:rFonts w:ascii="宋体" w:hAnsi="宋体" w:eastAsia="宋体"/>
    </w:rPr>
  </w:style>
  <w:style w:type="paragraph" w:customStyle="1" w:styleId="60">
    <w:name w:val="闻政附件三级标题"/>
    <w:basedOn w:val="59"/>
    <w:qFormat/>
    <w:uiPriority w:val="8"/>
    <w:rPr>
      <w:rFonts w:ascii="Times New Roman" w:hAnsi="Times New Roman" w:eastAsia="仿宋_GB2312"/>
    </w:rPr>
  </w:style>
  <w:style w:type="paragraph" w:customStyle="1" w:styleId="61">
    <w:name w:val="闻政附件四级标题"/>
    <w:basedOn w:val="60"/>
    <w:qFormat/>
    <w:uiPriority w:val="9"/>
    <w:pPr>
      <w:spacing w:before="0" w:after="0"/>
    </w:pPr>
  </w:style>
  <w:style w:type="paragraph" w:customStyle="1" w:styleId="62">
    <w:name w:val="闻政脚注"/>
    <w:basedOn w:val="7"/>
    <w:qFormat/>
    <w:uiPriority w:val="9"/>
    <w:pPr>
      <w:spacing w:line="400" w:lineRule="exact"/>
      <w:ind w:firstLine="0" w:firstLineChars="0"/>
    </w:pPr>
    <w:rPr>
      <w:sz w:val="18"/>
    </w:rPr>
  </w:style>
  <w:style w:type="paragraph" w:customStyle="1" w:styleId="63">
    <w:name w:val="闻政目录标题"/>
    <w:basedOn w:val="45"/>
    <w:qFormat/>
    <w:uiPriority w:val="1"/>
  </w:style>
  <w:style w:type="table" w:customStyle="1" w:styleId="64">
    <w:name w:val="网格型浅色1"/>
    <w:basedOn w:val="2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65">
    <w:name w:val="无格式表格 11"/>
    <w:basedOn w:val="23"/>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66">
    <w:name w:val="闻政表文字"/>
    <w:basedOn w:val="7"/>
    <w:link w:val="67"/>
    <w:qFormat/>
    <w:uiPriority w:val="5"/>
    <w:pPr>
      <w:widowControl/>
      <w:spacing w:line="320" w:lineRule="exact"/>
      <w:ind w:firstLine="0" w:firstLineChars="0"/>
      <w:jc w:val="center"/>
    </w:pPr>
    <w:rPr>
      <w:rFonts w:cs="宋体"/>
      <w:bCs/>
      <w:color w:val="000000"/>
      <w:sz w:val="22"/>
      <w:szCs w:val="22"/>
    </w:rPr>
  </w:style>
  <w:style w:type="character" w:customStyle="1" w:styleId="67">
    <w:name w:val="闻政表文字 字符"/>
    <w:basedOn w:val="32"/>
    <w:link w:val="66"/>
    <w:qFormat/>
    <w:uiPriority w:val="5"/>
    <w:rPr>
      <w:rFonts w:ascii="Times New Roman" w:hAnsi="Times New Roman" w:eastAsia="仿宋_GB2312" w:cs="宋体"/>
      <w:bCs/>
      <w:color w:val="000000"/>
      <w:kern w:val="0"/>
      <w:sz w:val="22"/>
      <w:szCs w:val="22"/>
      <w:lang w:val="zh-CN" w:eastAsia="zh-CN"/>
    </w:rPr>
  </w:style>
  <w:style w:type="paragraph" w:customStyle="1" w:styleId="68">
    <w:name w:val="正文-闻政"/>
    <w:link w:val="69"/>
    <w:qFormat/>
    <w:uiPriority w:val="0"/>
    <w:pPr>
      <w:spacing w:line="500" w:lineRule="exact"/>
      <w:ind w:firstLine="200" w:firstLineChars="200"/>
      <w:jc w:val="both"/>
    </w:pPr>
    <w:rPr>
      <w:rFonts w:ascii="Times New Roman" w:hAnsi="Times New Roman" w:eastAsia="仿宋_GB2312" w:cs="Times New Roman"/>
      <w:kern w:val="2"/>
      <w:sz w:val="28"/>
      <w:szCs w:val="22"/>
      <w:lang w:val="en-US" w:eastAsia="zh-CN" w:bidi="ar-SA"/>
    </w:rPr>
  </w:style>
  <w:style w:type="character" w:customStyle="1" w:styleId="69">
    <w:name w:val="正文-闻政 Char"/>
    <w:link w:val="68"/>
    <w:qFormat/>
    <w:uiPriority w:val="0"/>
    <w:rPr>
      <w:rFonts w:ascii="Times New Roman" w:hAnsi="Times New Roman" w:eastAsia="仿宋_GB2312" w:cs="Times New Roman"/>
      <w:kern w:val="2"/>
      <w:sz w:val="28"/>
      <w:szCs w:val="22"/>
      <w:lang w:val="en-US" w:eastAsia="zh-CN" w:bidi="ar-SA"/>
    </w:rPr>
  </w:style>
  <w:style w:type="paragraph" w:customStyle="1" w:styleId="70">
    <w:name w:val="闻政表"/>
    <w:basedOn w:val="1"/>
    <w:link w:val="71"/>
    <w:qFormat/>
    <w:uiPriority w:val="0"/>
    <w:pPr>
      <w:spacing w:before="60" w:after="60"/>
      <w:jc w:val="center"/>
    </w:pPr>
    <w:rPr>
      <w:rFonts w:eastAsia="仿宋_GB2312"/>
      <w:b/>
      <w:sz w:val="24"/>
      <w:szCs w:val="28"/>
    </w:rPr>
  </w:style>
  <w:style w:type="character" w:customStyle="1" w:styleId="71">
    <w:name w:val="闻政表 Char"/>
    <w:link w:val="70"/>
    <w:qFormat/>
    <w:uiPriority w:val="0"/>
    <w:rPr>
      <w:rFonts w:eastAsia="仿宋_GB2312"/>
      <w:b/>
      <w:kern w:val="2"/>
      <w:sz w:val="24"/>
      <w:szCs w:val="28"/>
    </w:rPr>
  </w:style>
  <w:style w:type="paragraph" w:styleId="72">
    <w:name w:val="List Paragraph"/>
    <w:basedOn w:val="1"/>
    <w:qFormat/>
    <w:uiPriority w:val="99"/>
    <w:pPr>
      <w:ind w:firstLine="420" w:firstLineChars="200"/>
    </w:pPr>
  </w:style>
  <w:style w:type="paragraph" w:customStyle="1" w:styleId="73">
    <w:name w:val="Char1"/>
    <w:basedOn w:val="1"/>
    <w:qFormat/>
    <w:uiPriority w:val="0"/>
    <w:pPr>
      <w:widowControl/>
      <w:spacing w:after="160" w:line="240" w:lineRule="exact"/>
      <w:jc w:val="left"/>
    </w:pPr>
    <w:rPr>
      <w:rFonts w:ascii="Times New Roman" w:hAnsi="Times New Roman" w:eastAsia="宋体" w:cs="Times New Roman"/>
      <w:sz w:val="32"/>
      <w:szCs w:val="20"/>
    </w:rPr>
  </w:style>
  <w:style w:type="paragraph" w:customStyle="1" w:styleId="74">
    <w:name w:val="p0"/>
    <w:basedOn w:val="1"/>
    <w:qFormat/>
    <w:uiPriority w:val="0"/>
    <w:pPr>
      <w:widowControl/>
      <w:overflowPunct w:val="0"/>
      <w:autoSpaceDE w:val="0"/>
      <w:autoSpaceDN w:val="0"/>
    </w:pPr>
    <w:rPr>
      <w:rFonts w:ascii="Calibri" w:hAnsi="Calibri" w:eastAsia="宋体" w:cs="Times New Roman"/>
      <w:kern w:val="0"/>
    </w:rPr>
  </w:style>
  <w:style w:type="character" w:customStyle="1" w:styleId="75">
    <w:name w:val="font21"/>
    <w:qFormat/>
    <w:uiPriority w:val="0"/>
    <w:rPr>
      <w:rFonts w:hint="default" w:ascii="Times New Roman" w:hAnsi="Times New Roman" w:cs="Times New Roman"/>
      <w:color w:val="000000"/>
      <w:sz w:val="20"/>
      <w:szCs w:val="20"/>
      <w:u w:val="none"/>
    </w:rPr>
  </w:style>
  <w:style w:type="paragraph" w:customStyle="1" w:styleId="76">
    <w:name w:val="报告正文"/>
    <w:next w:val="1"/>
    <w:qFormat/>
    <w:uiPriority w:val="0"/>
    <w:pPr>
      <w:widowControl w:val="0"/>
      <w:spacing w:line="560" w:lineRule="exact"/>
      <w:ind w:firstLine="200" w:firstLineChars="200"/>
      <w:jc w:val="both"/>
    </w:pPr>
    <w:rPr>
      <w:rFonts w:ascii="Times New Roman" w:hAnsi="Times New Roman" w:eastAsia="仿宋" w:cs="Times New Roman"/>
      <w:sz w:val="28"/>
      <w:szCs w:val="28"/>
      <w:lang w:val="en-US" w:eastAsia="zh-CN" w:bidi="ar-SA"/>
    </w:rPr>
  </w:style>
  <w:style w:type="paragraph" w:customStyle="1" w:styleId="77">
    <w:name w:val="WPSOffice手动目录 1"/>
    <w:qFormat/>
    <w:uiPriority w:val="0"/>
    <w:rPr>
      <w:rFonts w:ascii="Times New Roman" w:hAnsi="Times New Roman" w:eastAsia="宋体" w:cs="Times New Roman"/>
      <w:lang w:val="en-US" w:eastAsia="zh-CN" w:bidi="ar-SA"/>
    </w:rPr>
  </w:style>
  <w:style w:type="paragraph" w:customStyle="1" w:styleId="7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80">
    <w:name w:val="font61"/>
    <w:basedOn w:val="25"/>
    <w:qFormat/>
    <w:uiPriority w:val="0"/>
    <w:rPr>
      <w:rFonts w:ascii="楷体_GB2312" w:eastAsia="楷体_GB2312" w:cs="楷体_GB2312"/>
      <w:b/>
      <w:color w:val="000000"/>
      <w:sz w:val="20"/>
      <w:szCs w:val="20"/>
      <w:u w:val="none"/>
    </w:rPr>
  </w:style>
  <w:style w:type="character" w:customStyle="1" w:styleId="81">
    <w:name w:val="font31"/>
    <w:basedOn w:val="25"/>
    <w:qFormat/>
    <w:uiPriority w:val="0"/>
    <w:rPr>
      <w:rFonts w:hint="default" w:ascii="Times New Roman" w:hAnsi="Times New Roman" w:cs="Times New Roman"/>
      <w:b/>
      <w:color w:val="000000"/>
      <w:sz w:val="20"/>
      <w:szCs w:val="20"/>
      <w:u w:val="none"/>
    </w:rPr>
  </w:style>
  <w:style w:type="character" w:customStyle="1" w:styleId="82">
    <w:name w:val="font112"/>
    <w:basedOn w:val="25"/>
    <w:qFormat/>
    <w:uiPriority w:val="0"/>
    <w:rPr>
      <w:rFonts w:ascii="仿宋_GB2312" w:eastAsia="仿宋_GB2312" w:cs="仿宋_GB2312"/>
      <w:b/>
      <w:color w:val="000000"/>
      <w:sz w:val="20"/>
      <w:szCs w:val="20"/>
      <w:u w:val="none"/>
    </w:rPr>
  </w:style>
  <w:style w:type="character" w:customStyle="1" w:styleId="83">
    <w:name w:val="font101"/>
    <w:basedOn w:val="25"/>
    <w:qFormat/>
    <w:uiPriority w:val="0"/>
    <w:rPr>
      <w:rFonts w:hint="eastAsia" w:ascii="楷体_GB2312" w:eastAsia="楷体_GB2312" w:cs="楷体_GB2312"/>
      <w:color w:val="000000"/>
      <w:sz w:val="20"/>
      <w:szCs w:val="20"/>
      <w:u w:val="none"/>
    </w:rPr>
  </w:style>
  <w:style w:type="character" w:customStyle="1" w:styleId="84">
    <w:name w:val="font151"/>
    <w:basedOn w:val="25"/>
    <w:qFormat/>
    <w:uiPriority w:val="0"/>
    <w:rPr>
      <w:rFonts w:hint="default" w:ascii="Times New Roman" w:hAnsi="Times New Roman" w:cs="Times New Roman"/>
      <w:color w:val="000000"/>
      <w:sz w:val="20"/>
      <w:szCs w:val="20"/>
      <w:u w:val="none"/>
    </w:rPr>
  </w:style>
  <w:style w:type="character" w:customStyle="1" w:styleId="85">
    <w:name w:val="font11"/>
    <w:basedOn w:val="25"/>
    <w:qFormat/>
    <w:uiPriority w:val="0"/>
    <w:rPr>
      <w:rFonts w:hint="eastAsia" w:ascii="仿宋_GB2312" w:eastAsia="仿宋_GB2312" w:cs="仿宋_GB2312"/>
      <w:color w:val="FF0000"/>
      <w:sz w:val="20"/>
      <w:szCs w:val="20"/>
      <w:u w:val="none"/>
    </w:rPr>
  </w:style>
  <w:style w:type="character" w:customStyle="1" w:styleId="86">
    <w:name w:val="font51"/>
    <w:basedOn w:val="25"/>
    <w:qFormat/>
    <w:uiPriority w:val="0"/>
    <w:rPr>
      <w:rFonts w:hint="default" w:ascii="Times New Roman" w:hAnsi="Times New Roman" w:cs="Times New Roman"/>
      <w:color w:val="FF0000"/>
      <w:sz w:val="20"/>
      <w:szCs w:val="20"/>
      <w:u w:val="none"/>
    </w:rPr>
  </w:style>
  <w:style w:type="character" w:customStyle="1" w:styleId="87">
    <w:name w:val="font161"/>
    <w:basedOn w:val="25"/>
    <w:qFormat/>
    <w:uiPriority w:val="0"/>
    <w:rPr>
      <w:rFonts w:hint="eastAsia" w:ascii="仿宋_GB2312" w:eastAsia="仿宋_GB2312" w:cs="仿宋_GB2312"/>
      <w:color w:val="FF0000"/>
      <w:sz w:val="20"/>
      <w:szCs w:val="20"/>
      <w:u w:val="none"/>
    </w:rPr>
  </w:style>
  <w:style w:type="character" w:customStyle="1" w:styleId="88">
    <w:name w:val="font91"/>
    <w:basedOn w:val="25"/>
    <w:qFormat/>
    <w:uiPriority w:val="0"/>
    <w:rPr>
      <w:rFonts w:hint="eastAsia" w:ascii="楷体_GB2312" w:eastAsia="楷体_GB2312" w:cs="楷体_GB2312"/>
      <w:color w:val="000000"/>
      <w:sz w:val="20"/>
      <w:szCs w:val="20"/>
      <w:u w:val="none"/>
    </w:rPr>
  </w:style>
  <w:style w:type="character" w:customStyle="1" w:styleId="89">
    <w:name w:val="font41"/>
    <w:basedOn w:val="25"/>
    <w:qFormat/>
    <w:uiPriority w:val="0"/>
    <w:rPr>
      <w:rFonts w:hint="default" w:ascii="Times New Roman" w:hAnsi="Times New Roman" w:cs="Times New Roman"/>
      <w:color w:val="000000"/>
      <w:sz w:val="20"/>
      <w:szCs w:val="20"/>
      <w:u w:val="none"/>
    </w:rPr>
  </w:style>
  <w:style w:type="character" w:customStyle="1" w:styleId="90">
    <w:name w:val="font01"/>
    <w:basedOn w:val="25"/>
    <w:qFormat/>
    <w:uiPriority w:val="0"/>
    <w:rPr>
      <w:rFonts w:hint="eastAsia" w:ascii="宋体" w:hAnsi="宋体" w:eastAsia="宋体" w:cs="宋体"/>
      <w:color w:val="000000"/>
      <w:sz w:val="20"/>
      <w:szCs w:val="20"/>
      <w:u w:val="none"/>
    </w:rPr>
  </w:style>
  <w:style w:type="character" w:customStyle="1" w:styleId="91">
    <w:name w:val="font81"/>
    <w:basedOn w:val="25"/>
    <w:qFormat/>
    <w:uiPriority w:val="0"/>
    <w:rPr>
      <w:rFonts w:hint="eastAsia" w:ascii="宋体" w:hAnsi="宋体" w:eastAsia="宋体" w:cs="宋体"/>
      <w:color w:val="FF0000"/>
      <w:sz w:val="20"/>
      <w:szCs w:val="20"/>
      <w:u w:val="none"/>
    </w:rPr>
  </w:style>
  <w:style w:type="character" w:customStyle="1" w:styleId="92">
    <w:name w:val="font71"/>
    <w:basedOn w:val="25"/>
    <w:qFormat/>
    <w:uiPriority w:val="0"/>
    <w:rPr>
      <w:rFonts w:hint="eastAsia" w:ascii="仿宋_GB2312" w:eastAsia="仿宋_GB2312" w:cs="仿宋_GB2312"/>
      <w:color w:val="000000"/>
      <w:sz w:val="20"/>
      <w:szCs w:val="20"/>
      <w:u w:val="none"/>
    </w:rPr>
  </w:style>
  <w:style w:type="paragraph" w:customStyle="1" w:styleId="93">
    <w:name w:val="chy报告正文"/>
    <w:next w:val="1"/>
    <w:qFormat/>
    <w:uiPriority w:val="0"/>
    <w:pPr>
      <w:widowControl w:val="0"/>
      <w:spacing w:line="560" w:lineRule="exact"/>
      <w:ind w:firstLine="200" w:firstLineChars="200"/>
      <w:jc w:val="both"/>
    </w:pPr>
    <w:rPr>
      <w:rFonts w:ascii="宋体" w:hAnsi="宋体" w:eastAsia="仿宋" w:cs="Times New Roman"/>
      <w:sz w:val="28"/>
      <w:szCs w:val="28"/>
      <w:lang w:val="en-US" w:eastAsia="zh-CN" w:bidi="ar-SA"/>
    </w:rPr>
  </w:style>
  <w:style w:type="paragraph" w:customStyle="1" w:styleId="94">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character" w:customStyle="1" w:styleId="95">
    <w:name w:val="NormalCharacter"/>
    <w:semiHidden/>
    <w:qFormat/>
    <w:uiPriority w:val="0"/>
  </w:style>
  <w:style w:type="paragraph" w:customStyle="1" w:styleId="96">
    <w:name w:val="Chy报告正文"/>
    <w:basedOn w:val="1"/>
    <w:next w:val="1"/>
    <w:qFormat/>
    <w:uiPriority w:val="0"/>
    <w:pPr>
      <w:spacing w:line="560" w:lineRule="exact"/>
      <w:ind w:firstLine="200" w:firstLineChars="200"/>
    </w:pPr>
    <w:rPr>
      <w:rFonts w:ascii="宋体" w:hAnsi="宋体"/>
      <w:kern w:val="0"/>
      <w:sz w:val="32"/>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83C35-F5C4-491E-AE58-4E5AE2DD54DD}">
  <ds:schemaRefs/>
</ds:datastoreItem>
</file>

<file path=docProps/app.xml><?xml version="1.0" encoding="utf-8"?>
<Properties xmlns="http://schemas.openxmlformats.org/officeDocument/2006/extended-properties" xmlns:vt="http://schemas.openxmlformats.org/officeDocument/2006/docPropsVTypes">
  <Template>04-闻政-格式模板-20190219-更新-v3</Template>
  <Pages>71</Pages>
  <Words>5732</Words>
  <Characters>32679</Characters>
  <Lines>272</Lines>
  <Paragraphs>76</Paragraphs>
  <TotalTime>19</TotalTime>
  <ScaleCrop>false</ScaleCrop>
  <LinksUpToDate>false</LinksUpToDate>
  <CharactersWithSpaces>38335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2019-09-23T05:19:00Z</dcterms:created>
  <dc:creator>张恩华</dc:creator>
  <cp:lastModifiedBy>阳光雨露</cp:lastModifiedBy>
  <cp:lastPrinted>2021-09-06T07:15:41Z</cp:lastPrinted>
  <dcterms:modified xsi:type="dcterms:W3CDTF">2021-09-06T07:19:10Z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584113063_btnclosed</vt:lpwstr>
  </property>
  <property fmtid="{D5CDD505-2E9C-101B-9397-08002B2CF9AE}" pid="4" name="ICV">
    <vt:lpwstr>7C4CC9A6CCC54791AAFE908CC0F2F0E3</vt:lpwstr>
  </property>
</Properties>
</file>