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spacing w:line="520" w:lineRule="exact"/>
        <w:ind w:left="880" w:hanging="880"/>
        <w:jc w:val="center"/>
        <w:rPr>
          <w:rFonts w:hint="eastAsia" w:ascii="仿宋" w:hAnsi="仿宋" w:eastAsia="仿宋" w:cs="仿宋"/>
          <w:b/>
          <w:bCs w:val="0"/>
          <w:sz w:val="44"/>
          <w:szCs w:val="44"/>
        </w:rPr>
      </w:pPr>
      <w:r>
        <w:rPr>
          <w:rFonts w:hint="eastAsia" w:ascii="仿宋" w:hAnsi="仿宋" w:eastAsia="仿宋" w:cs="仿宋"/>
          <w:b/>
          <w:bCs w:val="0"/>
          <w:sz w:val="44"/>
          <w:szCs w:val="44"/>
          <w:lang w:val="en-US" w:eastAsia="zh-CN"/>
        </w:rPr>
        <w:t>2020</w:t>
      </w:r>
      <w:r>
        <w:rPr>
          <w:rFonts w:hint="eastAsia" w:ascii="仿宋" w:hAnsi="仿宋" w:eastAsia="仿宋" w:cs="仿宋"/>
          <w:b/>
          <w:bCs w:val="0"/>
          <w:sz w:val="44"/>
          <w:szCs w:val="44"/>
        </w:rPr>
        <w:t>年度</w:t>
      </w:r>
      <w:r>
        <w:rPr>
          <w:rFonts w:hint="eastAsia" w:ascii="仿宋" w:hAnsi="仿宋" w:eastAsia="仿宋" w:cs="仿宋"/>
          <w:b/>
          <w:bCs w:val="0"/>
          <w:sz w:val="44"/>
          <w:szCs w:val="44"/>
          <w:lang w:eastAsia="zh-CN"/>
        </w:rPr>
        <w:t>青岛市住房和城乡建设局</w:t>
      </w:r>
    </w:p>
    <w:p>
      <w:pPr>
        <w:spacing w:line="520" w:lineRule="exact"/>
        <w:ind w:left="880" w:hanging="880"/>
        <w:jc w:val="center"/>
        <w:rPr>
          <w:rFonts w:hint="eastAsia" w:ascii="仿宋" w:hAnsi="仿宋" w:eastAsia="仿宋" w:cs="仿宋"/>
          <w:sz w:val="44"/>
          <w:szCs w:val="44"/>
        </w:rPr>
      </w:pPr>
      <w:r>
        <w:rPr>
          <w:rFonts w:hint="eastAsia" w:ascii="仿宋" w:hAnsi="仿宋" w:eastAsia="仿宋" w:cs="仿宋"/>
          <w:b/>
          <w:bCs w:val="0"/>
          <w:sz w:val="44"/>
          <w:szCs w:val="44"/>
        </w:rPr>
        <w:t>部门整体支出财政绩效评价报告</w:t>
      </w:r>
    </w:p>
    <w:p>
      <w:pPr>
        <w:spacing w:line="520" w:lineRule="exact"/>
        <w:ind w:left="880" w:hanging="880"/>
        <w:jc w:val="center"/>
        <w:rPr>
          <w:rFonts w:ascii="方正小标宋_GBK" w:eastAsia="方正小标宋_GBK" w:cs="文星简黑体"/>
          <w:sz w:val="44"/>
          <w:szCs w:val="44"/>
        </w:rPr>
      </w:pPr>
    </w:p>
    <w:p>
      <w:pPr>
        <w:spacing w:line="520" w:lineRule="exact"/>
        <w:ind w:left="1040" w:hanging="1040"/>
        <w:jc w:val="right"/>
        <w:rPr>
          <w:rFonts w:ascii="文星简黑体" w:eastAsia="文星简黑体"/>
          <w:sz w:val="52"/>
          <w:szCs w:val="52"/>
        </w:rPr>
      </w:pPr>
    </w:p>
    <w:p>
      <w:pPr>
        <w:spacing w:line="520" w:lineRule="exact"/>
        <w:ind w:left="1040" w:hanging="1040"/>
        <w:jc w:val="center"/>
        <w:rPr>
          <w:rFonts w:ascii="文星简黑体" w:eastAsia="文星简黑体"/>
          <w:sz w:val="52"/>
          <w:szCs w:val="52"/>
        </w:rPr>
      </w:pPr>
    </w:p>
    <w:p>
      <w:pPr>
        <w:spacing w:line="520" w:lineRule="exact"/>
        <w:ind w:left="1040" w:hanging="1040"/>
        <w:jc w:val="center"/>
        <w:rPr>
          <w:rFonts w:ascii="文星简黑体" w:eastAsia="文星简黑体"/>
          <w:sz w:val="52"/>
          <w:szCs w:val="52"/>
        </w:rPr>
      </w:pPr>
    </w:p>
    <w:p>
      <w:pPr>
        <w:spacing w:before="120" w:after="120" w:line="520" w:lineRule="exact"/>
        <w:ind w:left="640" w:hanging="640"/>
        <w:rPr>
          <w:rFonts w:hint="eastAsia" w:ascii="仿宋" w:hAnsi="仿宋" w:eastAsia="仿宋" w:cs="仿宋"/>
          <w:b/>
          <w:bCs/>
          <w:sz w:val="32"/>
          <w:szCs w:val="32"/>
          <w:lang w:eastAsia="zh-CN"/>
        </w:rPr>
      </w:pPr>
      <w:r>
        <w:rPr>
          <w:rFonts w:hint="eastAsia" w:ascii="仿宋" w:hAnsi="仿宋" w:eastAsia="仿宋" w:cs="仿宋"/>
          <w:b/>
          <w:bCs/>
          <w:kern w:val="0"/>
          <w:sz w:val="32"/>
          <w:szCs w:val="32"/>
        </w:rPr>
        <w:t>评价单位：</w:t>
      </w:r>
      <w:r>
        <w:rPr>
          <w:rFonts w:hint="eastAsia" w:ascii="仿宋" w:hAnsi="仿宋" w:eastAsia="仿宋" w:cs="仿宋"/>
          <w:b/>
          <w:bCs/>
          <w:kern w:val="0"/>
          <w:sz w:val="32"/>
          <w:szCs w:val="32"/>
          <w:lang w:eastAsia="zh-CN"/>
        </w:rPr>
        <w:t>山东东信会计师事务所有限公司</w:t>
      </w:r>
    </w:p>
    <w:p>
      <w:pPr>
        <w:spacing w:before="120" w:after="120" w:line="520" w:lineRule="exact"/>
        <w:ind w:left="2240" w:hanging="2249" w:hangingChars="700"/>
        <w:rPr>
          <w:rFonts w:hint="eastAsia" w:ascii="仿宋" w:hAnsi="仿宋" w:eastAsia="仿宋" w:cs="仿宋"/>
          <w:b/>
          <w:bCs/>
          <w:sz w:val="32"/>
          <w:szCs w:val="32"/>
        </w:rPr>
      </w:pPr>
      <w:r>
        <w:rPr>
          <w:rFonts w:hint="eastAsia" w:ascii="仿宋" w:hAnsi="仿宋" w:eastAsia="仿宋" w:cs="仿宋"/>
          <w:b/>
          <w:bCs/>
          <w:sz w:val="32"/>
          <w:szCs w:val="32"/>
        </w:rPr>
        <w:t xml:space="preserve">被评价单位：青岛市住房和城乡建设局 </w:t>
      </w:r>
    </w:p>
    <w:p>
      <w:pPr>
        <w:spacing w:before="120" w:after="120" w:line="520" w:lineRule="exact"/>
        <w:ind w:left="640" w:hanging="640"/>
        <w:jc w:val="center"/>
        <w:rPr>
          <w:rFonts w:hint="eastAsia" w:ascii="仿宋" w:hAnsi="仿宋" w:eastAsia="仿宋" w:cs="仿宋"/>
          <w:b/>
          <w:bCs/>
          <w:sz w:val="32"/>
          <w:szCs w:val="32"/>
        </w:rPr>
      </w:pPr>
    </w:p>
    <w:p>
      <w:pPr>
        <w:spacing w:before="120" w:after="120" w:line="520" w:lineRule="exact"/>
        <w:rPr>
          <w:rFonts w:hint="eastAsia" w:ascii="仿宋" w:hAnsi="仿宋" w:eastAsia="仿宋" w:cs="仿宋"/>
          <w:b/>
          <w:bCs/>
          <w:sz w:val="32"/>
          <w:szCs w:val="32"/>
        </w:rPr>
      </w:pPr>
    </w:p>
    <w:p>
      <w:pPr>
        <w:spacing w:before="120" w:after="120" w:line="520" w:lineRule="exact"/>
        <w:jc w:val="center"/>
        <w:rPr>
          <w:rFonts w:hint="eastAsia" w:ascii="仿宋" w:hAnsi="仿宋" w:eastAsia="仿宋" w:cs="仿宋"/>
          <w:b/>
          <w:bCs/>
          <w:sz w:val="32"/>
          <w:szCs w:val="32"/>
        </w:rPr>
      </w:pPr>
    </w:p>
    <w:p>
      <w:pPr>
        <w:spacing w:before="120" w:after="120" w:line="520" w:lineRule="exact"/>
        <w:jc w:val="center"/>
        <w:rPr>
          <w:rFonts w:hint="eastAsia" w:ascii="仿宋" w:hAnsi="仿宋" w:eastAsia="仿宋" w:cs="仿宋"/>
          <w:b/>
          <w:bCs/>
          <w:sz w:val="32"/>
          <w:szCs w:val="32"/>
        </w:rPr>
      </w:pPr>
    </w:p>
    <w:p>
      <w:pPr>
        <w:widowControl/>
        <w:spacing w:line="520" w:lineRule="exact"/>
        <w:jc w:val="left"/>
        <w:rPr>
          <w:rFonts w:hint="eastAsia" w:ascii="仿宋" w:hAnsi="仿宋" w:eastAsia="仿宋" w:cs="仿宋"/>
          <w:b/>
          <w:bCs/>
          <w:kern w:val="0"/>
          <w:sz w:val="28"/>
          <w:szCs w:val="28"/>
          <w:lang w:val="zh-CN"/>
        </w:rPr>
      </w:pPr>
    </w:p>
    <w:p>
      <w:pPr>
        <w:pStyle w:val="45"/>
        <w:spacing w:line="520" w:lineRule="exact"/>
        <w:rPr>
          <w:rFonts w:hint="eastAsia" w:ascii="仿宋" w:hAnsi="仿宋" w:eastAsia="仿宋" w:cs="仿宋"/>
          <w:b/>
          <w:bCs/>
        </w:rPr>
        <w:sectPr>
          <w:headerReference r:id="rId4" w:type="first"/>
          <w:footerReference r:id="rId7" w:type="first"/>
          <w:footerReference r:id="rId5" w:type="default"/>
          <w:headerReference r:id="rId3" w:type="even"/>
          <w:footerReference r:id="rId6" w:type="even"/>
          <w:footnotePr>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b/>
          <w:bCs/>
          <w:sz w:val="32"/>
          <w:szCs w:val="32"/>
          <w:lang w:val="en-US" w:eastAsia="zh-CN"/>
        </w:rPr>
        <w:t>2021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sdt>
      <w:sdtPr>
        <w:rPr>
          <w:rFonts w:hint="eastAsia" w:ascii="仿宋" w:hAnsi="仿宋" w:eastAsia="仿宋" w:cs="仿宋"/>
          <w:b/>
          <w:bCs/>
          <w:kern w:val="2"/>
          <w:sz w:val="36"/>
          <w:szCs w:val="36"/>
          <w:lang w:val="en-US" w:eastAsia="zh-CN" w:bidi="ar-SA"/>
        </w:rPr>
        <w:id w:val="147469004"/>
        <w15:color w:val="DBDBDB"/>
        <w:docPartObj>
          <w:docPartGallery w:val="Table of Contents"/>
          <w:docPartUnique/>
        </w:docPartObj>
      </w:sdtPr>
      <w:sdtEndPr>
        <w:rPr>
          <w:rFonts w:hint="eastAsia" w:ascii="方正小标宋_GBK" w:hAnsi="宋体" w:eastAsia="方正小标宋_GBK" w:cs="Times New Roman"/>
          <w:b/>
          <w:bCs/>
          <w:kern w:val="0"/>
          <w:sz w:val="28"/>
          <w:szCs w:val="44"/>
          <w:lang w:val="zh-CN"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b/>
              <w:bCs/>
              <w:sz w:val="36"/>
              <w:szCs w:val="36"/>
            </w:rPr>
          </w:pPr>
          <w:r>
            <w:rPr>
              <w:rFonts w:hint="eastAsia" w:ascii="仿宋" w:hAnsi="仿宋" w:eastAsia="仿宋" w:cs="仿宋"/>
              <w:b/>
              <w:bCs/>
              <w:kern w:val="2"/>
              <w:sz w:val="36"/>
              <w:szCs w:val="36"/>
              <w:lang w:val="en-US" w:eastAsia="zh-CN" w:bidi="ar-SA"/>
            </w:rPr>
            <w:t>目</w:t>
          </w:r>
          <w:r>
            <w:rPr>
              <w:rFonts w:hint="eastAsia" w:ascii="仿宋" w:hAnsi="仿宋" w:eastAsia="仿宋" w:cs="仿宋"/>
              <w:b/>
              <w:bCs/>
              <w:sz w:val="36"/>
              <w:szCs w:val="36"/>
            </w:rPr>
            <w:t>录</w:t>
          </w:r>
          <w:bookmarkStart w:id="36" w:name="_GoBack"/>
          <w:bookmarkEnd w:id="36"/>
        </w:p>
        <w:p>
          <w:pPr>
            <w:pStyle w:val="16"/>
            <w:tabs>
              <w:tab w:val="right" w:leader="dot" w:pos="8306"/>
              <w:tab w:val="clear" w:pos="8296"/>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_Toc2542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rPr>
            <w:t>一、</w:t>
          </w:r>
          <w:r>
            <w:rPr>
              <w:rFonts w:hint="eastAsia" w:ascii="仿宋" w:hAnsi="仿宋" w:eastAsia="仿宋" w:cs="仿宋"/>
              <w:sz w:val="32"/>
              <w:szCs w:val="32"/>
              <w:lang w:val="en-US"/>
            </w:rPr>
            <w:t>部门基本情况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_Toc2542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rPr>
            <w:t>（一）部门概况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_Toc22297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rPr>
            <w:t>（二）部门绩效目标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_Toc22297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_Toc17232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rPr>
            <w:t>二、评价实施情况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_Toc17232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HYPERLINK \l _Toc4586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lang w:val="en-US"/>
            </w:rPr>
            <w:t>（一）评价目的、对象和范围</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_Toc4586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7</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HYPERLINK \l _Toc31757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lang w:val="en-US"/>
            </w:rPr>
            <w:t>（二）评价依据、方法、标准、指标体系</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_Toc31757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8</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_Toc19652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（三）评价实施程序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_Toc19652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_Toc14953 </w:instrText>
          </w:r>
          <w:r>
            <w:rPr>
              <w:rFonts w:hint="eastAsia" w:ascii="仿宋" w:hAnsi="仿宋" w:eastAsia="仿宋" w:cs="仿宋"/>
              <w:b/>
              <w:bCs/>
              <w:sz w:val="32"/>
              <w:szCs w:val="32"/>
            </w:rPr>
            <w:fldChar w:fldCharType="separate"/>
          </w:r>
          <w:r>
            <w:rPr>
              <w:rFonts w:hint="eastAsia" w:ascii="仿宋" w:hAnsi="仿宋" w:eastAsia="仿宋" w:cs="仿宋"/>
              <w:b/>
              <w:bCs/>
              <w:kern w:val="44"/>
              <w:sz w:val="32"/>
              <w:szCs w:val="32"/>
              <w:highlight w:val="none"/>
              <w:lang w:val="en-US"/>
            </w:rPr>
            <w:t>三、指标分析及评价结论</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_Toc14953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17</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_Toc27272 </w:instrText>
          </w:r>
          <w:r>
            <w:rPr>
              <w:rFonts w:hint="eastAsia" w:ascii="仿宋" w:hAnsi="仿宋" w:eastAsia="仿宋" w:cs="仿宋"/>
              <w:sz w:val="32"/>
              <w:szCs w:val="32"/>
            </w:rPr>
            <w:fldChar w:fldCharType="separate"/>
          </w:r>
          <w:r>
            <w:rPr>
              <w:rFonts w:hint="eastAsia" w:ascii="仿宋" w:hAnsi="仿宋" w:eastAsia="仿宋" w:cs="仿宋"/>
              <w:sz w:val="32"/>
              <w:szCs w:val="32"/>
            </w:rPr>
            <w:t>（一） 绩效评价指标体系分析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_Toc27272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_Toc26035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rPr>
            <w:t>（二） 评价结论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_Toc26035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_Toc11663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en-US" w:eastAsia="zh-CN"/>
            </w:rPr>
            <w:t>1、评价分数和等级</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_Toc11663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_Toc22036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工作成效</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_Toc22036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_Toc6059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_Toc6059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_Toc12062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w:t>
          </w:r>
          <w:r>
            <w:rPr>
              <w:rFonts w:hint="eastAsia" w:ascii="仿宋" w:hAnsi="仿宋" w:eastAsia="仿宋" w:cs="仿宋"/>
              <w:sz w:val="32"/>
              <w:szCs w:val="32"/>
            </w:rPr>
            <w:t>相关建议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_Toc12062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_Toc27403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四、附件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_Toc27403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_Toc11174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五、 评价单位盖章</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_Toc11174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宋体" w:eastAsia="方正小标宋_GBK"/>
              <w:sz w:val="44"/>
              <w:szCs w:val="44"/>
            </w:rPr>
          </w:pPr>
          <w:r>
            <w:rPr>
              <w:rFonts w:hint="eastAsia" w:ascii="仿宋" w:hAnsi="仿宋" w:eastAsia="仿宋" w:cs="仿宋"/>
              <w:szCs w:val="32"/>
            </w:rPr>
            <w:fldChar w:fldCharType="end"/>
          </w:r>
        </w:p>
      </w:sdtContent>
    </w:sdt>
    <w:p>
      <w:pPr>
        <w:pStyle w:val="4"/>
        <w:spacing w:line="560" w:lineRule="exact"/>
        <w:ind w:left="0" w:leftChars="0" w:firstLine="0" w:firstLineChars="0"/>
        <w:jc w:val="center"/>
        <w:rPr>
          <w:rFonts w:hint="eastAsia" w:ascii="方正小标宋_GBK" w:hAnsi="宋体" w:eastAsia="方正小标宋_GBK"/>
          <w:sz w:val="44"/>
          <w:szCs w:val="44"/>
        </w:rPr>
      </w:pPr>
    </w:p>
    <w:p>
      <w:pPr>
        <w:pStyle w:val="4"/>
        <w:spacing w:line="560" w:lineRule="exact"/>
        <w:ind w:left="0" w:leftChars="0" w:firstLine="0" w:firstLineChars="0"/>
        <w:jc w:val="center"/>
        <w:rPr>
          <w:rFonts w:hint="eastAsia" w:ascii="方正小标宋_GBK" w:hAnsi="宋体" w:eastAsia="方正小标宋_GBK"/>
          <w:sz w:val="44"/>
          <w:szCs w:val="44"/>
        </w:rPr>
      </w:pPr>
    </w:p>
    <w:p>
      <w:pPr>
        <w:pStyle w:val="4"/>
        <w:spacing w:line="560" w:lineRule="exact"/>
        <w:ind w:left="0" w:leftChars="0" w:firstLine="0" w:firstLineChars="0"/>
        <w:jc w:val="both"/>
        <w:rPr>
          <w:rFonts w:hint="eastAsia" w:ascii="方正小标宋_GBK" w:hAnsi="宋体" w:eastAsia="方正小标宋_GBK"/>
          <w:sz w:val="44"/>
          <w:szCs w:val="44"/>
        </w:rPr>
        <w:sectPr>
          <w:footerReference r:id="rId8" w:type="default"/>
          <w:footnotePr>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spacing w:line="560" w:lineRule="exact"/>
        <w:ind w:left="0" w:leftChars="0" w:firstLine="0" w:firstLineChars="0"/>
        <w:jc w:val="center"/>
        <w:outlineLvl w:val="0"/>
        <w:rPr>
          <w:rFonts w:hint="eastAsia" w:ascii="仿宋" w:hAnsi="仿宋" w:eastAsia="仿宋" w:cs="仿宋"/>
          <w:b/>
          <w:bCs/>
          <w:sz w:val="44"/>
          <w:szCs w:val="44"/>
        </w:rPr>
      </w:pPr>
      <w:bookmarkStart w:id="0" w:name="_Toc28633"/>
      <w:bookmarkStart w:id="1" w:name="_Toc16573"/>
      <w:bookmarkStart w:id="2" w:name="_Toc7550"/>
      <w:bookmarkStart w:id="3" w:name="_Toc25257"/>
      <w:bookmarkStart w:id="4" w:name="_Toc14683"/>
      <w:bookmarkStart w:id="5" w:name="_Toc5437"/>
      <w:r>
        <w:rPr>
          <w:rFonts w:hint="eastAsia" w:ascii="仿宋" w:hAnsi="仿宋" w:eastAsia="仿宋" w:cs="仿宋"/>
          <w:b/>
          <w:bCs/>
          <w:sz w:val="44"/>
          <w:szCs w:val="44"/>
        </w:rPr>
        <w:t>2020年度青岛市住房和城乡建设局</w:t>
      </w:r>
      <w:bookmarkEnd w:id="0"/>
      <w:bookmarkEnd w:id="1"/>
      <w:bookmarkEnd w:id="2"/>
      <w:bookmarkEnd w:id="3"/>
      <w:bookmarkEnd w:id="4"/>
      <w:bookmarkEnd w:id="5"/>
    </w:p>
    <w:p>
      <w:pPr>
        <w:pStyle w:val="4"/>
        <w:spacing w:line="560" w:lineRule="exact"/>
        <w:ind w:left="0" w:leftChars="0" w:firstLine="0" w:firstLineChars="0"/>
        <w:jc w:val="center"/>
        <w:outlineLvl w:val="0"/>
        <w:rPr>
          <w:rFonts w:hint="eastAsia" w:ascii="仿宋" w:hAnsi="仿宋" w:eastAsia="仿宋" w:cs="仿宋"/>
          <w:b/>
          <w:bCs/>
          <w:sz w:val="44"/>
          <w:szCs w:val="44"/>
        </w:rPr>
      </w:pPr>
      <w:bookmarkStart w:id="6" w:name="_Toc12750"/>
      <w:bookmarkStart w:id="7" w:name="_Toc2841"/>
      <w:bookmarkStart w:id="8" w:name="_Toc2430"/>
      <w:bookmarkStart w:id="9" w:name="_Toc15502"/>
      <w:bookmarkStart w:id="10" w:name="_Toc28856"/>
      <w:bookmarkStart w:id="11" w:name="_Toc8237"/>
      <w:r>
        <w:rPr>
          <w:rFonts w:hint="eastAsia" w:ascii="仿宋" w:hAnsi="仿宋" w:eastAsia="仿宋" w:cs="仿宋"/>
          <w:b/>
          <w:bCs/>
          <w:sz w:val="44"/>
          <w:szCs w:val="44"/>
        </w:rPr>
        <w:t>部门整体支出财政绩效评价报告</w:t>
      </w:r>
      <w:bookmarkEnd w:id="6"/>
      <w:bookmarkEnd w:id="7"/>
      <w:bookmarkEnd w:id="8"/>
      <w:bookmarkEnd w:id="9"/>
      <w:bookmarkEnd w:id="10"/>
      <w:bookmarkEnd w:id="11"/>
    </w:p>
    <w:p>
      <w:pPr>
        <w:pStyle w:val="3"/>
        <w:numPr>
          <w:ilvl w:val="0"/>
          <w:numId w:val="0"/>
        </w:numPr>
        <w:spacing w:line="560" w:lineRule="exact"/>
        <w:ind w:firstLine="602" w:firstLineChars="200"/>
        <w:outlineLvl w:val="9"/>
        <w:rPr>
          <w:b/>
          <w:kern w:val="0"/>
          <w:sz w:val="30"/>
          <w:szCs w:val="30"/>
          <w:lang w:val="en-US"/>
        </w:rPr>
      </w:pPr>
    </w:p>
    <w:p>
      <w:pPr>
        <w:pStyle w:val="3"/>
        <w:numPr>
          <w:ilvl w:val="0"/>
          <w:numId w:val="0"/>
        </w:numPr>
        <w:spacing w:line="560" w:lineRule="exact"/>
        <w:ind w:firstLine="643" w:firstLineChars="200"/>
        <w:rPr>
          <w:rFonts w:hint="eastAsia" w:ascii="仿宋" w:hAnsi="仿宋" w:eastAsia="仿宋" w:cs="仿宋"/>
          <w:b/>
          <w:bCs/>
          <w:szCs w:val="32"/>
          <w:lang w:val="en-US"/>
        </w:rPr>
      </w:pPr>
      <w:bookmarkStart w:id="12" w:name="_Toc2542"/>
      <w:r>
        <w:rPr>
          <w:rFonts w:hint="eastAsia" w:ascii="仿宋" w:hAnsi="仿宋" w:eastAsia="仿宋" w:cs="仿宋"/>
          <w:b/>
          <w:bCs/>
          <w:kern w:val="0"/>
          <w:szCs w:val="32"/>
          <w:lang w:val="en-US"/>
        </w:rPr>
        <w:t>一、</w:t>
      </w:r>
      <w:r>
        <w:rPr>
          <w:rFonts w:hint="eastAsia" w:ascii="仿宋" w:hAnsi="仿宋" w:eastAsia="仿宋" w:cs="仿宋"/>
          <w:b/>
          <w:bCs/>
          <w:szCs w:val="32"/>
          <w:lang w:val="en-US"/>
        </w:rPr>
        <w:t>部门基本情况</w:t>
      </w:r>
      <w:bookmarkEnd w:id="12"/>
    </w:p>
    <w:p>
      <w:pPr>
        <w:pStyle w:val="6"/>
        <w:numPr>
          <w:ilvl w:val="0"/>
          <w:numId w:val="0"/>
        </w:numPr>
        <w:spacing w:line="560" w:lineRule="exact"/>
        <w:ind w:firstLine="643" w:firstLineChars="200"/>
        <w:jc w:val="left"/>
        <w:outlineLvl w:val="1"/>
        <w:rPr>
          <w:rFonts w:hint="eastAsia" w:ascii="仿宋" w:hAnsi="仿宋" w:eastAsia="仿宋" w:cs="仿宋"/>
          <w:b/>
          <w:bCs/>
          <w:sz w:val="32"/>
          <w:lang w:val="en-US"/>
        </w:rPr>
      </w:pPr>
      <w:bookmarkStart w:id="13" w:name="_Toc66"/>
      <w:r>
        <w:rPr>
          <w:rFonts w:hint="eastAsia" w:ascii="仿宋" w:hAnsi="仿宋" w:eastAsia="仿宋" w:cs="仿宋"/>
          <w:b/>
          <w:bCs/>
          <w:sz w:val="32"/>
          <w:lang w:val="en-US"/>
        </w:rPr>
        <w:t>（一）部门概况</w:t>
      </w:r>
      <w:bookmarkEnd w:id="13"/>
      <w:bookmarkStart w:id="14" w:name="_Toc26964728"/>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b w:val="0"/>
          <w:sz w:val="32"/>
          <w:lang w:val="en-US" w:eastAsia="zh-CN"/>
        </w:rPr>
      </w:pPr>
      <w:r>
        <w:rPr>
          <w:rFonts w:hint="eastAsia" w:ascii="仿宋_GB2312"/>
          <w:b w:val="0"/>
          <w:sz w:val="32"/>
          <w:lang w:val="en-US" w:eastAsia="zh-CN"/>
        </w:rPr>
        <w:t>1、部门设立背景及职能</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b w:val="0"/>
          <w:sz w:val="32"/>
          <w:lang w:val="en-US" w:eastAsia="zh-CN"/>
        </w:rPr>
      </w:pPr>
      <w:r>
        <w:rPr>
          <w:rFonts w:hint="eastAsia" w:ascii="仿宋_GB2312"/>
          <w:b w:val="0"/>
          <w:sz w:val="32"/>
          <w:lang w:val="en-US" w:eastAsia="zh-CN"/>
        </w:rPr>
        <w:t>青岛市住房和城乡建设局贯彻党中央关于住房和城乡建设工作的方针政策和决策部署，落实省委市委工作要求,在履行职责过程中坚持和加强党对住房城乡建设工作的集中统一领导。</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b w:val="0"/>
          <w:sz w:val="32"/>
          <w:lang w:val="en-US" w:eastAsia="zh-CN"/>
        </w:rPr>
      </w:pPr>
      <w:r>
        <w:rPr>
          <w:rFonts w:hint="eastAsia" w:ascii="仿宋_GB2312"/>
          <w:b w:val="0"/>
          <w:sz w:val="32"/>
          <w:lang w:val="en-US" w:eastAsia="zh-CN"/>
        </w:rPr>
        <w:t>部门职能：</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1</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贯彻执行住房和城乡建设方面法律、法规，起草住房和城乡建设领域相关地方性法规、政府规章草案和规范性文件等，拟订住房和城乡建设发展规划和政策措施并组织实施，研究提出住房和城乡建设重大问题的政策建议。</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住房和城乡建设行业管理。拟订行业政策、相关地方标准等并组织实施。培育、引导、规范行业发展，监管市场主体和从业行为，建立健全住房和城乡建设领域市场信用体系。负责行业安全生产和应急管理工作，履行事中事后监管职能。</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建筑行业管理。监督管理建筑市场，拟订规范建筑市场主体行为的规章制度并组织、监督实施。管理建筑行业企业资质以及执业人员资格。负责工程建设标准定额实施和工程造价计价工作，组织发布工程造价信息和统一定额。负责建筑工程质量检测、招标代理等机构的监督管理。组织协调建筑企业参与国际工程承包、劳务合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负责建筑工程、市政工程质量安全监督管理。组织拟订建筑工程和市政工程质量、安全生产、竣工验收、文明施工等规章、制度并监督执行。组织实施并监督执行建筑业技术政策。</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市政基础设施建设和相关维修养护工作。会同有关部门拟订城市道路、桥梁、燃气、供热、环境卫生等市政基础设施的专项规划,拟订年度建设计划并组织实施。负责城市道路、桥梁的建设、维修、养护等全流程工作。负责燃气、供热、环境卫生设施的建设工作。负责城市基础设施配套费有关管理工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负责城市地下管线的普查和信息化建设工作，负责海绵城市、综合管廊以及路灯等规划建设管理工作。负责停车场的规划、建设，会同有关部门做好管理工作。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工程勘察设计行业管理。拟订工程勘察设计行业、工程抗震设防政策并组织实施,监督管理房屋建筑和市政基础设施工程勘察设计质量、安全生产、抗震设防等工作，规范勘察设计市场秩序。负责住房和城乡建设领域消防设计审查、验收和施工图审查等监督管理。负责历史优秀建筑保护工作，会同有关部门负责历史文化名城(镇、村)、街区保护和监督管理工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政府投资城市建设项目管理工作。参与拟订城市建设项目市财力年度投资计划，提出城市建设重大项目投融资建议,拟订政府投资建设项目代建制政策并组织实施。协调国家以及省在我市的重点建设工程，组织监督市政府确定的重点工程项目的建设实施。负责对住房和城乡建设领域公共资源交易依法履行监督管理职责。</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房地产行业管理。拟订房地产行业发展规划和房地产市场监管调控、稳定住房价格的政策措施并组织、监督实施。开展房地产市场监测、预警、分析，提出房地产开发项目建设条件意见。监督管理房地产开发、国有土地上房屋征收与补偿、房屋建筑拆除。负责房屋交易与产权管理、监督管理商品房预售、房屋交易合同备案、交易资金等。负责房屋租赁、房屋安全管理、房屋面积管理、房地产估价、房屋中介管理等。负责房地产开发企业、估价机构等的资质管理和执业人员资格管理。在全市统一的不动产登记信息管理基础平台下，建设个人住房信息系统。</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房屋行政管理。负责房屋的使用、装修安全、修缮、房屋安全鉴定等监督管理。负责棚户区、老旧小区和危、破、陋住房等改造工作。负责物业服务行业监督管理，拟订物业服务行业发展规划、标准并组织实施，监督管理物业服务企业经营活动。负责房屋专项维修资金的归集、账户管理、使用监管和信息系统建设维护，指导物业公共部分以及公用设施交付工作。负责房管、房改资金的核收、征收、管理和私房政策落实等工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住房保障和供应体系建设。拟订住房保障政策、规划并组织实施,推进住房制度改革。负责保障性住房和政策性住房的监督管理，负责城镇中等偏下收入和低收入家庭住房保障工作，会同有关部门做好城镇保障性安居工程资金安排并监督实施。</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12</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建筑节能和科技推广工作。拟订住房和城乡建设事业科技发展、建筑节能相关政策规划、技术标准等并组织实施。负责建筑节能减排，组织实施重大建筑节能项目，负责推动装配式建筑应用、墙体材料革新。负责地方建筑材料、散装水泥、建设工程材料等的监督管理以及建筑废弃物资源化综合利用工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13</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新型城镇化建设。拟订新型城镇化发展规划和配套措施并组织实施。监督指导权限内城镇、村庄基础设施建设和小城镇人居生态环境改善工作。监督指导农村住房建设、农村住房安全和危房改造工作，指导全国重点镇、省级示范镇等村镇建设试点工作，负责推进农村生活垃圾治理、“厕所革命”等农村人居环境综合整治相关工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14</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负责住房公积金监督管理，会同有关部门拟订住房公积金政策、发展规划并组织实施。拟订住房公积金缴存、使用、管理和监督制度，监督住房公积金和其他住房资金的管理、使用和安全。</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配合有关部门承担住房和城乡建设领域优化营商环境相关工作。承担住房和城乡建设领域招商引资和招才引智相关工作。培育、引导、扶持住房和城乡建设行业协会发展，推进行业协会自律，发挥服务国家、服务社会、服务群众、服务行业的作用。推进政府向社会力量购买服务。</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16</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推进住房和城乡建设领域相对集中行政处罚权工作。</w:t>
      </w:r>
    </w:p>
    <w:p>
      <w:pPr>
        <w:keepNext w:val="0"/>
        <w:keepLines w:val="0"/>
        <w:pageBreakBefore w:val="0"/>
        <w:widowControl w:val="0"/>
        <w:kinsoku/>
        <w:wordWrap/>
        <w:overflowPunct/>
        <w:topLinePunct w:val="0"/>
        <w:autoSpaceDE/>
        <w:autoSpaceDN/>
        <w:bidi w:val="0"/>
        <w:adjustRightInd/>
        <w:snapToGrid w:val="0"/>
        <w:spacing w:line="560" w:lineRule="exact"/>
        <w:ind w:firstLine="547" w:firstLineChars="171"/>
        <w:textAlignment w:val="auto"/>
        <w:rPr>
          <w:rFonts w:hint="eastAsia" w:ascii="黑体" w:eastAsia="黑体"/>
          <w:b/>
          <w:sz w:val="30"/>
          <w:szCs w:val="30"/>
        </w:rPr>
      </w:pP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完成市委、市政府交办的其他任务。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2、部门架构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（1）机构设置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青岛市住房和城乡建设局为正局级市政府工作部门，内设机构共21个，分别为：办公室,人事处,政策法规处,财务审计处,信访处,城市建设处,市政设施建设处,建筑市场监管处,工程质量监管处,安全生产监管处,市场配置促进和房地产开发管理处,房地产市场监管处,住房保障和房政管理处,勘察设计处(加挂建设工程抗震处牌子),海绵城市建设推进处,城市保护和更新处,城镇化发展指导处,村镇建设处,建筑节能和科技处,物业管理处,建设工程消防验收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（2）局属单位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青岛市住房和城乡建设局部门支出包括：部门本级支出、所属事业单位支出。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纳入青岛市住房和城乡建设局2020年部门整体支出编制范围的事业单位共22个，包括：</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1.青岛市住房和城乡建设局本级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2.青岛市房地产事业发展中心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3.青岛市住房保障中心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4.青岛市建筑施工安全监督站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5.青岛市建筑工程质量监督站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6.青岛市市政工程管理处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7.青岛市公用事业工程质量安全监督站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8.青岛市房屋修缮工程质量监督管理站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9.青岛市建筑节能与产业化发展中心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10.青岛市散装水泥服务中心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11.青岛市建筑工务发展中心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12.青岛市工程建设标准造价站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13.青岛市城市建设档案馆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14.青岛市建设工程材料服务中心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15.青岛市地方建筑材料服务中心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16.青岛市物业服务保障中心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17.青岛市白蚁防治研究所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18.青岛市公用事业工程建设发展中心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19.青岛市房屋交易中心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20.青岛市房地产市场监测中心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21.青岛市市政设施管理中心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eastAsia="zh-CN"/>
        </w:rPr>
      </w:pPr>
      <w:r>
        <w:rPr>
          <w:rFonts w:hint="eastAsia" w:ascii="仿宋_GB2312"/>
          <w:b w:val="0"/>
          <w:sz w:val="32"/>
          <w:lang w:val="en-US" w:eastAsia="zh-CN"/>
        </w:rPr>
        <w:t xml:space="preserve"> 22.青岛市房屋专项维修资金服务中心</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b w:val="0"/>
          <w:sz w:val="32"/>
          <w:lang w:val="en-US"/>
        </w:rPr>
      </w:pPr>
      <w:r>
        <w:rPr>
          <w:rFonts w:hint="eastAsia" w:ascii="仿宋_GB2312"/>
          <w:b w:val="0"/>
          <w:sz w:val="32"/>
          <w:lang w:val="en-US" w:eastAsia="zh-CN"/>
        </w:rPr>
        <w:t>资金</w:t>
      </w:r>
      <w:r>
        <w:rPr>
          <w:rFonts w:hint="eastAsia" w:ascii="仿宋_GB2312"/>
          <w:b w:val="0"/>
          <w:sz w:val="32"/>
          <w:lang w:val="en-US"/>
        </w:rPr>
        <w:t>投入及使用情况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b w:val="0"/>
          <w:sz w:val="32"/>
          <w:lang w:val="en-US" w:eastAsia="zh-CN"/>
        </w:rPr>
      </w:pPr>
      <w:r>
        <w:rPr>
          <w:rFonts w:hint="default" w:ascii="仿宋_GB2312"/>
          <w:b w:val="0"/>
          <w:sz w:val="32"/>
          <w:highlight w:val="none"/>
          <w:lang w:val="en-US" w:eastAsia="zh-CN"/>
        </w:rPr>
        <w:t>住建局2020年</w:t>
      </w:r>
      <w:r>
        <w:rPr>
          <w:rFonts w:hint="eastAsia" w:ascii="仿宋_GB2312"/>
          <w:b w:val="0"/>
          <w:sz w:val="32"/>
          <w:highlight w:val="none"/>
          <w:lang w:val="en-US" w:eastAsia="zh-CN"/>
        </w:rPr>
        <w:t>部门</w:t>
      </w:r>
      <w:r>
        <w:rPr>
          <w:rFonts w:hint="default" w:ascii="仿宋_GB2312"/>
          <w:b w:val="0"/>
          <w:sz w:val="32"/>
          <w:highlight w:val="none"/>
          <w:lang w:val="en-US" w:eastAsia="zh-CN"/>
        </w:rPr>
        <w:t>预算</w:t>
      </w:r>
      <w:r>
        <w:rPr>
          <w:rFonts w:hint="eastAsia" w:ascii="仿宋_GB2312"/>
          <w:b w:val="0"/>
          <w:sz w:val="32"/>
          <w:highlight w:val="none"/>
          <w:lang w:val="en-US" w:eastAsia="zh-CN"/>
        </w:rPr>
        <w:t>收入</w:t>
      </w:r>
      <w:r>
        <w:rPr>
          <w:rFonts w:hint="default" w:ascii="仿宋_GB2312"/>
          <w:b w:val="0"/>
          <w:sz w:val="32"/>
          <w:highlight w:val="none"/>
          <w:lang w:val="en-US" w:eastAsia="zh-CN"/>
        </w:rPr>
        <w:t>32</w:t>
      </w:r>
      <w:r>
        <w:rPr>
          <w:rFonts w:hint="eastAsia" w:ascii="仿宋_GB2312"/>
          <w:b w:val="0"/>
          <w:sz w:val="32"/>
          <w:highlight w:val="none"/>
          <w:lang w:val="en-US" w:eastAsia="zh-CN"/>
        </w:rPr>
        <w:t>3</w:t>
      </w:r>
      <w:r>
        <w:rPr>
          <w:rFonts w:hint="default" w:ascii="仿宋_GB2312"/>
          <w:b w:val="0"/>
          <w:sz w:val="32"/>
          <w:highlight w:val="none"/>
          <w:lang w:val="en-US" w:eastAsia="zh-CN"/>
        </w:rPr>
        <w:t>,3</w:t>
      </w:r>
      <w:r>
        <w:rPr>
          <w:rFonts w:hint="eastAsia" w:ascii="仿宋_GB2312"/>
          <w:b w:val="0"/>
          <w:sz w:val="32"/>
          <w:highlight w:val="none"/>
          <w:lang w:val="en-US" w:eastAsia="zh-CN"/>
        </w:rPr>
        <w:t>39</w:t>
      </w:r>
      <w:r>
        <w:rPr>
          <w:rFonts w:hint="default" w:ascii="仿宋_GB2312"/>
          <w:b w:val="0"/>
          <w:sz w:val="32"/>
          <w:highlight w:val="none"/>
          <w:lang w:val="en-US" w:eastAsia="zh-CN"/>
        </w:rPr>
        <w:t>.67万元，其中，财政拨款322,920.57万元</w:t>
      </w:r>
      <w:r>
        <w:rPr>
          <w:rFonts w:hint="eastAsia" w:ascii="仿宋_GB2312"/>
          <w:b w:val="0"/>
          <w:sz w:val="32"/>
          <w:highlight w:val="none"/>
          <w:lang w:val="en-US" w:eastAsia="zh-CN"/>
        </w:rPr>
        <w:t>，事业收入419.10万元</w:t>
      </w:r>
      <w:r>
        <w:rPr>
          <w:rFonts w:hint="default" w:ascii="仿宋_GB2312"/>
          <w:b w:val="0"/>
          <w:sz w:val="32"/>
          <w:highlight w:val="none"/>
          <w:lang w:val="en-US" w:eastAsia="zh-CN"/>
        </w:rPr>
        <w:t>。2020年部门</w:t>
      </w:r>
      <w:r>
        <w:rPr>
          <w:rFonts w:hint="eastAsia" w:ascii="仿宋_GB2312"/>
          <w:b w:val="0"/>
          <w:sz w:val="32"/>
          <w:highlight w:val="none"/>
          <w:lang w:val="en-US" w:eastAsia="zh-CN"/>
        </w:rPr>
        <w:t>预算支出</w:t>
      </w:r>
      <w:r>
        <w:rPr>
          <w:rFonts w:hint="default" w:ascii="仿宋_GB2312"/>
          <w:b w:val="0"/>
          <w:sz w:val="32"/>
          <w:highlight w:val="none"/>
          <w:lang w:val="en-US" w:eastAsia="zh-CN"/>
        </w:rPr>
        <w:t>32</w:t>
      </w:r>
      <w:r>
        <w:rPr>
          <w:rFonts w:hint="eastAsia" w:ascii="仿宋_GB2312"/>
          <w:b w:val="0"/>
          <w:sz w:val="32"/>
          <w:highlight w:val="none"/>
          <w:lang w:val="en-US" w:eastAsia="zh-CN"/>
        </w:rPr>
        <w:t>3</w:t>
      </w:r>
      <w:r>
        <w:rPr>
          <w:rFonts w:hint="default" w:ascii="仿宋_GB2312"/>
          <w:b w:val="0"/>
          <w:sz w:val="32"/>
          <w:highlight w:val="none"/>
          <w:lang w:val="en-US" w:eastAsia="zh-CN"/>
        </w:rPr>
        <w:t>,3</w:t>
      </w:r>
      <w:r>
        <w:rPr>
          <w:rFonts w:hint="eastAsia" w:ascii="仿宋_GB2312"/>
          <w:b w:val="0"/>
          <w:sz w:val="32"/>
          <w:highlight w:val="none"/>
          <w:lang w:val="en-US" w:eastAsia="zh-CN"/>
        </w:rPr>
        <w:t>39</w:t>
      </w:r>
      <w:r>
        <w:rPr>
          <w:rFonts w:hint="default" w:ascii="仿宋_GB2312"/>
          <w:b w:val="0"/>
          <w:sz w:val="32"/>
          <w:highlight w:val="none"/>
          <w:lang w:val="en-US" w:eastAsia="zh-CN"/>
        </w:rPr>
        <w:t>.67</w:t>
      </w:r>
      <w:r>
        <w:rPr>
          <w:rFonts w:hint="eastAsia" w:ascii="仿宋_GB2312"/>
          <w:b w:val="0"/>
          <w:sz w:val="32"/>
          <w:highlight w:val="none"/>
          <w:lang w:val="en-US" w:eastAsia="zh-CN"/>
        </w:rPr>
        <w:t>万元，</w:t>
      </w:r>
      <w:r>
        <w:rPr>
          <w:rFonts w:hint="default" w:ascii="仿宋_GB2312"/>
          <w:b w:val="0"/>
          <w:sz w:val="32"/>
          <w:highlight w:val="none"/>
          <w:lang w:val="en-US" w:eastAsia="zh-CN"/>
        </w:rPr>
        <w:t>其中，人员经费13,67</w:t>
      </w:r>
      <w:r>
        <w:rPr>
          <w:rFonts w:hint="eastAsia" w:ascii="仿宋_GB2312"/>
          <w:b w:val="0"/>
          <w:sz w:val="32"/>
          <w:highlight w:val="none"/>
          <w:lang w:val="en-US" w:eastAsia="zh-CN"/>
        </w:rPr>
        <w:t>4</w:t>
      </w:r>
      <w:r>
        <w:rPr>
          <w:rFonts w:hint="default" w:ascii="仿宋_GB2312"/>
          <w:b w:val="0"/>
          <w:sz w:val="32"/>
          <w:highlight w:val="none"/>
          <w:lang w:val="en-US" w:eastAsia="zh-CN"/>
        </w:rPr>
        <w:t>.</w:t>
      </w:r>
      <w:r>
        <w:rPr>
          <w:rFonts w:hint="eastAsia" w:ascii="仿宋_GB2312"/>
          <w:b w:val="0"/>
          <w:sz w:val="32"/>
          <w:highlight w:val="none"/>
          <w:lang w:val="en-US" w:eastAsia="zh-CN"/>
        </w:rPr>
        <w:t>40万元，公用经费44,053.53万元，专项资金265,611.74万元。</w:t>
      </w:r>
      <w:r>
        <w:rPr>
          <w:rFonts w:hint="default" w:ascii="仿宋_GB2312"/>
          <w:b w:val="0"/>
          <w:sz w:val="32"/>
          <w:highlight w:val="none"/>
          <w:lang w:val="en-US" w:eastAsia="zh-CN"/>
        </w:rPr>
        <w:t>部门调整</w:t>
      </w:r>
      <w:r>
        <w:rPr>
          <w:rFonts w:hint="eastAsia" w:ascii="仿宋_GB2312"/>
          <w:b w:val="0"/>
          <w:sz w:val="32"/>
          <w:highlight w:val="none"/>
          <w:lang w:val="en-US" w:eastAsia="zh-CN"/>
        </w:rPr>
        <w:t>后</w:t>
      </w:r>
      <w:r>
        <w:rPr>
          <w:rFonts w:hint="default" w:ascii="仿宋_GB2312"/>
          <w:b w:val="0"/>
          <w:sz w:val="32"/>
          <w:highlight w:val="none"/>
          <w:lang w:val="en-US" w:eastAsia="zh-CN"/>
        </w:rPr>
        <w:t>预算</w:t>
      </w:r>
      <w:r>
        <w:rPr>
          <w:rFonts w:hint="eastAsia" w:ascii="仿宋_GB2312"/>
          <w:b w:val="0"/>
          <w:sz w:val="32"/>
          <w:highlight w:val="none"/>
          <w:lang w:val="en-US" w:eastAsia="zh-CN"/>
        </w:rPr>
        <w:t>支出</w:t>
      </w:r>
      <w:r>
        <w:rPr>
          <w:rFonts w:hint="default" w:ascii="仿宋_GB2312"/>
          <w:b w:val="0"/>
          <w:sz w:val="32"/>
          <w:highlight w:val="none"/>
          <w:lang w:val="en-US" w:eastAsia="zh-CN"/>
        </w:rPr>
        <w:t>数477,929.56万元，决算执行数476,959.95万元。</w:t>
      </w:r>
    </w:p>
    <w:bookmarkEnd w:id="14"/>
    <w:p>
      <w:pPr>
        <w:pStyle w:val="6"/>
        <w:numPr>
          <w:ilvl w:val="0"/>
          <w:numId w:val="0"/>
        </w:numPr>
        <w:spacing w:line="560" w:lineRule="exact"/>
        <w:ind w:firstLine="643" w:firstLineChars="200"/>
        <w:outlineLvl w:val="1"/>
        <w:rPr>
          <w:rFonts w:hint="eastAsia" w:ascii="仿宋" w:hAnsi="仿宋" w:eastAsia="仿宋" w:cs="仿宋"/>
          <w:b/>
          <w:bCs w:val="0"/>
          <w:sz w:val="32"/>
          <w:lang w:val="en-US"/>
        </w:rPr>
      </w:pPr>
      <w:bookmarkStart w:id="15" w:name="_Toc26964729"/>
      <w:bookmarkStart w:id="16" w:name="_Toc22297"/>
      <w:r>
        <w:rPr>
          <w:rFonts w:hint="eastAsia" w:ascii="仿宋" w:hAnsi="仿宋" w:eastAsia="仿宋" w:cs="仿宋"/>
          <w:b/>
          <w:bCs w:val="0"/>
          <w:sz w:val="32"/>
          <w:lang w:val="en-US"/>
        </w:rPr>
        <w:t>（二）</w:t>
      </w:r>
      <w:bookmarkEnd w:id="15"/>
      <w:r>
        <w:rPr>
          <w:rFonts w:hint="eastAsia" w:ascii="仿宋" w:hAnsi="仿宋" w:eastAsia="仿宋" w:cs="仿宋"/>
          <w:b/>
          <w:bCs w:val="0"/>
          <w:sz w:val="32"/>
          <w:lang w:val="en-US"/>
        </w:rPr>
        <w:t>部门绩效目标</w:t>
      </w:r>
      <w:bookmarkEnd w:id="16"/>
    </w:p>
    <w:p>
      <w:pPr>
        <w:pStyle w:val="4"/>
      </w:pPr>
      <w:r>
        <w:rPr>
          <w:rFonts w:hint="eastAsia" w:ascii="仿宋_GB2312"/>
          <w:b w:val="0"/>
          <w:sz w:val="32"/>
          <w:lang w:val="en-US" w:eastAsia="zh-CN"/>
        </w:rPr>
        <w:t>全面贯彻党的十九大和十九届二中、三中、四中全会精神，深入落实习近平总书记对青岛工作的重要指示要求，按照中央决策部署和省、市工作要求，坚持“学深圳、赶深圳”，积极践行新发展理念，顺应人民群众对美好生活新期待，深入推进改革创新，加快重点工作攻坚，高效落实十五个攻势关键任务，统筹做好住建领域疫情防控和稳增长、促改革、调结构、惠民生、防风险、保稳定各项工作，推动住建事业高质量发展取得新突破，为青岛建设开放、现代、活力、时尚的国际大都市做出贡献。</w:t>
      </w:r>
    </w:p>
    <w:p>
      <w:pPr>
        <w:pStyle w:val="3"/>
        <w:numPr>
          <w:ilvl w:val="0"/>
          <w:numId w:val="0"/>
        </w:numPr>
        <w:spacing w:line="560" w:lineRule="exact"/>
        <w:ind w:firstLine="643" w:firstLineChars="200"/>
        <w:rPr>
          <w:rFonts w:hint="eastAsia" w:ascii="仿宋" w:hAnsi="仿宋" w:eastAsia="仿宋" w:cs="仿宋"/>
          <w:b/>
          <w:bCs w:val="0"/>
          <w:szCs w:val="32"/>
          <w:lang w:val="en-US"/>
        </w:rPr>
      </w:pPr>
      <w:bookmarkStart w:id="17" w:name="_Toc17232"/>
      <w:r>
        <w:rPr>
          <w:rFonts w:hint="eastAsia" w:ascii="仿宋" w:hAnsi="仿宋" w:eastAsia="仿宋" w:cs="仿宋"/>
          <w:b/>
          <w:bCs w:val="0"/>
          <w:szCs w:val="32"/>
          <w:lang w:val="en-US"/>
        </w:rPr>
        <w:t>二、评价实施情况</w:t>
      </w:r>
      <w:bookmarkEnd w:id="17"/>
      <w:bookmarkStart w:id="18" w:name="_Toc26964733"/>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仿宋"/>
          <w:b/>
          <w:bCs w:val="0"/>
          <w:szCs w:val="32"/>
          <w:lang w:val="en-US"/>
        </w:rPr>
      </w:pPr>
      <w:bookmarkStart w:id="19" w:name="_Toc4586"/>
      <w:r>
        <w:rPr>
          <w:rFonts w:hint="eastAsia" w:ascii="仿宋" w:hAnsi="仿宋" w:eastAsia="仿宋" w:cs="仿宋"/>
          <w:b/>
          <w:bCs w:val="0"/>
          <w:szCs w:val="32"/>
          <w:lang w:val="en-US"/>
        </w:rPr>
        <w:t>（一）评价目的</w:t>
      </w:r>
      <w:bookmarkEnd w:id="18"/>
      <w:r>
        <w:rPr>
          <w:rFonts w:hint="eastAsia" w:ascii="仿宋" w:hAnsi="仿宋" w:eastAsia="仿宋" w:cs="仿宋"/>
          <w:b/>
          <w:bCs w:val="0"/>
          <w:szCs w:val="32"/>
          <w:lang w:val="en-US"/>
        </w:rPr>
        <w:t>、对象和范围</w:t>
      </w:r>
      <w:bookmarkEnd w:id="19"/>
      <w:bookmarkStart w:id="20" w:name="_Toc26964736"/>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b w:val="0"/>
          <w:sz w:val="32"/>
          <w:lang w:val="en-US" w:eastAsia="zh-CN"/>
        </w:rPr>
      </w:pPr>
      <w:r>
        <w:rPr>
          <w:rFonts w:hint="eastAsia" w:ascii="仿宋_GB2312"/>
          <w:b w:val="0"/>
          <w:sz w:val="32"/>
          <w:lang w:val="en-US" w:eastAsia="zh-CN"/>
        </w:rPr>
        <w:t>1、评价目的</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b w:val="0"/>
          <w:sz w:val="32"/>
          <w:lang w:val="en-US" w:eastAsia="zh-CN"/>
        </w:rPr>
      </w:pPr>
      <w:r>
        <w:rPr>
          <w:rFonts w:hint="eastAsia"/>
          <w:sz w:val="32"/>
          <w:szCs w:val="32"/>
          <w:lang w:val="en-US"/>
        </w:rPr>
        <w:t>通过对20</w:t>
      </w:r>
      <w:r>
        <w:rPr>
          <w:rFonts w:hint="eastAsia"/>
          <w:sz w:val="32"/>
          <w:szCs w:val="32"/>
          <w:lang w:val="en-US" w:eastAsia="zh-CN"/>
        </w:rPr>
        <w:t>20</w:t>
      </w:r>
      <w:r>
        <w:rPr>
          <w:rFonts w:hint="eastAsia"/>
          <w:sz w:val="32"/>
          <w:szCs w:val="32"/>
          <w:lang w:val="en-US"/>
        </w:rPr>
        <w:t>年度青岛市住房和城乡建设局整体支出的投入、过程、产出和效果四个方面进行客观、公正的评价，总结</w:t>
      </w:r>
      <w:r>
        <w:rPr>
          <w:rFonts w:hint="eastAsia"/>
          <w:sz w:val="32"/>
          <w:szCs w:val="32"/>
          <w:lang w:val="en-US" w:eastAsia="zh-CN"/>
        </w:rPr>
        <w:t>部门整体支出</w:t>
      </w:r>
      <w:r>
        <w:rPr>
          <w:rFonts w:hint="eastAsia"/>
          <w:sz w:val="32"/>
          <w:szCs w:val="32"/>
          <w:lang w:val="en-US"/>
        </w:rPr>
        <w:t>过程中的经验，发现问题，提出改进</w:t>
      </w:r>
      <w:r>
        <w:rPr>
          <w:rFonts w:hint="eastAsia"/>
          <w:sz w:val="32"/>
          <w:szCs w:val="32"/>
          <w:lang w:val="en-US" w:eastAsia="zh-CN"/>
        </w:rPr>
        <w:t>部门整体支出</w:t>
      </w:r>
      <w:r>
        <w:rPr>
          <w:rFonts w:hint="eastAsia"/>
          <w:sz w:val="32"/>
          <w:szCs w:val="32"/>
          <w:lang w:val="en-US"/>
        </w:rPr>
        <w:t>投入、</w:t>
      </w:r>
      <w:r>
        <w:rPr>
          <w:rFonts w:hint="eastAsia"/>
          <w:sz w:val="32"/>
          <w:szCs w:val="32"/>
          <w:lang w:val="en-US" w:eastAsia="zh-CN"/>
        </w:rPr>
        <w:t>过程</w:t>
      </w:r>
      <w:r>
        <w:rPr>
          <w:rFonts w:hint="eastAsia"/>
          <w:sz w:val="32"/>
          <w:szCs w:val="32"/>
          <w:lang w:val="en-US"/>
        </w:rPr>
        <w:t>的具体建议，进一步加强</w:t>
      </w:r>
      <w:r>
        <w:rPr>
          <w:rFonts w:hint="eastAsia"/>
          <w:sz w:val="32"/>
          <w:szCs w:val="32"/>
          <w:lang w:val="en-US" w:eastAsia="zh-CN"/>
        </w:rPr>
        <w:t>对部门整体支出的</w:t>
      </w:r>
      <w:r>
        <w:rPr>
          <w:rFonts w:hint="eastAsia"/>
          <w:sz w:val="32"/>
          <w:szCs w:val="32"/>
          <w:lang w:val="en-US"/>
        </w:rPr>
        <w:t>管理，提高财政资金的使用效益，为下一步预算资金安排提供重要参考。</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b w:val="0"/>
          <w:sz w:val="32"/>
          <w:lang w:val="en-US" w:eastAsia="zh-CN"/>
        </w:rPr>
      </w:pPr>
      <w:r>
        <w:rPr>
          <w:rFonts w:hint="eastAsia" w:ascii="仿宋_GB2312"/>
          <w:b w:val="0"/>
          <w:sz w:val="32"/>
          <w:lang w:val="en-US" w:eastAsia="zh-CN"/>
        </w:rPr>
        <w:t>2、评价对象和范围</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b w:val="0"/>
          <w:sz w:val="32"/>
          <w:lang w:val="en-US" w:eastAsia="zh-CN"/>
        </w:rPr>
      </w:pPr>
      <w:r>
        <w:rPr>
          <w:rFonts w:hint="default" w:ascii="仿宋_GB2312"/>
          <w:b w:val="0"/>
          <w:sz w:val="32"/>
          <w:lang w:val="en-US" w:eastAsia="zh-CN"/>
        </w:rPr>
        <w:t>（1）评价对象：20</w:t>
      </w:r>
      <w:r>
        <w:rPr>
          <w:rFonts w:hint="eastAsia" w:ascii="仿宋_GB2312"/>
          <w:b w:val="0"/>
          <w:sz w:val="32"/>
          <w:lang w:val="en-US" w:eastAsia="zh-CN"/>
        </w:rPr>
        <w:t>20</w:t>
      </w:r>
      <w:r>
        <w:rPr>
          <w:rFonts w:hint="default" w:ascii="仿宋_GB2312"/>
          <w:b w:val="0"/>
          <w:sz w:val="32"/>
          <w:lang w:val="en-US" w:eastAsia="zh-CN"/>
        </w:rPr>
        <w:t>年度青岛市住房和城乡建设局绩效目标的完成情况以及整体支出资金的使用情况。</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b w:val="0"/>
          <w:sz w:val="32"/>
          <w:highlight w:val="none"/>
          <w:lang w:val="en-US" w:eastAsia="zh-CN"/>
        </w:rPr>
      </w:pPr>
      <w:r>
        <w:rPr>
          <w:rFonts w:hint="default" w:ascii="仿宋_GB2312"/>
          <w:b w:val="0"/>
          <w:sz w:val="32"/>
          <w:lang w:val="en-US" w:eastAsia="zh-CN"/>
        </w:rPr>
        <w:t>（2）资金范围：</w:t>
      </w:r>
      <w:r>
        <w:rPr>
          <w:rFonts w:hint="default" w:ascii="仿宋_GB2312"/>
          <w:b w:val="0"/>
          <w:sz w:val="32"/>
          <w:highlight w:val="none"/>
          <w:lang w:val="en-US" w:eastAsia="zh-CN"/>
        </w:rPr>
        <w:t>20</w:t>
      </w:r>
      <w:r>
        <w:rPr>
          <w:rFonts w:hint="eastAsia" w:ascii="仿宋_GB2312"/>
          <w:b w:val="0"/>
          <w:sz w:val="32"/>
          <w:highlight w:val="none"/>
          <w:lang w:val="en-US" w:eastAsia="zh-CN"/>
        </w:rPr>
        <w:t>20</w:t>
      </w:r>
      <w:r>
        <w:rPr>
          <w:rFonts w:hint="default" w:ascii="仿宋_GB2312"/>
          <w:b w:val="0"/>
          <w:sz w:val="32"/>
          <w:highlight w:val="none"/>
          <w:lang w:val="en-US" w:eastAsia="zh-CN"/>
        </w:rPr>
        <w:t>年度青岛市住房和城乡建设局整体支出资金477,929.56万元，其中涉及基本支出</w:t>
      </w:r>
      <w:r>
        <w:rPr>
          <w:rFonts w:hint="eastAsia" w:ascii="仿宋_GB2312"/>
          <w:b w:val="0"/>
          <w:sz w:val="32"/>
          <w:highlight w:val="none"/>
          <w:lang w:val="en-US" w:eastAsia="zh-CN"/>
        </w:rPr>
        <w:t>26,009.90</w:t>
      </w:r>
      <w:r>
        <w:rPr>
          <w:rFonts w:hint="default" w:ascii="仿宋_GB2312"/>
          <w:b w:val="0"/>
          <w:sz w:val="32"/>
          <w:highlight w:val="none"/>
          <w:lang w:val="en-US" w:eastAsia="zh-CN"/>
        </w:rPr>
        <w:t>万元，项目支出</w:t>
      </w:r>
      <w:r>
        <w:rPr>
          <w:rFonts w:hint="eastAsia" w:ascii="仿宋_GB2312"/>
          <w:b w:val="0"/>
          <w:sz w:val="32"/>
          <w:highlight w:val="none"/>
          <w:lang w:val="en-US" w:eastAsia="zh-CN"/>
        </w:rPr>
        <w:t>451,919.66</w:t>
      </w:r>
      <w:r>
        <w:rPr>
          <w:rFonts w:hint="default" w:ascii="仿宋_GB2312"/>
          <w:b w:val="0"/>
          <w:sz w:val="32"/>
          <w:highlight w:val="none"/>
          <w:lang w:val="en-US" w:eastAsia="zh-CN"/>
        </w:rPr>
        <w:t>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仿宋"/>
          <w:b/>
          <w:bCs w:val="0"/>
          <w:szCs w:val="32"/>
          <w:lang w:val="en-US"/>
        </w:rPr>
      </w:pPr>
      <w:bookmarkStart w:id="21" w:name="_Toc31757"/>
      <w:r>
        <w:rPr>
          <w:rFonts w:hint="eastAsia" w:ascii="仿宋" w:hAnsi="仿宋" w:eastAsia="仿宋" w:cs="仿宋"/>
          <w:b/>
          <w:bCs w:val="0"/>
          <w:szCs w:val="32"/>
          <w:lang w:val="en-US"/>
        </w:rPr>
        <w:t>（二）评价依据、方法、标准、指标体系</w:t>
      </w:r>
      <w:bookmarkEnd w:id="20"/>
      <w:bookmarkEnd w:id="21"/>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1、评价依据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（1）《中共中央 国务院关于全面实施预算绩效管理的意见》（中发〔2018〕34号）；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（2）财政部《关于贯彻落实&lt;中共中央 国务院关于全面实施预算绩效管理的意见&gt;的通知》（财预〔2018〕167号）；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（3）《中共山东省委 山东省人民政府关于全面推进预算绩效管理的实施意见》（鲁发〔2019〕2号）；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（4）《关于深化预算管理改革全面推进预算绩效管理的实施意见》（青发〔2019〕6号）；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（5）《市级财政绩效评价操作指南》（青财绩〔2020〕6号）;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（6）《关于印发&lt;2021年度青岛市市级预算部门整体支出绩效管理实施方案&gt;通知》（青财绩〔2021〕2号）。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2、评价方法</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lang w:val="en-US" w:eastAsia="zh-CN"/>
        </w:rPr>
      </w:pPr>
      <w:r>
        <w:rPr>
          <w:rFonts w:hint="default" w:ascii="仿宋_GB2312" w:hAnsi="Times New Roman" w:cs="Times New Roman"/>
          <w:b w:val="0"/>
          <w:sz w:val="32"/>
          <w:lang w:val="en-US" w:eastAsia="zh-CN"/>
        </w:rPr>
        <w:t>评价方法：对</w:t>
      </w:r>
      <w:r>
        <w:rPr>
          <w:rFonts w:hint="eastAsia" w:ascii="仿宋_GB2312" w:cs="Times New Roman"/>
          <w:b w:val="0"/>
          <w:sz w:val="32"/>
          <w:lang w:val="en-US" w:eastAsia="zh-CN"/>
        </w:rPr>
        <w:t>“</w:t>
      </w:r>
      <w:r>
        <w:rPr>
          <w:rFonts w:hint="eastAsia" w:ascii="仿宋_GB2312" w:hAnsi="Times New Roman" w:cs="Times New Roman"/>
          <w:b w:val="0"/>
          <w:sz w:val="32"/>
          <w:lang w:val="en-US" w:eastAsia="zh-CN"/>
        </w:rPr>
        <w:t>2020</w:t>
      </w:r>
      <w:r>
        <w:rPr>
          <w:rFonts w:hint="default" w:ascii="仿宋_GB2312" w:hAnsi="Times New Roman" w:cs="Times New Roman"/>
          <w:b w:val="0"/>
          <w:sz w:val="32"/>
          <w:lang w:val="en-US" w:eastAsia="zh-CN"/>
        </w:rPr>
        <w:t>年度青岛市住房和城乡建设局整体支出</w:t>
      </w:r>
      <w:r>
        <w:rPr>
          <w:rFonts w:hint="eastAsia" w:ascii="仿宋_GB2312" w:cs="Times New Roman"/>
          <w:b w:val="0"/>
          <w:sz w:val="32"/>
          <w:lang w:val="en-US" w:eastAsia="zh-CN"/>
        </w:rPr>
        <w:t>”</w:t>
      </w:r>
      <w:r>
        <w:rPr>
          <w:rFonts w:hint="default" w:ascii="仿宋_GB2312" w:hAnsi="Times New Roman" w:cs="Times New Roman"/>
          <w:b w:val="0"/>
          <w:sz w:val="32"/>
          <w:lang w:val="en-US" w:eastAsia="zh-CN"/>
        </w:rPr>
        <w:t>的绩效评价主要采用比较法、成本效益分析法、因素分析法的综合判断法。</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sz w:val="32"/>
          <w:szCs w:val="32"/>
          <w:lang w:val="en-US"/>
        </w:rPr>
        <w:t>评价方式主要包括：</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sz w:val="32"/>
          <w:szCs w:val="32"/>
          <w:lang w:val="en-US" w:eastAsia="zh-CN"/>
        </w:rPr>
        <w:t>（1）</w:t>
      </w:r>
      <w:r>
        <w:rPr>
          <w:rFonts w:hint="eastAsia"/>
          <w:sz w:val="32"/>
          <w:szCs w:val="32"/>
          <w:lang w:val="en-US"/>
        </w:rPr>
        <w:t>查阅资料</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sz w:val="32"/>
          <w:szCs w:val="32"/>
          <w:lang w:val="en-US"/>
        </w:rPr>
        <w:t>包括市财政局、青岛市住房和城乡建设局涉及</w:t>
      </w:r>
      <w:r>
        <w:rPr>
          <w:rFonts w:hint="eastAsia"/>
          <w:sz w:val="32"/>
          <w:szCs w:val="32"/>
          <w:lang w:val="en-US" w:eastAsia="zh-CN"/>
        </w:rPr>
        <w:t>整体支出</w:t>
      </w:r>
      <w:r>
        <w:rPr>
          <w:rFonts w:hint="eastAsia"/>
          <w:sz w:val="32"/>
          <w:szCs w:val="32"/>
          <w:lang w:val="en-US"/>
        </w:rPr>
        <w:t>的自评资料、</w:t>
      </w:r>
      <w:r>
        <w:rPr>
          <w:rFonts w:hint="eastAsia"/>
          <w:sz w:val="32"/>
          <w:szCs w:val="32"/>
          <w:lang w:val="en-US" w:eastAsia="zh-CN"/>
        </w:rPr>
        <w:t>预决算资料</w:t>
      </w:r>
      <w:r>
        <w:rPr>
          <w:rFonts w:hint="eastAsia"/>
          <w:sz w:val="32"/>
          <w:szCs w:val="32"/>
          <w:lang w:val="en-US"/>
        </w:rPr>
        <w:t>、</w:t>
      </w:r>
      <w:r>
        <w:rPr>
          <w:rFonts w:hint="eastAsia"/>
          <w:sz w:val="32"/>
          <w:szCs w:val="32"/>
          <w:lang w:val="en-US" w:eastAsia="zh-CN"/>
        </w:rPr>
        <w:t>制度</w:t>
      </w:r>
      <w:r>
        <w:rPr>
          <w:rFonts w:hint="eastAsia"/>
          <w:sz w:val="32"/>
          <w:szCs w:val="32"/>
          <w:lang w:val="en-US"/>
        </w:rPr>
        <w:t>文件等相关资料。</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sz w:val="32"/>
          <w:szCs w:val="32"/>
          <w:lang w:val="en-US" w:eastAsia="zh-CN"/>
        </w:rPr>
        <w:t>（2）</w:t>
      </w:r>
      <w:r>
        <w:rPr>
          <w:rFonts w:hint="eastAsia"/>
          <w:sz w:val="32"/>
          <w:szCs w:val="32"/>
          <w:lang w:val="en-US"/>
        </w:rPr>
        <w:t>现场检查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sz w:val="32"/>
          <w:szCs w:val="32"/>
          <w:lang w:val="en-US"/>
        </w:rPr>
        <w:t>到现场采取询问、观察、检查、复核等方式对评价</w:t>
      </w:r>
      <w:r>
        <w:rPr>
          <w:rFonts w:hint="eastAsia"/>
          <w:sz w:val="32"/>
          <w:szCs w:val="32"/>
          <w:lang w:val="en-US" w:eastAsia="zh-CN"/>
        </w:rPr>
        <w:t>部门整体支出</w:t>
      </w:r>
      <w:r>
        <w:rPr>
          <w:rFonts w:hint="eastAsia"/>
          <w:sz w:val="32"/>
          <w:szCs w:val="32"/>
          <w:lang w:val="en-US"/>
        </w:rPr>
        <w:t>的有关情况进行核实，对收集的资料进行整理和科学的分析。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sz w:val="32"/>
          <w:szCs w:val="32"/>
          <w:lang w:val="en-US" w:eastAsia="zh-CN"/>
        </w:rPr>
        <w:t>（3）</w:t>
      </w:r>
      <w:r>
        <w:rPr>
          <w:rFonts w:hint="eastAsia"/>
          <w:sz w:val="32"/>
          <w:szCs w:val="32"/>
          <w:lang w:val="en-US"/>
        </w:rPr>
        <w:t>满意度调查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lang w:val="en-US" w:eastAsia="zh-CN"/>
        </w:rPr>
      </w:pPr>
      <w:r>
        <w:rPr>
          <w:rFonts w:hint="eastAsia"/>
          <w:sz w:val="32"/>
          <w:szCs w:val="32"/>
          <w:highlight w:val="none"/>
          <w:lang w:val="en-US"/>
        </w:rPr>
        <w:t>通过对相关人员以调查问卷形式进行调查，统计满意度。</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s="Times New Roman"/>
          <w:b w:val="0"/>
          <w:sz w:val="32"/>
          <w:lang w:val="en-US" w:eastAsia="zh-CN"/>
        </w:rPr>
      </w:pPr>
      <w:r>
        <w:rPr>
          <w:rFonts w:hint="eastAsia" w:ascii="仿宋_GB2312" w:cs="Times New Roman"/>
          <w:b w:val="0"/>
          <w:sz w:val="32"/>
          <w:lang w:val="en-US" w:eastAsia="zh-CN"/>
        </w:rPr>
        <w:t>3、评价标准及指标体系</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ascii="仿宋_GB2312" w:cs="Times New Roman"/>
          <w:b w:val="0"/>
          <w:sz w:val="32"/>
          <w:lang w:val="en-US" w:eastAsia="zh-CN"/>
        </w:rPr>
        <w:t>（1）</w:t>
      </w:r>
      <w:r>
        <w:rPr>
          <w:rFonts w:hint="eastAsia"/>
          <w:sz w:val="32"/>
          <w:szCs w:val="32"/>
          <w:lang w:val="en-US"/>
        </w:rPr>
        <w:t>指标体系设计的整体思路</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s="Times New Roman"/>
          <w:b w:val="0"/>
          <w:sz w:val="32"/>
          <w:highlight w:val="yellow"/>
          <w:lang w:val="en-US" w:eastAsia="zh-CN"/>
        </w:rPr>
      </w:pPr>
      <w:r>
        <w:rPr>
          <w:rFonts w:hint="eastAsia"/>
          <w:sz w:val="32"/>
          <w:szCs w:val="32"/>
          <w:lang w:val="en-US" w:eastAsia="zh-CN"/>
        </w:rPr>
        <w:t>评价指标是指衡量绩效目标实现程度的考核工具。指标体系的制定以《关于印发&lt;预算绩效评价共性指标体系框架&gt;的通知》（财预</w:t>
      </w:r>
      <w:r>
        <w:rPr>
          <w:rFonts w:hint="eastAsia" w:ascii="仿宋_GB2312" w:hAnsi="Times New Roman" w:cs="Times New Roman"/>
          <w:b w:val="0"/>
          <w:sz w:val="32"/>
          <w:lang w:val="en-US" w:eastAsia="zh-CN"/>
        </w:rPr>
        <w:t>〔2013〕53号</w:t>
      </w:r>
      <w:r>
        <w:rPr>
          <w:rFonts w:hint="eastAsia"/>
          <w:sz w:val="32"/>
          <w:szCs w:val="32"/>
          <w:lang w:val="en-US" w:eastAsia="zh-CN"/>
        </w:rPr>
        <w:t>）、《财政部关于印发〈财政支出绩效评价管</w:t>
      </w:r>
      <w:r>
        <w:rPr>
          <w:rFonts w:hint="eastAsia" w:ascii="仿宋_GB2312" w:hAnsi="Times New Roman" w:cs="Times New Roman"/>
          <w:b w:val="0"/>
          <w:sz w:val="32"/>
          <w:lang w:val="en-US" w:eastAsia="zh-CN"/>
        </w:rPr>
        <w:t>理暂行办法〉的通知》(财预〔2011〕285号)、《中共中央 国务院关于全面实施预算绩效管理的意见》（中发〔2018〕34号）</w:t>
      </w:r>
      <w:r>
        <w:rPr>
          <w:rFonts w:hint="eastAsia" w:ascii="仿宋_GB2312" w:cs="Times New Roman"/>
          <w:b w:val="0"/>
          <w:sz w:val="32"/>
          <w:lang w:val="en-US" w:eastAsia="zh-CN"/>
        </w:rPr>
        <w:t>、《市级财政绩效评价操作指南》（青财绩〔2020〕6号）</w:t>
      </w:r>
      <w:r>
        <w:rPr>
          <w:rFonts w:hint="eastAsia" w:ascii="仿宋_GB2312" w:hAnsi="Times New Roman" w:cs="Times New Roman"/>
          <w:b w:val="0"/>
          <w:sz w:val="32"/>
          <w:lang w:val="en-US" w:eastAsia="zh-CN"/>
        </w:rPr>
        <w:t>等相关文件为依据，结合“20</w:t>
      </w:r>
      <w:r>
        <w:rPr>
          <w:rFonts w:hint="eastAsia" w:ascii="仿宋_GB2312" w:cs="Times New Roman"/>
          <w:b w:val="0"/>
          <w:sz w:val="32"/>
          <w:lang w:val="en-US" w:eastAsia="zh-CN"/>
        </w:rPr>
        <w:t>20</w:t>
      </w:r>
      <w:r>
        <w:rPr>
          <w:rFonts w:hint="eastAsia" w:ascii="仿宋_GB2312" w:hAnsi="Times New Roman" w:cs="Times New Roman"/>
          <w:b w:val="0"/>
          <w:sz w:val="32"/>
          <w:lang w:val="en-US" w:eastAsia="zh-CN"/>
        </w:rPr>
        <w:t>年度青岛市住房和城乡建设局整体支出”绩效评价的特点，</w:t>
      </w:r>
      <w:r>
        <w:rPr>
          <w:rFonts w:hint="eastAsia"/>
          <w:sz w:val="32"/>
          <w:szCs w:val="32"/>
          <w:lang w:val="en-US" w:eastAsia="zh-CN"/>
        </w:rPr>
        <w:t>我们运用相关性、重要性、可比性、系统性、经济性原则，制定了</w:t>
      </w:r>
      <w:r>
        <w:rPr>
          <w:rFonts w:hint="eastAsia" w:ascii="仿宋_GB2312" w:hAnsi="Times New Roman" w:cs="Times New Roman"/>
          <w:b w:val="0"/>
          <w:sz w:val="32"/>
          <w:lang w:val="en-US" w:eastAsia="zh-CN"/>
        </w:rPr>
        <w:t>《20</w:t>
      </w:r>
      <w:r>
        <w:rPr>
          <w:rFonts w:hint="eastAsia" w:ascii="仿宋_GB2312" w:cs="Times New Roman"/>
          <w:b w:val="0"/>
          <w:sz w:val="32"/>
          <w:lang w:val="en-US" w:eastAsia="zh-CN"/>
        </w:rPr>
        <w:t>20</w:t>
      </w:r>
      <w:r>
        <w:rPr>
          <w:rFonts w:hint="eastAsia" w:ascii="仿宋_GB2312" w:hAnsi="Times New Roman" w:cs="Times New Roman"/>
          <w:b w:val="0"/>
          <w:sz w:val="32"/>
          <w:lang w:val="en-US" w:eastAsia="zh-CN"/>
        </w:rPr>
        <w:t>年度青岛市住房和城乡建设局整体支出绩效评价指标体系》，评价内容包括部门整体</w:t>
      </w:r>
      <w:r>
        <w:rPr>
          <w:rFonts w:hint="eastAsia"/>
          <w:sz w:val="32"/>
          <w:szCs w:val="32"/>
          <w:lang w:val="en-US" w:eastAsia="zh-CN"/>
        </w:rPr>
        <w:t>支出的投入、过程、产出和</w:t>
      </w:r>
      <w:r>
        <w:rPr>
          <w:rFonts w:hint="eastAsia" w:ascii="仿宋_GB2312" w:hAnsi="Times New Roman" w:cs="Times New Roman"/>
          <w:b w:val="0"/>
          <w:sz w:val="32"/>
          <w:lang w:val="en-US" w:eastAsia="zh-CN"/>
        </w:rPr>
        <w:t>效果四个方</w:t>
      </w:r>
      <w:r>
        <w:rPr>
          <w:rFonts w:hint="eastAsia"/>
          <w:sz w:val="32"/>
          <w:szCs w:val="32"/>
          <w:lang w:val="en-US" w:eastAsia="zh-CN"/>
        </w:rPr>
        <w:t>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2、指标体系</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rPr>
      </w:pPr>
      <w:r>
        <w:rPr>
          <w:rFonts w:hint="eastAsia" w:ascii="仿宋_GB2312" w:hAnsi="Times New Roman" w:cs="Times New Roman"/>
          <w:b w:val="0"/>
          <w:sz w:val="32"/>
          <w:lang w:val="en-US" w:eastAsia="zh-CN"/>
        </w:rPr>
        <w:t>20</w:t>
      </w:r>
      <w:r>
        <w:rPr>
          <w:rFonts w:hint="eastAsia" w:ascii="仿宋_GB2312" w:cs="Times New Roman"/>
          <w:b w:val="0"/>
          <w:sz w:val="32"/>
          <w:lang w:val="en-US" w:eastAsia="zh-CN"/>
        </w:rPr>
        <w:t>20</w:t>
      </w:r>
      <w:r>
        <w:rPr>
          <w:rFonts w:hint="eastAsia" w:ascii="仿宋_GB2312" w:hAnsi="Times New Roman" w:cs="Times New Roman"/>
          <w:b w:val="0"/>
          <w:sz w:val="32"/>
          <w:lang w:val="en-US" w:eastAsia="zh-CN"/>
        </w:rPr>
        <w:t>年度青岛市住房和城乡建设局整体支出绩效评价指标体系分为投入指标、过程指标、产出指标和效果指标四个方面具体如下表：</w:t>
      </w:r>
    </w:p>
    <w:tbl>
      <w:tblPr>
        <w:tblStyle w:val="21"/>
        <w:tblW w:w="0" w:type="auto"/>
        <w:tblInd w:w="96" w:type="dxa"/>
        <w:shd w:val="clear" w:color="auto" w:fill="auto"/>
        <w:tblLayout w:type="autofit"/>
        <w:tblCellMar>
          <w:top w:w="0" w:type="dxa"/>
          <w:left w:w="108" w:type="dxa"/>
          <w:bottom w:w="0" w:type="dxa"/>
          <w:right w:w="108" w:type="dxa"/>
        </w:tblCellMar>
      </w:tblPr>
      <w:tblGrid>
        <w:gridCol w:w="1159"/>
        <w:gridCol w:w="1248"/>
        <w:gridCol w:w="2244"/>
        <w:gridCol w:w="3175"/>
        <w:gridCol w:w="600"/>
      </w:tblGrid>
      <w:tr>
        <w:tblPrEx>
          <w:shd w:val="clear" w:color="auto" w:fill="auto"/>
          <w:tblCellMar>
            <w:top w:w="0" w:type="dxa"/>
            <w:left w:w="108" w:type="dxa"/>
            <w:bottom w:w="0" w:type="dxa"/>
            <w:right w:w="108" w:type="dxa"/>
          </w:tblCellMar>
        </w:tblPrEx>
        <w:trPr>
          <w:trHeight w:val="890" w:hRule="atLeast"/>
          <w:tblHeader/>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指标</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权重</w:t>
            </w:r>
          </w:p>
        </w:tc>
      </w:tr>
      <w:tr>
        <w:tblPrEx>
          <w:shd w:val="clear" w:color="auto" w:fill="auto"/>
          <w:tblCellMar>
            <w:top w:w="0" w:type="dxa"/>
            <w:left w:w="108" w:type="dxa"/>
            <w:bottom w:w="0" w:type="dxa"/>
            <w:right w:w="108" w:type="dxa"/>
          </w:tblCellMar>
        </w:tblPrEx>
        <w:trPr>
          <w:trHeight w:val="340" w:hRule="atLeast"/>
          <w:tblHeader/>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投入（10分）</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目标设定（5）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绩效目标合理性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绩效指标明确性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预算编制（5）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预算编制合理性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决策程序规范性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过   程（30分）</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预算执行（15）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预算调整情况</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支付进度率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上年结转资金执行率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“三公经费”变动情况</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政府采购执行率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预算管理（9）</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管理制度健全性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资金使用合规性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预决算信息公开性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基础信息完善性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资产管理（6）</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固定资产利用率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资产管理规范性</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340" w:hRule="atLeast"/>
          <w:tblHeader/>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   出（30分）</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职责履行（30）</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加强惠民改造工程建设实际完成率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加快市政基础设施建设实际完成率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加大住房保障力度实际完成率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提升物业管理服务水平实际完成率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加强供热、燃气配套保障实际完成率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改善农村居民居住条件实际完成率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新增公共停车泊位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完成及时率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加强惠民改造工程建设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加快市政基础设施建设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加大住房保障力度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提升物业管理服务水平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加强供热、燃气配套保障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改善农村居民居住条件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新增公共停车泊位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质量达标率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加强惠民改造工程建设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加大住房保障力度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提升物业管理服务水平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加强供热、燃气配套保障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改善农村居民居住条件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加强建设工地扬尘治理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促进房地产市场平稳健康发展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重点工作办结率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重点工作详见附件3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r>
      <w:tr>
        <w:tblPrEx>
          <w:shd w:val="clear" w:color="auto" w:fill="auto"/>
          <w:tblCellMar>
            <w:top w:w="0" w:type="dxa"/>
            <w:left w:w="108" w:type="dxa"/>
            <w:bottom w:w="0" w:type="dxa"/>
            <w:right w:w="108" w:type="dxa"/>
          </w:tblCellMar>
        </w:tblPrEx>
        <w:trPr>
          <w:trHeight w:val="340" w:hRule="atLeast"/>
          <w:tblHeader/>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spacing w:after="200" w:afterAutospacing="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   果（30分）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履职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效益（30）</w:t>
            </w:r>
          </w:p>
        </w:tc>
        <w:tc>
          <w:tcPr>
            <w:tcW w:w="22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经济效益</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盘活企业资金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新增资质建筑业企业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引进央企建筑企业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加强惠民改造工程建设，提高居民生活质量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启动工程建设项目，缓解交通压力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扩大住房保障范围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改善农村居住条件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新增公共停车泊位，缓解停车压力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行政效能</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改进工作方法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上级部门考核情况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tblPrEx>
          <w:shd w:val="clear" w:color="auto" w:fill="auto"/>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可持续效益</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发展机制可持续性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340" w:hRule="atLeast"/>
          <w:tblHeader/>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社会公众、其他部门（单位）或服务对象满意度</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340" w:hRule="atLeast"/>
          <w:tblHead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20</w:t>
      </w:r>
      <w:r>
        <w:rPr>
          <w:rFonts w:hint="eastAsia" w:ascii="仿宋_GB2312" w:cs="Times New Roman"/>
          <w:b w:val="0"/>
          <w:sz w:val="32"/>
          <w:lang w:val="en-US" w:eastAsia="zh-CN"/>
        </w:rPr>
        <w:t>20</w:t>
      </w:r>
      <w:r>
        <w:rPr>
          <w:rFonts w:hint="eastAsia" w:ascii="仿宋_GB2312" w:hAnsi="Times New Roman" w:cs="Times New Roman"/>
          <w:b w:val="0"/>
          <w:sz w:val="32"/>
          <w:lang w:val="en-US" w:eastAsia="zh-CN"/>
        </w:rPr>
        <w:t>年度青岛市住房和城乡建设局整体支出绩效评价一级指标评定标准如下：</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（1）投入（一级指标）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①绩效目标合理性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评价标准：是否符合国家法律法规、国民经济和社会发展总体规划；是否符合部门“三定”方案确定的职责；是否符合部门制定的中长期实施规划；是否符合市委市政府的决策部署和工作要求。</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②绩效指标明确性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评价标准：是否将部门整体的绩效目标细化分解为具体的工作任务；是否通过清晰、可衡量的指标值予以体现。是否与部门年度的任务数或计划数相对应；是否与本年度部门预算资金相匹配。</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③预算编制合理性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评价标准：预算编制经过科学论证；预算内容与部门绩效目标匹配；预算额度测算依据充分，按照标准编制；预算确定的项目投资额或资金量与工作任务相匹配。</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④决策程序规范性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评价标准：对需要进行评审的项目，是否按程序组织预算评审；是否经过部门（单位）党组会或局长办公会集体研究决策。</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（2）过程（一级指标）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①预算执行率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yellow"/>
          <w:lang w:val="en-US" w:eastAsia="zh-CN"/>
        </w:rPr>
      </w:pPr>
      <w:r>
        <w:rPr>
          <w:rFonts w:hint="eastAsia" w:ascii="仿宋_GB2312" w:hAnsi="Times New Roman" w:cs="Times New Roman"/>
          <w:b w:val="0"/>
          <w:sz w:val="32"/>
          <w:highlight w:val="none"/>
          <w:lang w:val="en-US" w:eastAsia="zh-CN"/>
        </w:rPr>
        <w:t>评价标准：预算执行率=（预算执行数/调整后预算数）×100%。</w:t>
      </w:r>
      <w:r>
        <w:rPr>
          <w:rFonts w:hint="eastAsia" w:ascii="仿宋_GB2312" w:cs="Times New Roman"/>
          <w:b w:val="0"/>
          <w:sz w:val="32"/>
          <w:highlight w:val="none"/>
          <w:lang w:val="en-US" w:eastAsia="zh-CN"/>
        </w:rPr>
        <w:t>预算执行率达100%，则得满分，每降低1%扣5%权重分，扣完为止。</w:t>
      </w:r>
      <w:r>
        <w:rPr>
          <w:rFonts w:hint="eastAsia" w:ascii="仿宋_GB2312" w:hAnsi="Times New Roman" w:cs="Times New Roman"/>
          <w:b w:val="0"/>
          <w:sz w:val="32"/>
          <w:highlight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②预算调整情况</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yellow"/>
          <w:lang w:val="en-US" w:eastAsia="zh-CN"/>
        </w:rPr>
      </w:pPr>
      <w:r>
        <w:rPr>
          <w:rFonts w:hint="eastAsia" w:ascii="仿宋_GB2312" w:hAnsi="Times New Roman" w:cs="Times New Roman"/>
          <w:b w:val="0"/>
          <w:sz w:val="32"/>
          <w:highlight w:val="none"/>
          <w:lang w:val="en-US" w:eastAsia="zh-CN"/>
        </w:rPr>
        <w:t>评价标准：部门（单位）本年度预算执行过程中，是否存在未经批准擅自调整预算支出内容的情况。</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③支付进度率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highlight w:val="yellow"/>
          <w:lang w:val="en-US" w:eastAsia="zh-CN"/>
        </w:rPr>
      </w:pPr>
      <w:r>
        <w:rPr>
          <w:rFonts w:hint="eastAsia" w:ascii="仿宋_GB2312" w:hAnsi="Times New Roman" w:cs="Times New Roman"/>
          <w:b w:val="0"/>
          <w:sz w:val="32"/>
          <w:highlight w:val="none"/>
          <w:lang w:val="en-US" w:eastAsia="zh-CN"/>
        </w:rPr>
        <w:t>评价标准：支付进度率=（实际支付进度/既定支付进度）×100%。</w:t>
      </w:r>
      <w:r>
        <w:rPr>
          <w:rFonts w:hint="eastAsia" w:ascii="仿宋_GB2312" w:cs="Times New Roman"/>
          <w:b w:val="0"/>
          <w:sz w:val="32"/>
          <w:highlight w:val="none"/>
          <w:lang w:val="en-US" w:eastAsia="zh-CN"/>
        </w:rPr>
        <w:t>支付进度率达100%，则得满分，每降低1%扣5%权重分，扣完为止。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④上年结转资金执行率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highlight w:val="yellow"/>
          <w:lang w:val="en-US" w:eastAsia="zh-CN"/>
        </w:rPr>
      </w:pPr>
      <w:r>
        <w:rPr>
          <w:rFonts w:hint="eastAsia" w:ascii="仿宋_GB2312" w:hAnsi="Times New Roman" w:cs="Times New Roman"/>
          <w:b w:val="0"/>
          <w:sz w:val="32"/>
          <w:highlight w:val="none"/>
          <w:lang w:val="en-US" w:eastAsia="zh-CN"/>
        </w:rPr>
        <w:t>评价标准：上年结转资金执行率=结转执行数/结转总额×100%。</w:t>
      </w:r>
      <w:r>
        <w:rPr>
          <w:rFonts w:hint="eastAsia" w:ascii="仿宋_GB2312" w:cs="Times New Roman"/>
          <w:b w:val="0"/>
          <w:sz w:val="32"/>
          <w:highlight w:val="none"/>
          <w:lang w:val="en-US" w:eastAsia="zh-CN"/>
        </w:rPr>
        <w:t>上年结转</w:t>
      </w:r>
      <w:r>
        <w:rPr>
          <w:rFonts w:hint="eastAsia" w:ascii="仿宋_GB2312" w:hAnsi="Times New Roman" w:cs="Times New Roman"/>
          <w:b w:val="0"/>
          <w:sz w:val="32"/>
          <w:highlight w:val="none"/>
          <w:lang w:val="en-US" w:eastAsia="zh-CN"/>
        </w:rPr>
        <w:t>资金执行率</w:t>
      </w:r>
      <w:r>
        <w:rPr>
          <w:rFonts w:hint="eastAsia" w:ascii="仿宋_GB2312" w:cs="Times New Roman"/>
          <w:b w:val="0"/>
          <w:sz w:val="32"/>
          <w:highlight w:val="none"/>
          <w:lang w:val="en-US" w:eastAsia="zh-CN"/>
        </w:rPr>
        <w:t>达100%，则得满分，每降低1%扣5%权重分，扣完为止。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⑤“三公经费”变动情况</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lang w:val="en-US" w:eastAsia="zh-CN"/>
        </w:rPr>
      </w:pPr>
      <w:r>
        <w:rPr>
          <w:rFonts w:hint="eastAsia" w:ascii="仿宋_GB2312" w:hAnsi="Times New Roman" w:cs="Times New Roman"/>
          <w:b w:val="0"/>
          <w:sz w:val="32"/>
          <w:highlight w:val="none"/>
          <w:lang w:val="en-US" w:eastAsia="zh-CN"/>
        </w:rPr>
        <w:t>评价标准：部门（单位）本年度“三公经费”决算数与上年度“三公经费”决算数对比情况。</w:t>
      </w:r>
      <w:r>
        <w:rPr>
          <w:rFonts w:hint="eastAsia" w:ascii="仿宋_GB2312" w:cs="Times New Roman"/>
          <w:b w:val="0"/>
          <w:sz w:val="32"/>
          <w:highlight w:val="none"/>
          <w:lang w:val="en-US" w:eastAsia="zh-CN"/>
        </w:rPr>
        <w:t>本年度“三公经费”总额＜上年度“三公经费”总额，得2分；等于得1分；大于不得分。</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⑥政府采购执行率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highlight w:val="yellow"/>
          <w:lang w:val="en-US" w:eastAsia="zh-CN"/>
        </w:rPr>
      </w:pPr>
      <w:r>
        <w:rPr>
          <w:rFonts w:hint="eastAsia" w:ascii="仿宋_GB2312" w:hAnsi="Times New Roman" w:cs="Times New Roman"/>
          <w:b w:val="0"/>
          <w:sz w:val="32"/>
          <w:highlight w:val="none"/>
          <w:lang w:val="en-US" w:eastAsia="zh-CN"/>
        </w:rPr>
        <w:t>评价标准：政府采购执行率=（实际政府采购金额/政府采购预算数）×100%。政府采购执行率</w:t>
      </w:r>
      <w:r>
        <w:rPr>
          <w:rFonts w:hint="eastAsia" w:ascii="仿宋_GB2312" w:cs="Times New Roman"/>
          <w:b w:val="0"/>
          <w:sz w:val="32"/>
          <w:highlight w:val="none"/>
          <w:lang w:val="en-US" w:eastAsia="zh-CN"/>
        </w:rPr>
        <w:t>达95%以上，则得满分，每降低1%扣5%权重分，扣完为止。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⑦管理制度健全性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评价标准：是否已制定或具有预算资金管理办法、内部财务管理制度、会计核算制度等管理制度；相关管理制度是否合法、合规、完整；相关管理制度是否得到有效执行。</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⑧资金使用合规性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是否符合国家财经法规和财务管理制度规定以及有关专项资金管理办法的规定；资金的拨付是否有完整的审批程序和手续；项目的重大开支是否经过评估论证；是否符合部门预算批复的用途；是否存在截留、挤占、挪用、虚列支出等情况。</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⑨预决算信息公开性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highlight w:val="none"/>
          <w:lang w:val="en-US" w:eastAsia="zh-CN"/>
        </w:rPr>
        <w:t>评价标准：否按照政府信息公开有关规定公开相关预决算信息</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是否按规定及时公开青办发〔2016〕24号文件中所规定的与部门政府采购、资产管理、绩效管理等相关的信息。</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⑩基础信息完善性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评价标准：基础数据信息和会计信息资料是否真实；基础数据信息和会计信息资料是否完整；基础数据信息和会计信息资料是否准确。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⑪固定资产利用率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highlight w:val="none"/>
          <w:lang w:val="en-US" w:eastAsia="zh-CN"/>
        </w:rPr>
        <w:t>评价标准：固定资产利用率=（实际在用固定资产总额/全部固定资产总额）×100%。固定资产利用率达100%，则得满分</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每降低1%扣5%权重分，扣完为止。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⑫资产管理规范性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hAnsi="Times New Roman" w:cs="Times New Roman"/>
          <w:b w:val="0"/>
          <w:sz w:val="32"/>
          <w:lang w:val="en-US" w:eastAsia="zh-CN"/>
        </w:rPr>
        <w:t>评价标准：是否已制定资产管理制度，相关资产管理制度是否合法、合规、完整；相关资产管理制度是否得到有效执行；资产配置是否合理，是否符合资产配置标准；资产使用、处置是否规范，是否符合相关制度规定；资产有偿使用收入和处置收入是否按规定及时足额上缴。</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lang w:val="en-US" w:eastAsia="zh-CN"/>
        </w:rPr>
      </w:pPr>
      <w:r>
        <w:rPr>
          <w:rFonts w:hint="eastAsia" w:ascii="仿宋_GB2312" w:cs="Times New Roman"/>
          <w:b w:val="0"/>
          <w:sz w:val="32"/>
          <w:lang w:val="en-US" w:eastAsia="zh-CN"/>
        </w:rPr>
        <w:t>（3）</w:t>
      </w:r>
      <w:r>
        <w:rPr>
          <w:rFonts w:hint="eastAsia" w:ascii="仿宋_GB2312" w:hAnsi="Times New Roman" w:cs="Times New Roman"/>
          <w:b w:val="0"/>
          <w:sz w:val="32"/>
          <w:lang w:val="en-US" w:eastAsia="zh-CN"/>
        </w:rPr>
        <w:t>产出（一级指标）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①实际完成率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评价标准：实际完成率=（实际完成工作数/计划工作数）×100%。实际完成率达100%，则得满分</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 xml:space="preserve">每降低1%扣5%权重分，扣完为止。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②完成及时率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w:t>
      </w:r>
      <w:r>
        <w:rPr>
          <w:rFonts w:hint="eastAsia" w:ascii="仿宋_GB2312" w:cs="Times New Roman"/>
          <w:b w:val="0"/>
          <w:sz w:val="32"/>
          <w:highlight w:val="none"/>
          <w:lang w:val="en-US" w:eastAsia="zh-CN"/>
        </w:rPr>
        <w:t>完成</w:t>
      </w:r>
      <w:r>
        <w:rPr>
          <w:rFonts w:hint="eastAsia" w:ascii="仿宋_GB2312" w:hAnsi="Times New Roman" w:cs="Times New Roman"/>
          <w:b w:val="0"/>
          <w:sz w:val="32"/>
          <w:highlight w:val="none"/>
          <w:lang w:val="en-US" w:eastAsia="zh-CN"/>
        </w:rPr>
        <w:t>及时率=（及时完成实际工作数/计划工作数）×100%。完成及时率达100%，则得满分</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每降低1%扣5%权重分，扣完为止。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③质量达标率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评价标准：质量达标率=（质量达标实际工作数/计划工作数）×100%。质量达标率达100%，则得满分</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每降低1%扣5%权重分，扣完为止。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④重点工作办结率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评价标准：重点工作办结率=（重点工作实际完成数/交办或下达数）×100%。重点工作办结率达100%，则得满分</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每降低1%扣5%权重分，扣完为止。</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cs="Times New Roman"/>
          <w:b w:val="0"/>
          <w:sz w:val="32"/>
          <w:highlight w:val="none"/>
          <w:lang w:val="en-US" w:eastAsia="zh-CN"/>
        </w:rPr>
        <w:t>（4）</w:t>
      </w:r>
      <w:r>
        <w:rPr>
          <w:rFonts w:hint="eastAsia" w:ascii="仿宋_GB2312" w:hAnsi="Times New Roman" w:cs="Times New Roman"/>
          <w:b w:val="0"/>
          <w:sz w:val="32"/>
          <w:highlight w:val="none"/>
          <w:lang w:val="en-US" w:eastAsia="zh-CN"/>
        </w:rPr>
        <w:t>效果（一级指标）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①</w:t>
      </w:r>
      <w:r>
        <w:rPr>
          <w:rFonts w:hint="eastAsia" w:ascii="仿宋_GB2312" w:cs="Times New Roman"/>
          <w:b w:val="0"/>
          <w:sz w:val="32"/>
          <w:highlight w:val="none"/>
          <w:lang w:val="en-US" w:eastAsia="zh-CN"/>
        </w:rPr>
        <w:t>经济</w:t>
      </w:r>
      <w:r>
        <w:rPr>
          <w:rFonts w:hint="eastAsia" w:ascii="仿宋_GB2312" w:hAnsi="Times New Roman" w:cs="Times New Roman"/>
          <w:b w:val="0"/>
          <w:sz w:val="32"/>
          <w:highlight w:val="none"/>
          <w:lang w:val="en-US" w:eastAsia="zh-CN"/>
        </w:rPr>
        <w:t>效益</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w:t>
      </w:r>
      <w:r>
        <w:rPr>
          <w:rFonts w:hint="eastAsia" w:ascii="仿宋_GB2312" w:cs="Times New Roman"/>
          <w:b w:val="0"/>
          <w:sz w:val="32"/>
          <w:highlight w:val="none"/>
          <w:lang w:val="en-US" w:eastAsia="zh-CN"/>
        </w:rPr>
        <w:t>截至2020年底盘活企业资金≥85亿元；新增资质建筑业企业≥60家；引进央企建筑企业1家。</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②社会效益</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评价标准：加强惠民改造工程建设，提高居民生活质量</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启动工程建设项目，缓解交通压力</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扩大住房保障范围</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改善农村居住条件</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 xml:space="preserve">新增公共停车泊位，缓解停车压力。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③行政效能</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评价标准：对市内三区土石方施工阶段建筑工地实施渣土车AI智能识别管控，常态覆盖率95%以上</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实施新建物业（商品房）流程再造，率先开展“交房即可办证”工作试点</w:t>
      </w:r>
      <w:r>
        <w:rPr>
          <w:rFonts w:hint="eastAsia" w:ascii="仿宋_GB2312" w:cs="Times New Roman"/>
          <w:b w:val="0"/>
          <w:sz w:val="32"/>
          <w:highlight w:val="none"/>
          <w:lang w:val="en-US" w:eastAsia="zh-CN"/>
        </w:rPr>
        <w:t>；</w:t>
      </w:r>
      <w:r>
        <w:rPr>
          <w:rFonts w:hint="eastAsia" w:ascii="仿宋_GB2312" w:hAnsi="Times New Roman" w:cs="Times New Roman"/>
          <w:b w:val="0"/>
          <w:sz w:val="32"/>
          <w:highlight w:val="none"/>
          <w:lang w:val="en-US" w:eastAsia="zh-CN"/>
        </w:rPr>
        <w:t>在全市经济社会发展综合考核中取得优秀</w:t>
      </w:r>
      <w:r>
        <w:rPr>
          <w:rFonts w:hint="eastAsia" w:ascii="仿宋_GB2312" w:cs="Times New Roman"/>
          <w:b w:val="0"/>
          <w:sz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④可持续效益</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评价标准：健全项目运行可持续发展长效保障机制。</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⑤服务对象满意度</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评价标准：服务对象对部门履职效果的满意程度。</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cs="Times New Roman"/>
          <w:b w:val="0"/>
          <w:sz w:val="32"/>
          <w:lang w:val="en-US" w:eastAsia="zh-CN"/>
        </w:rPr>
      </w:pPr>
      <w:r>
        <w:rPr>
          <w:rFonts w:hint="default" w:ascii="仿宋_GB2312" w:hAnsi="Times New Roman" w:cs="Times New Roman"/>
          <w:b w:val="0"/>
          <w:sz w:val="32"/>
          <w:lang w:val="en-US" w:eastAsia="zh-CN"/>
        </w:rPr>
        <w:t>根据《市级财政绩效评价操作指南》（青财绩〔2020〕6号）的规定：绩效评价结果采取评分和评级相结合的方式，具体分值和等级可根据不同评价内容设定。总分一般设置为100分，等级一般划分为四挡:90分（含）-100分为优、80分（含）-90分为良、70分（含）-80分为中、70分以下为差。</w:t>
      </w:r>
    </w:p>
    <w:p>
      <w:pPr>
        <w:pStyle w:val="5"/>
        <w:numPr>
          <w:ilvl w:val="1"/>
          <w:numId w:val="0"/>
        </w:numPr>
        <w:bidi w:val="0"/>
        <w:ind w:leftChars="200"/>
        <w:rPr>
          <w:rFonts w:hint="eastAsia"/>
          <w:sz w:val="32"/>
          <w:szCs w:val="32"/>
          <w:lang w:val="en-US" w:eastAsia="zh-CN"/>
        </w:rPr>
      </w:pPr>
      <w:bookmarkStart w:id="22" w:name="_Toc19652"/>
      <w:r>
        <w:rPr>
          <w:rFonts w:hint="eastAsia"/>
          <w:sz w:val="32"/>
          <w:szCs w:val="32"/>
          <w:lang w:val="en-US" w:eastAsia="zh-CN"/>
        </w:rPr>
        <w:t>（三）评价实施程序</w:t>
      </w:r>
      <w:bookmarkEnd w:id="22"/>
      <w:bookmarkStart w:id="23" w:name="_Toc26964738"/>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lang w:val="en-US" w:eastAsia="zh-CN"/>
        </w:rPr>
        <w:t>1、评价准备</w:t>
      </w:r>
      <w:r>
        <w:rPr>
          <w:rFonts w:hint="eastAsia" w:ascii="仿宋_GB2312" w:cs="Times New Roman"/>
          <w:b w:val="0"/>
          <w:sz w:val="32"/>
          <w:highlight w:val="none"/>
          <w:lang w:val="en-US" w:eastAsia="zh-CN"/>
        </w:rPr>
        <w:t>（</w:t>
      </w:r>
      <w:r>
        <w:rPr>
          <w:rFonts w:hint="eastAsia" w:ascii="仿宋" w:hAnsi="仿宋" w:eastAsia="仿宋" w:cs="仿宋"/>
          <w:kern w:val="0"/>
          <w:sz w:val="32"/>
          <w:szCs w:val="32"/>
          <w:highlight w:val="none"/>
          <w:lang w:val="en-US" w:eastAsia="zh-CN" w:bidi="ar-SA"/>
        </w:rPr>
        <w:t>2021年6月24日至2021年7月3日</w:t>
      </w:r>
      <w:r>
        <w:rPr>
          <w:rFonts w:hint="eastAsia" w:ascii="仿宋_GB2312" w:cs="Times New Roman"/>
          <w:b w:val="0"/>
          <w:sz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cs="Times New Roman"/>
          <w:b w:val="0"/>
          <w:sz w:val="32"/>
          <w:highlight w:val="none"/>
          <w:lang w:val="en-US" w:eastAsia="zh-CN"/>
        </w:rPr>
      </w:pPr>
      <w:r>
        <w:rPr>
          <w:rFonts w:hint="eastAsia" w:ascii="仿宋_GB2312" w:hAnsi="Times New Roman" w:cs="Times New Roman"/>
          <w:b w:val="0"/>
          <w:sz w:val="32"/>
          <w:highlight w:val="none"/>
          <w:lang w:val="en-US" w:eastAsia="zh-CN"/>
        </w:rPr>
        <w:t>制定绩效评价实施方案。在明确委托方要求的前提下，评价</w:t>
      </w:r>
      <w:r>
        <w:rPr>
          <w:rFonts w:hint="eastAsia" w:ascii="仿宋_GB2312" w:cs="Times New Roman"/>
          <w:b w:val="0"/>
          <w:sz w:val="32"/>
          <w:highlight w:val="none"/>
          <w:lang w:val="en-US" w:eastAsia="zh-CN"/>
        </w:rPr>
        <w:t>单位</w:t>
      </w:r>
      <w:r>
        <w:rPr>
          <w:rFonts w:hint="eastAsia" w:ascii="仿宋_GB2312" w:hAnsi="Times New Roman" w:cs="Times New Roman"/>
          <w:b w:val="0"/>
          <w:sz w:val="32"/>
          <w:highlight w:val="none"/>
          <w:lang w:val="en-US" w:eastAsia="zh-CN"/>
        </w:rPr>
        <w:t>搜集并分析相关法律法规、政策文件以及初步的项目资料，就评价背景、评价思路、评价对象和内容、评价方法和进度安排等制定初步工作方案和绩效评价指标体系报委托方审核，并依据委托方提出的意见进一步完善工作方案和指标体系。</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s="Times New Roman"/>
          <w:b w:val="0"/>
          <w:sz w:val="32"/>
          <w:highlight w:val="none"/>
          <w:lang w:val="en-US" w:eastAsia="zh-CN"/>
        </w:rPr>
      </w:pPr>
      <w:r>
        <w:rPr>
          <w:rFonts w:hint="eastAsia" w:ascii="仿宋_GB2312" w:cs="Times New Roman"/>
          <w:b w:val="0"/>
          <w:sz w:val="32"/>
          <w:highlight w:val="none"/>
          <w:lang w:val="en-US" w:eastAsia="zh-CN"/>
        </w:rPr>
        <w:t>2、评价实施（</w:t>
      </w:r>
      <w:r>
        <w:rPr>
          <w:rFonts w:hint="eastAsia" w:ascii="仿宋" w:hAnsi="仿宋" w:eastAsia="仿宋" w:cs="仿宋"/>
          <w:kern w:val="0"/>
          <w:sz w:val="32"/>
          <w:szCs w:val="32"/>
          <w:highlight w:val="none"/>
          <w:lang w:val="en-US" w:eastAsia="zh-CN" w:bidi="ar-SA"/>
        </w:rPr>
        <w:t>2021年7月3日至2021年7月17日</w:t>
      </w:r>
      <w:r>
        <w:rPr>
          <w:rFonts w:hint="eastAsia" w:ascii="仿宋_GB2312" w:cs="Times New Roman"/>
          <w:b w:val="0"/>
          <w:sz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cs="Times New Roman"/>
          <w:b w:val="0"/>
          <w:sz w:val="32"/>
          <w:highlight w:val="none"/>
          <w:lang w:val="en-US" w:eastAsia="zh-CN"/>
        </w:rPr>
      </w:pPr>
      <w:r>
        <w:rPr>
          <w:rFonts w:hint="default" w:ascii="仿宋_GB2312" w:cs="Times New Roman"/>
          <w:b w:val="0"/>
          <w:sz w:val="32"/>
          <w:highlight w:val="none"/>
          <w:lang w:val="en-US" w:eastAsia="zh-CN"/>
        </w:rPr>
        <w:t>评价</w:t>
      </w:r>
      <w:r>
        <w:rPr>
          <w:rFonts w:hint="eastAsia" w:ascii="仿宋_GB2312" w:cs="Times New Roman"/>
          <w:b w:val="0"/>
          <w:sz w:val="32"/>
          <w:highlight w:val="none"/>
          <w:lang w:val="en-US" w:eastAsia="zh-CN"/>
        </w:rPr>
        <w:t>单位</w:t>
      </w:r>
      <w:r>
        <w:rPr>
          <w:rFonts w:hint="default" w:ascii="仿宋_GB2312" w:cs="Times New Roman"/>
          <w:b w:val="0"/>
          <w:sz w:val="32"/>
          <w:highlight w:val="none"/>
          <w:lang w:val="en-US" w:eastAsia="zh-CN"/>
        </w:rPr>
        <w:t>依据项目特点组建评价小组到项目单位进行现场评价。采取勘察、问询、座谈、复核等多种方式，结合项目单位提供的资料，对项目的实施和完成情况进行核实，并对所掌握的有关信息进行分类、整理和初步分析、形成现场评价意见。</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highlight w:val="none"/>
          <w:lang w:val="en-US"/>
        </w:rPr>
      </w:pPr>
      <w:r>
        <w:rPr>
          <w:rFonts w:hint="eastAsia" w:ascii="仿宋_GB2312" w:cs="Times New Roman"/>
          <w:b w:val="0"/>
          <w:sz w:val="32"/>
          <w:highlight w:val="none"/>
          <w:lang w:val="en-US" w:eastAsia="zh-CN"/>
        </w:rPr>
        <w:t>3、</w:t>
      </w:r>
      <w:r>
        <w:rPr>
          <w:rFonts w:hint="eastAsia"/>
          <w:sz w:val="32"/>
          <w:szCs w:val="32"/>
          <w:highlight w:val="none"/>
          <w:lang w:val="en-US"/>
        </w:rPr>
        <w:t>撰写并报送评价报告</w:t>
      </w:r>
      <w:r>
        <w:rPr>
          <w:rFonts w:hint="eastAsia" w:ascii="仿宋_GB2312" w:cs="Times New Roman"/>
          <w:b w:val="0"/>
          <w:sz w:val="32"/>
          <w:highlight w:val="none"/>
          <w:lang w:val="en-US" w:eastAsia="zh-CN"/>
        </w:rPr>
        <w:t>（</w:t>
      </w:r>
      <w:r>
        <w:rPr>
          <w:rFonts w:hint="eastAsia" w:ascii="仿宋" w:hAnsi="仿宋" w:eastAsia="仿宋" w:cs="仿宋"/>
          <w:kern w:val="0"/>
          <w:sz w:val="32"/>
          <w:szCs w:val="32"/>
          <w:highlight w:val="none"/>
          <w:lang w:val="en-US" w:eastAsia="zh-CN" w:bidi="ar-SA"/>
        </w:rPr>
        <w:t>2021年7月18日至2021年7月26日</w:t>
      </w:r>
      <w:r>
        <w:rPr>
          <w:rFonts w:hint="eastAsia" w:ascii="仿宋_GB2312" w:cs="Times New Roman"/>
          <w:b w:val="0"/>
          <w:sz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default"/>
          <w:sz w:val="32"/>
          <w:szCs w:val="32"/>
          <w:highlight w:val="none"/>
          <w:lang w:val="en-US" w:eastAsia="zh-CN"/>
        </w:rPr>
        <w:t>根据现场评价意见和相关调研记录，对项目投</w:t>
      </w:r>
      <w:r>
        <w:rPr>
          <w:rFonts w:hint="default"/>
          <w:sz w:val="32"/>
          <w:szCs w:val="32"/>
          <w:lang w:val="en-US" w:eastAsia="zh-CN"/>
        </w:rPr>
        <w:t>入、过程、产出、效果等情况进行分析评价，按规定的文本格式和内容撰写《20</w:t>
      </w:r>
      <w:r>
        <w:rPr>
          <w:rFonts w:hint="eastAsia"/>
          <w:sz w:val="32"/>
          <w:szCs w:val="32"/>
          <w:lang w:val="en-US" w:eastAsia="zh-CN"/>
        </w:rPr>
        <w:t>20</w:t>
      </w:r>
      <w:r>
        <w:rPr>
          <w:rFonts w:hint="default"/>
          <w:sz w:val="32"/>
          <w:szCs w:val="32"/>
          <w:lang w:val="en-US" w:eastAsia="zh-CN"/>
        </w:rPr>
        <w:t>年度青岛市住房和城乡建设局整体支出绩效评价报告》，针对评价过程中发现的问题，提出合理性建议和改进措施，报送委托方，并根据委托方的意见进一步修改完善报告。</w:t>
      </w:r>
    </w:p>
    <w:p>
      <w:pPr>
        <w:pStyle w:val="5"/>
        <w:numPr>
          <w:ilvl w:val="0"/>
          <w:numId w:val="0"/>
        </w:numPr>
        <w:spacing w:line="560" w:lineRule="exact"/>
        <w:ind w:firstLine="643" w:firstLineChars="200"/>
        <w:outlineLvl w:val="0"/>
        <w:rPr>
          <w:rFonts w:hint="eastAsia" w:ascii="仿宋" w:hAnsi="仿宋" w:eastAsia="仿宋" w:cs="仿宋"/>
          <w:b/>
          <w:bCs w:val="0"/>
          <w:sz w:val="32"/>
          <w:highlight w:val="none"/>
          <w:lang w:val="en-US"/>
        </w:rPr>
      </w:pPr>
      <w:bookmarkStart w:id="24" w:name="_Toc14953"/>
      <w:r>
        <w:rPr>
          <w:rFonts w:hint="eastAsia" w:ascii="仿宋" w:hAnsi="仿宋" w:eastAsia="仿宋" w:cs="仿宋"/>
          <w:b/>
          <w:bCs w:val="0"/>
          <w:kern w:val="44"/>
          <w:sz w:val="32"/>
          <w:highlight w:val="none"/>
          <w:lang w:val="en-US"/>
        </w:rPr>
        <w:t>三、指标分析及评价结论</w:t>
      </w:r>
      <w:bookmarkEnd w:id="24"/>
    </w:p>
    <w:bookmarkEnd w:id="23"/>
    <w:p>
      <w:pPr>
        <w:pStyle w:val="5"/>
        <w:bidi w:val="0"/>
        <w:rPr>
          <w:rFonts w:hint="eastAsia"/>
          <w:sz w:val="32"/>
          <w:szCs w:val="32"/>
        </w:rPr>
      </w:pPr>
      <w:bookmarkStart w:id="25" w:name="_Toc27272"/>
      <w:bookmarkStart w:id="26" w:name="_Toc26964742"/>
      <w:r>
        <w:rPr>
          <w:rFonts w:hint="eastAsia"/>
          <w:sz w:val="32"/>
          <w:szCs w:val="32"/>
        </w:rPr>
        <w:t>绩效评价指标体系分析</w:t>
      </w:r>
      <w:bookmarkEnd w:id="25"/>
    </w:p>
    <w:p>
      <w:pPr>
        <w:spacing w:before="31" w:beforeLines="10" w:after="31" w:afterLines="10" w:line="560" w:lineRule="exact"/>
        <w:ind w:firstLine="640" w:firstLineChars="200"/>
        <w:rPr>
          <w:rFonts w:hint="eastAsia" w:ascii="仿宋" w:hAnsi="仿宋" w:eastAsia="仿宋" w:cs="仿宋"/>
          <w:kern w:val="0"/>
          <w:sz w:val="32"/>
          <w:szCs w:val="32"/>
          <w:highlight w:val="yellow"/>
        </w:rPr>
      </w:pP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投入</w:t>
      </w:r>
      <w:r>
        <w:rPr>
          <w:rFonts w:hint="eastAsia" w:ascii="仿宋" w:hAnsi="仿宋" w:eastAsia="仿宋" w:cs="仿宋"/>
          <w:kern w:val="0"/>
          <w:sz w:val="32"/>
          <w:szCs w:val="32"/>
          <w:highlight w:val="none"/>
          <w:lang w:val="en-US" w:eastAsia="zh-CN"/>
        </w:rPr>
        <w:t>情况</w:t>
      </w:r>
    </w:p>
    <w:tbl>
      <w:tblPr>
        <w:tblStyle w:val="21"/>
        <w:tblW w:w="5000" w:type="pct"/>
        <w:tblInd w:w="0" w:type="dxa"/>
        <w:tblLayout w:type="fixed"/>
        <w:tblCellMar>
          <w:top w:w="0" w:type="dxa"/>
          <w:left w:w="108" w:type="dxa"/>
          <w:bottom w:w="0" w:type="dxa"/>
          <w:right w:w="108" w:type="dxa"/>
        </w:tblCellMar>
      </w:tblPr>
      <w:tblGrid>
        <w:gridCol w:w="2282"/>
        <w:gridCol w:w="1105"/>
        <w:gridCol w:w="1173"/>
        <w:gridCol w:w="1460"/>
        <w:gridCol w:w="1274"/>
        <w:gridCol w:w="1228"/>
      </w:tblGrid>
      <w:tr>
        <w:tblPrEx>
          <w:tblCellMar>
            <w:top w:w="0" w:type="dxa"/>
            <w:left w:w="108" w:type="dxa"/>
            <w:bottom w:w="0" w:type="dxa"/>
            <w:right w:w="108" w:type="dxa"/>
          </w:tblCellMar>
        </w:tblPrEx>
        <w:trPr>
          <w:trHeight w:val="330" w:hRule="atLeast"/>
        </w:trPr>
        <w:tc>
          <w:tcPr>
            <w:tcW w:w="13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bookmarkStart w:id="27" w:name="_Toc9243"/>
            <w:r>
              <w:rPr>
                <w:rFonts w:hint="eastAsia" w:ascii="仿宋_GB2312" w:hAnsi="Times New Roman" w:eastAsia="仿宋_GB2312"/>
                <w:b/>
                <w:bCs/>
                <w:color w:val="000000"/>
                <w:kern w:val="0"/>
                <w:sz w:val="22"/>
                <w:szCs w:val="22"/>
                <w:highlight w:val="none"/>
              </w:rPr>
              <w:t>三级指标</w:t>
            </w: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分值</w:t>
            </w:r>
          </w:p>
        </w:tc>
        <w:tc>
          <w:tcPr>
            <w:tcW w:w="6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标杆值</w:t>
            </w:r>
          </w:p>
        </w:tc>
        <w:tc>
          <w:tcPr>
            <w:tcW w:w="8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完成情况</w:t>
            </w:r>
          </w:p>
        </w:tc>
        <w:tc>
          <w:tcPr>
            <w:tcW w:w="7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得分</w:t>
            </w:r>
          </w:p>
        </w:tc>
        <w:tc>
          <w:tcPr>
            <w:tcW w:w="7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得分率</w:t>
            </w:r>
          </w:p>
        </w:tc>
      </w:tr>
      <w:tr>
        <w:tblPrEx>
          <w:tblCellMar>
            <w:top w:w="0" w:type="dxa"/>
            <w:left w:w="108" w:type="dxa"/>
            <w:bottom w:w="0" w:type="dxa"/>
            <w:right w:w="108" w:type="dxa"/>
          </w:tblCellMar>
        </w:tblPrEx>
        <w:trPr>
          <w:trHeight w:val="330" w:hRule="atLeast"/>
        </w:trPr>
        <w:tc>
          <w:tcPr>
            <w:tcW w:w="133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A101绩效目标合理性</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3.00</w:t>
            </w:r>
          </w:p>
        </w:tc>
        <w:tc>
          <w:tcPr>
            <w:tcW w:w="6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Times New Roman" w:eastAsia="仿宋_GB2312"/>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合理</w:t>
            </w:r>
          </w:p>
        </w:tc>
        <w:tc>
          <w:tcPr>
            <w:tcW w:w="85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合理</w:t>
            </w:r>
          </w:p>
        </w:tc>
        <w:tc>
          <w:tcPr>
            <w:tcW w:w="74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rPr>
            </w:pPr>
            <w:r>
              <w:rPr>
                <w:rFonts w:hint="eastAsia" w:ascii="仿宋_GB2312" w:hAnsi="Times New Roman" w:eastAsia="仿宋_GB2312"/>
                <w:color w:val="000000"/>
                <w:kern w:val="0"/>
                <w:sz w:val="22"/>
                <w:szCs w:val="22"/>
                <w:highlight w:val="none"/>
              </w:rPr>
              <w:t>3.00</w:t>
            </w:r>
          </w:p>
        </w:tc>
        <w:tc>
          <w:tcPr>
            <w:tcW w:w="72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ascii="仿宋_GB2312" w:hAnsi="Times New Roman" w:eastAsia="仿宋_GB2312"/>
                <w:color w:val="000000"/>
                <w:kern w:val="0"/>
                <w:sz w:val="22"/>
                <w:szCs w:val="22"/>
                <w:highlight w:val="none"/>
              </w:rPr>
              <w:t>100</w:t>
            </w:r>
            <w:r>
              <w:rPr>
                <w:rFonts w:hint="eastAsia" w:ascii="仿宋_GB2312" w:hAnsi="Times New Roman" w:eastAsia="仿宋_GB2312"/>
                <w:color w:val="000000"/>
                <w:kern w:val="0"/>
                <w:sz w:val="22"/>
                <w:szCs w:val="22"/>
                <w:highlight w:val="none"/>
              </w:rPr>
              <w:t>.00%</w:t>
            </w:r>
          </w:p>
        </w:tc>
      </w:tr>
      <w:tr>
        <w:tblPrEx>
          <w:tblCellMar>
            <w:top w:w="0" w:type="dxa"/>
            <w:left w:w="108" w:type="dxa"/>
            <w:bottom w:w="0" w:type="dxa"/>
            <w:right w:w="108" w:type="dxa"/>
          </w:tblCellMar>
        </w:tblPrEx>
        <w:trPr>
          <w:trHeight w:val="330" w:hRule="atLeast"/>
        </w:trPr>
        <w:tc>
          <w:tcPr>
            <w:tcW w:w="133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A102绩效指标明确性</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2</w:t>
            </w:r>
            <w:r>
              <w:rPr>
                <w:rFonts w:hint="eastAsia" w:ascii="仿宋_GB2312" w:hAnsi="Times New Roman" w:eastAsia="仿宋_GB2312"/>
                <w:color w:val="000000"/>
                <w:kern w:val="0"/>
                <w:sz w:val="22"/>
                <w:szCs w:val="22"/>
                <w:highlight w:val="none"/>
              </w:rPr>
              <w:t>.00</w:t>
            </w:r>
          </w:p>
        </w:tc>
        <w:tc>
          <w:tcPr>
            <w:tcW w:w="6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Times New Roman" w:eastAsia="仿宋_GB2312"/>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明确</w:t>
            </w:r>
          </w:p>
        </w:tc>
        <w:tc>
          <w:tcPr>
            <w:tcW w:w="85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明确</w:t>
            </w:r>
          </w:p>
        </w:tc>
        <w:tc>
          <w:tcPr>
            <w:tcW w:w="7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2</w:t>
            </w:r>
            <w:r>
              <w:rPr>
                <w:rFonts w:hint="eastAsia" w:ascii="仿宋_GB2312" w:hAnsi="Times New Roman" w:eastAsia="仿宋_GB2312"/>
                <w:color w:val="000000"/>
                <w:kern w:val="0"/>
                <w:sz w:val="22"/>
                <w:szCs w:val="22"/>
                <w:highlight w:val="none"/>
              </w:rPr>
              <w:t>.00</w:t>
            </w:r>
          </w:p>
        </w:tc>
        <w:tc>
          <w:tcPr>
            <w:tcW w:w="72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ascii="仿宋_GB2312" w:hAnsi="Times New Roman" w:eastAsia="仿宋_GB2312"/>
                <w:color w:val="000000"/>
                <w:kern w:val="0"/>
                <w:sz w:val="22"/>
                <w:szCs w:val="22"/>
                <w:highlight w:val="none"/>
              </w:rPr>
              <w:t>100</w:t>
            </w:r>
            <w:r>
              <w:rPr>
                <w:rFonts w:hint="eastAsia" w:ascii="仿宋_GB2312" w:hAnsi="Times New Roman" w:eastAsia="仿宋_GB2312"/>
                <w:color w:val="000000"/>
                <w:kern w:val="0"/>
                <w:sz w:val="22"/>
                <w:szCs w:val="22"/>
                <w:highlight w:val="none"/>
              </w:rPr>
              <w:t>.00%</w:t>
            </w:r>
          </w:p>
        </w:tc>
      </w:tr>
      <w:tr>
        <w:tblPrEx>
          <w:tblCellMar>
            <w:top w:w="0" w:type="dxa"/>
            <w:left w:w="108" w:type="dxa"/>
            <w:bottom w:w="0" w:type="dxa"/>
            <w:right w:w="108" w:type="dxa"/>
          </w:tblCellMar>
        </w:tblPrEx>
        <w:trPr>
          <w:trHeight w:val="330" w:hRule="atLeast"/>
        </w:trPr>
        <w:tc>
          <w:tcPr>
            <w:tcW w:w="133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A201预算编制合理性</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3.00</w:t>
            </w:r>
          </w:p>
        </w:tc>
        <w:tc>
          <w:tcPr>
            <w:tcW w:w="6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Times New Roman" w:eastAsia="仿宋_GB2312"/>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合理</w:t>
            </w:r>
          </w:p>
        </w:tc>
        <w:tc>
          <w:tcPr>
            <w:tcW w:w="85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合理</w:t>
            </w:r>
          </w:p>
        </w:tc>
        <w:tc>
          <w:tcPr>
            <w:tcW w:w="74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rPr>
              <w:t>3.00</w:t>
            </w:r>
          </w:p>
        </w:tc>
        <w:tc>
          <w:tcPr>
            <w:tcW w:w="72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ascii="仿宋_GB2312" w:hAnsi="Times New Roman" w:eastAsia="仿宋_GB2312"/>
                <w:color w:val="000000"/>
                <w:kern w:val="0"/>
                <w:sz w:val="22"/>
                <w:szCs w:val="22"/>
                <w:highlight w:val="none"/>
              </w:rPr>
              <w:t>100</w:t>
            </w:r>
            <w:r>
              <w:rPr>
                <w:rFonts w:hint="eastAsia" w:ascii="仿宋_GB2312" w:hAnsi="Times New Roman" w:eastAsia="仿宋_GB2312"/>
                <w:color w:val="000000"/>
                <w:kern w:val="0"/>
                <w:sz w:val="22"/>
                <w:szCs w:val="22"/>
                <w:highlight w:val="none"/>
              </w:rPr>
              <w:t>.00%</w:t>
            </w:r>
          </w:p>
        </w:tc>
      </w:tr>
      <w:tr>
        <w:tblPrEx>
          <w:tblCellMar>
            <w:top w:w="0" w:type="dxa"/>
            <w:left w:w="108" w:type="dxa"/>
            <w:bottom w:w="0" w:type="dxa"/>
            <w:right w:w="108" w:type="dxa"/>
          </w:tblCellMar>
        </w:tblPrEx>
        <w:trPr>
          <w:trHeight w:val="330" w:hRule="atLeast"/>
        </w:trPr>
        <w:tc>
          <w:tcPr>
            <w:tcW w:w="133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A202决策程序规范性</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2</w:t>
            </w:r>
            <w:r>
              <w:rPr>
                <w:rFonts w:hint="eastAsia" w:ascii="仿宋_GB2312" w:hAnsi="Times New Roman" w:eastAsia="仿宋_GB2312"/>
                <w:color w:val="000000"/>
                <w:kern w:val="0"/>
                <w:sz w:val="22"/>
                <w:szCs w:val="22"/>
                <w:highlight w:val="none"/>
              </w:rPr>
              <w:t>.00</w:t>
            </w:r>
          </w:p>
        </w:tc>
        <w:tc>
          <w:tcPr>
            <w:tcW w:w="6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Times New Roman" w:eastAsia="仿宋_GB2312"/>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规范</w:t>
            </w:r>
          </w:p>
        </w:tc>
        <w:tc>
          <w:tcPr>
            <w:tcW w:w="85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olor w:val="000000"/>
                <w:kern w:val="0"/>
                <w:sz w:val="22"/>
                <w:szCs w:val="22"/>
                <w:highlight w:val="none"/>
                <w:lang w:val="en-US"/>
              </w:rPr>
            </w:pPr>
            <w:r>
              <w:rPr>
                <w:rFonts w:hint="eastAsia" w:ascii="楷体" w:hAnsi="楷体" w:eastAsia="楷体" w:cs="楷体"/>
                <w:i w:val="0"/>
                <w:color w:val="000000"/>
                <w:kern w:val="0"/>
                <w:sz w:val="20"/>
                <w:szCs w:val="20"/>
                <w:highlight w:val="none"/>
                <w:u w:val="none"/>
                <w:lang w:val="en-US" w:eastAsia="zh-CN" w:bidi="ar"/>
              </w:rPr>
              <w:t>规范</w:t>
            </w:r>
          </w:p>
        </w:tc>
        <w:tc>
          <w:tcPr>
            <w:tcW w:w="7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2</w:t>
            </w:r>
            <w:r>
              <w:rPr>
                <w:rFonts w:hint="eastAsia" w:ascii="仿宋_GB2312" w:hAnsi="Times New Roman" w:eastAsia="仿宋_GB2312"/>
                <w:color w:val="000000"/>
                <w:kern w:val="0"/>
                <w:sz w:val="22"/>
                <w:szCs w:val="22"/>
                <w:highlight w:val="none"/>
              </w:rPr>
              <w:t>.00</w:t>
            </w:r>
          </w:p>
        </w:tc>
        <w:tc>
          <w:tcPr>
            <w:tcW w:w="72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100</w:t>
            </w:r>
            <w:r>
              <w:rPr>
                <w:rFonts w:hint="eastAsia" w:ascii="仿宋_GB2312" w:hAnsi="Times New Roman" w:eastAsia="仿宋_GB2312"/>
                <w:color w:val="000000"/>
                <w:kern w:val="0"/>
                <w:sz w:val="22"/>
                <w:szCs w:val="22"/>
                <w:highlight w:val="none"/>
              </w:rPr>
              <w:t>.00%</w:t>
            </w:r>
          </w:p>
        </w:tc>
      </w:tr>
      <w:tr>
        <w:tblPrEx>
          <w:tblCellMar>
            <w:top w:w="0" w:type="dxa"/>
            <w:left w:w="108" w:type="dxa"/>
            <w:bottom w:w="0" w:type="dxa"/>
            <w:right w:w="108" w:type="dxa"/>
          </w:tblCellMar>
        </w:tblPrEx>
        <w:trPr>
          <w:trHeight w:val="330" w:hRule="atLeast"/>
        </w:trPr>
        <w:tc>
          <w:tcPr>
            <w:tcW w:w="13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合计</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lang w:val="en-US" w:eastAsia="zh-CN"/>
              </w:rPr>
              <w:t>10</w:t>
            </w:r>
            <w:r>
              <w:rPr>
                <w:rFonts w:hint="eastAsia" w:ascii="仿宋_GB2312" w:hAnsi="Times New Roman" w:eastAsia="仿宋_GB2312"/>
                <w:b/>
                <w:bCs/>
                <w:color w:val="000000"/>
                <w:kern w:val="0"/>
                <w:sz w:val="22"/>
                <w:szCs w:val="22"/>
                <w:highlight w:val="none"/>
              </w:rPr>
              <w:t>.00</w:t>
            </w:r>
          </w:p>
        </w:tc>
        <w:tc>
          <w:tcPr>
            <w:tcW w:w="68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p>
        </w:tc>
        <w:tc>
          <w:tcPr>
            <w:tcW w:w="85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p>
        </w:tc>
        <w:tc>
          <w:tcPr>
            <w:tcW w:w="747" w:type="pct"/>
            <w:tcBorders>
              <w:top w:val="nil"/>
              <w:left w:val="nil"/>
              <w:bottom w:val="single" w:color="auto" w:sz="4" w:space="0"/>
              <w:right w:val="single" w:color="auto" w:sz="4" w:space="0"/>
            </w:tcBorders>
            <w:shd w:val="clear" w:color="auto" w:fill="auto"/>
            <w:noWrap/>
          </w:tcPr>
          <w:p>
            <w:pPr>
              <w:widowControl/>
              <w:jc w:val="center"/>
              <w:rPr>
                <w:rFonts w:hint="default" w:ascii="仿宋_GB2312" w:hAnsi="Times New Roman" w:eastAsia="仿宋_GB2312"/>
                <w:b/>
                <w:bCs/>
                <w:color w:val="000000"/>
                <w:kern w:val="0"/>
                <w:sz w:val="22"/>
                <w:szCs w:val="22"/>
                <w:highlight w:val="none"/>
                <w:lang w:val="en-US" w:eastAsia="zh-CN"/>
              </w:rPr>
            </w:pPr>
            <w:r>
              <w:rPr>
                <w:rFonts w:hint="eastAsia" w:ascii="仿宋_GB2312" w:hAnsi="Times New Roman" w:eastAsia="仿宋_GB2312"/>
                <w:b/>
                <w:bCs/>
                <w:color w:val="000000"/>
                <w:kern w:val="0"/>
                <w:sz w:val="22"/>
                <w:szCs w:val="22"/>
                <w:highlight w:val="none"/>
                <w:lang w:val="en-US" w:eastAsia="zh-CN"/>
              </w:rPr>
              <w:t>10</w:t>
            </w:r>
            <w:r>
              <w:rPr>
                <w:rFonts w:hint="eastAsia" w:ascii="仿宋_GB2312" w:hAnsi="Times New Roman" w:eastAsia="仿宋_GB2312"/>
                <w:b/>
                <w:bCs/>
                <w:color w:val="000000"/>
                <w:kern w:val="0"/>
                <w:sz w:val="22"/>
                <w:szCs w:val="22"/>
                <w:highlight w:val="none"/>
              </w:rPr>
              <w:t>.00</w:t>
            </w:r>
          </w:p>
        </w:tc>
        <w:tc>
          <w:tcPr>
            <w:tcW w:w="720" w:type="pct"/>
            <w:tcBorders>
              <w:top w:val="nil"/>
              <w:left w:val="nil"/>
              <w:bottom w:val="single" w:color="auto" w:sz="4" w:space="0"/>
              <w:right w:val="single" w:color="auto" w:sz="4" w:space="0"/>
            </w:tcBorders>
            <w:shd w:val="clear" w:color="auto" w:fill="auto"/>
            <w:noWrap/>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lang w:val="en-US" w:eastAsia="zh-CN"/>
              </w:rPr>
              <w:t>10</w:t>
            </w:r>
            <w:r>
              <w:rPr>
                <w:rFonts w:ascii="仿宋_GB2312" w:hAnsi="Times New Roman" w:eastAsia="仿宋_GB2312"/>
                <w:b/>
                <w:bCs/>
                <w:color w:val="000000"/>
                <w:kern w:val="0"/>
                <w:sz w:val="22"/>
                <w:szCs w:val="22"/>
                <w:highlight w:val="none"/>
              </w:rPr>
              <w:t>0</w:t>
            </w:r>
            <w:r>
              <w:rPr>
                <w:rFonts w:hint="eastAsia" w:ascii="仿宋_GB2312" w:hAnsi="Times New Roman" w:eastAsia="仿宋_GB2312"/>
                <w:b/>
                <w:bCs/>
                <w:color w:val="000000"/>
                <w:kern w:val="0"/>
                <w:sz w:val="22"/>
                <w:szCs w:val="22"/>
                <w:highlight w:val="none"/>
              </w:rPr>
              <w:t>.00%</w:t>
            </w:r>
          </w:p>
        </w:tc>
      </w:tr>
    </w:tbl>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lang w:val="en-US" w:eastAsia="zh-CN" w:bidi="ar-SA"/>
        </w:rPr>
      </w:pPr>
      <w:r>
        <w:rPr>
          <w:rFonts w:hint="eastAsia" w:ascii="仿宋_GB2312" w:hAnsi="Times New Roman" w:eastAsia="仿宋_GB2312" w:cs="Times New Roman"/>
          <w:b w:val="0"/>
          <w:kern w:val="0"/>
          <w:sz w:val="32"/>
          <w:szCs w:val="28"/>
          <w:lang w:val="en-US" w:eastAsia="zh-CN" w:bidi="ar-SA"/>
        </w:rPr>
        <w:t xml:space="preserve">该一级指标设置分值10分，得分10分，扣0分。  </w:t>
      </w:r>
    </w:p>
    <w:bookmarkEnd w:id="2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kern w:val="0"/>
          <w:sz w:val="32"/>
          <w:szCs w:val="28"/>
          <w:lang w:val="en-US" w:eastAsia="zh-CN" w:bidi="ar-SA"/>
        </w:rPr>
      </w:pPr>
      <w:r>
        <w:rPr>
          <w:rFonts w:hint="eastAsia" w:ascii="仿宋_GB2312" w:hAnsi="Times New Roman" w:eastAsia="仿宋_GB2312" w:cs="Times New Roman"/>
          <w:b w:val="0"/>
          <w:kern w:val="0"/>
          <w:sz w:val="32"/>
          <w:szCs w:val="28"/>
          <w:lang w:val="en-US" w:eastAsia="zh-CN" w:bidi="ar-SA"/>
        </w:rPr>
        <w:t>2、过程情况</w:t>
      </w:r>
    </w:p>
    <w:tbl>
      <w:tblPr>
        <w:tblStyle w:val="21"/>
        <w:tblW w:w="5000" w:type="pct"/>
        <w:tblInd w:w="0" w:type="dxa"/>
        <w:tblLayout w:type="fixed"/>
        <w:tblCellMar>
          <w:top w:w="0" w:type="dxa"/>
          <w:left w:w="108" w:type="dxa"/>
          <w:bottom w:w="0" w:type="dxa"/>
          <w:right w:w="108" w:type="dxa"/>
        </w:tblCellMar>
      </w:tblPr>
      <w:tblGrid>
        <w:gridCol w:w="2912"/>
        <w:gridCol w:w="1015"/>
        <w:gridCol w:w="1235"/>
        <w:gridCol w:w="1353"/>
        <w:gridCol w:w="853"/>
        <w:gridCol w:w="1155"/>
      </w:tblGrid>
      <w:tr>
        <w:tblPrEx>
          <w:tblCellMar>
            <w:top w:w="0" w:type="dxa"/>
            <w:left w:w="108" w:type="dxa"/>
            <w:bottom w:w="0" w:type="dxa"/>
            <w:right w:w="108" w:type="dxa"/>
          </w:tblCellMar>
        </w:tblPrEx>
        <w:trPr>
          <w:trHeight w:val="330" w:hRule="atLeast"/>
          <w:tblHeader/>
        </w:trPr>
        <w:tc>
          <w:tcPr>
            <w:tcW w:w="17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三级指标</w:t>
            </w:r>
          </w:p>
        </w:tc>
        <w:tc>
          <w:tcPr>
            <w:tcW w:w="5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分值</w:t>
            </w:r>
          </w:p>
        </w:tc>
        <w:tc>
          <w:tcPr>
            <w:tcW w:w="7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标杆值</w:t>
            </w:r>
          </w:p>
        </w:tc>
        <w:tc>
          <w:tcPr>
            <w:tcW w:w="7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完成情况</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得分</w:t>
            </w:r>
          </w:p>
        </w:tc>
        <w:tc>
          <w:tcPr>
            <w:tcW w:w="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得分率</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B101</w:t>
            </w:r>
            <w:r>
              <w:rPr>
                <w:rFonts w:hint="eastAsia" w:ascii="仿宋_GB2312" w:hAnsi="宋体" w:eastAsia="仿宋_GB2312"/>
                <w:color w:val="000000"/>
                <w:kern w:val="0"/>
                <w:sz w:val="22"/>
                <w:szCs w:val="22"/>
              </w:rPr>
              <w:t>预算执行率</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 xml:space="preserve">3.00 </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Times New Roman" w:eastAsia="仿宋_GB2312"/>
                <w:color w:val="000000"/>
                <w:kern w:val="0"/>
                <w:sz w:val="22"/>
                <w:szCs w:val="22"/>
              </w:rPr>
            </w:pPr>
            <w:r>
              <w:rPr>
                <w:rFonts w:hint="eastAsia" w:ascii="楷体" w:hAnsi="楷体" w:eastAsia="楷体" w:cs="楷体"/>
                <w:i w:val="0"/>
                <w:color w:val="000000"/>
                <w:kern w:val="0"/>
                <w:sz w:val="20"/>
                <w:szCs w:val="20"/>
                <w:u w:val="none"/>
                <w:lang w:val="en-US" w:eastAsia="zh-CN" w:bidi="ar"/>
              </w:rPr>
              <w:t>100%</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99.80%</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 xml:space="preserve">2.97 </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99.00%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B102</w:t>
            </w:r>
            <w:r>
              <w:rPr>
                <w:rFonts w:hint="eastAsia" w:ascii="仿宋_GB2312" w:hAnsi="宋体" w:eastAsia="仿宋_GB2312"/>
                <w:color w:val="000000"/>
                <w:kern w:val="0"/>
                <w:sz w:val="22"/>
                <w:szCs w:val="22"/>
              </w:rPr>
              <w:t>预算调整情况</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 xml:space="preserve">2.00 </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Times New Roman" w:eastAsia="仿宋_GB2312"/>
                <w:color w:val="000000"/>
                <w:kern w:val="0"/>
                <w:sz w:val="22"/>
                <w:szCs w:val="22"/>
              </w:rPr>
            </w:pPr>
            <w:r>
              <w:rPr>
                <w:rFonts w:hint="eastAsia" w:ascii="楷体" w:hAnsi="楷体" w:eastAsia="楷体" w:cs="楷体"/>
                <w:i w:val="0"/>
                <w:color w:val="000000"/>
                <w:kern w:val="0"/>
                <w:sz w:val="20"/>
                <w:szCs w:val="20"/>
                <w:u w:val="none"/>
                <w:lang w:val="en-US" w:eastAsia="zh-CN" w:bidi="ar"/>
              </w:rPr>
              <w:t>无擅自调整</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highlight w:val="yellow"/>
              </w:rPr>
            </w:pPr>
            <w:r>
              <w:rPr>
                <w:rFonts w:hint="eastAsia" w:ascii="楷体" w:hAnsi="楷体" w:eastAsia="楷体" w:cs="楷体"/>
                <w:i w:val="0"/>
                <w:color w:val="000000"/>
                <w:kern w:val="0"/>
                <w:sz w:val="20"/>
                <w:szCs w:val="20"/>
                <w:highlight w:val="none"/>
                <w:u w:val="none"/>
                <w:lang w:val="en-US" w:eastAsia="zh-CN" w:bidi="ar"/>
              </w:rPr>
              <w:t>无擅自调整</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 xml:space="preserve">2.00 </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B103</w:t>
            </w:r>
            <w:r>
              <w:rPr>
                <w:rFonts w:hint="eastAsia" w:ascii="仿宋_GB2312" w:hAnsi="宋体" w:eastAsia="仿宋_GB2312"/>
                <w:color w:val="000000"/>
                <w:kern w:val="0"/>
                <w:sz w:val="22"/>
                <w:szCs w:val="22"/>
              </w:rPr>
              <w:t>支付进度率</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3.00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100%</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56.96%</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0.00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rPr>
            </w:pPr>
            <w:r>
              <w:rPr>
                <w:rFonts w:hint="eastAsia" w:ascii="仿宋_GB2312" w:hAnsi="宋体" w:eastAsia="仿宋_GB2312"/>
                <w:color w:val="000000"/>
                <w:kern w:val="0"/>
                <w:sz w:val="22"/>
                <w:szCs w:val="22"/>
              </w:rPr>
              <w:t>B10</w:t>
            </w:r>
            <w:r>
              <w:rPr>
                <w:rFonts w:hint="eastAsia" w:ascii="仿宋_GB2312" w:hAnsi="宋体" w:eastAsia="仿宋_GB2312"/>
                <w:color w:val="000000"/>
                <w:kern w:val="0"/>
                <w:sz w:val="22"/>
                <w:szCs w:val="22"/>
                <w:lang w:val="en-US" w:eastAsia="zh-CN"/>
              </w:rPr>
              <w:t>4</w:t>
            </w:r>
            <w:r>
              <w:rPr>
                <w:rFonts w:hint="eastAsia" w:ascii="仿宋_GB2312" w:hAnsi="宋体" w:eastAsia="仿宋_GB2312"/>
                <w:color w:val="000000"/>
                <w:kern w:val="0"/>
                <w:sz w:val="22"/>
                <w:szCs w:val="22"/>
              </w:rPr>
              <w:t>上年结转资金执行率</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2.00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100%</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96.41%</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1.64</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82.00%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lang w:val="en-US" w:eastAsia="zh-CN"/>
              </w:rPr>
            </w:pPr>
            <w:r>
              <w:rPr>
                <w:rFonts w:hint="eastAsia" w:ascii="仿宋_GB2312" w:hAnsi="宋体" w:eastAsia="仿宋_GB2312"/>
                <w:color w:val="000000"/>
                <w:kern w:val="0"/>
                <w:sz w:val="22"/>
                <w:szCs w:val="22"/>
              </w:rPr>
              <w:t>B10</w:t>
            </w:r>
            <w:r>
              <w:rPr>
                <w:rFonts w:hint="eastAsia" w:ascii="仿宋_GB2312" w:hAnsi="宋体" w:eastAsia="仿宋_GB2312"/>
                <w:color w:val="000000"/>
                <w:kern w:val="0"/>
                <w:sz w:val="22"/>
                <w:szCs w:val="22"/>
                <w:lang w:val="en-US" w:eastAsia="zh-CN"/>
              </w:rPr>
              <w:t>5“三公经费”变动情况</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2.00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无变动</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无变动</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2.00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lang w:val="en-US" w:eastAsia="zh-CN"/>
              </w:rPr>
            </w:pPr>
            <w:r>
              <w:rPr>
                <w:rFonts w:hint="eastAsia" w:ascii="仿宋_GB2312" w:hAnsi="宋体" w:eastAsia="仿宋_GB2312"/>
                <w:color w:val="000000"/>
                <w:kern w:val="0"/>
                <w:sz w:val="22"/>
                <w:szCs w:val="22"/>
              </w:rPr>
              <w:t>B10</w:t>
            </w:r>
            <w:r>
              <w:rPr>
                <w:rFonts w:hint="eastAsia" w:ascii="仿宋_GB2312" w:hAnsi="宋体" w:eastAsia="仿宋_GB2312"/>
                <w:color w:val="000000"/>
                <w:kern w:val="0"/>
                <w:sz w:val="22"/>
                <w:szCs w:val="22"/>
                <w:lang w:val="en-US" w:eastAsia="zh-CN"/>
              </w:rPr>
              <w:t>6政府采购执行率</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3.00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100%</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99.58%</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3.00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rPr>
            </w:pPr>
            <w:r>
              <w:rPr>
                <w:rFonts w:hint="eastAsia" w:ascii="仿宋_GB2312" w:hAnsi="Times New Roman" w:eastAsia="仿宋_GB2312"/>
                <w:color w:val="000000"/>
                <w:kern w:val="0"/>
                <w:sz w:val="22"/>
                <w:szCs w:val="22"/>
              </w:rPr>
              <w:t>B201</w:t>
            </w:r>
            <w:r>
              <w:rPr>
                <w:rFonts w:hint="eastAsia" w:ascii="仿宋_GB2312" w:hAnsi="宋体" w:eastAsia="仿宋_GB2312"/>
                <w:color w:val="000000"/>
                <w:kern w:val="0"/>
                <w:sz w:val="22"/>
                <w:szCs w:val="22"/>
                <w:lang w:val="en-US" w:eastAsia="zh-CN"/>
              </w:rPr>
              <w:t>管理制度健全性</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2.00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健全</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u w:val="none"/>
                <w:lang w:val="en-US" w:eastAsia="zh-CN" w:bidi="ar"/>
              </w:rPr>
              <w:t>健全</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2.00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rPr>
            </w:pPr>
            <w:r>
              <w:rPr>
                <w:rFonts w:hint="eastAsia" w:ascii="仿宋_GB2312" w:hAnsi="Times New Roman" w:eastAsia="仿宋_GB2312"/>
                <w:color w:val="000000"/>
                <w:kern w:val="0"/>
                <w:sz w:val="22"/>
                <w:szCs w:val="22"/>
              </w:rPr>
              <w:t>B20</w:t>
            </w:r>
            <w:r>
              <w:rPr>
                <w:rFonts w:hint="eastAsia" w:ascii="仿宋_GB2312" w:hAnsi="Times New Roman" w:eastAsia="仿宋_GB2312"/>
                <w:color w:val="000000"/>
                <w:kern w:val="0"/>
                <w:sz w:val="22"/>
                <w:szCs w:val="22"/>
                <w:lang w:val="en-US" w:eastAsia="zh-CN"/>
              </w:rPr>
              <w:t>2</w:t>
            </w:r>
            <w:r>
              <w:rPr>
                <w:rFonts w:hint="eastAsia" w:ascii="仿宋_GB2312" w:hAnsi="宋体" w:eastAsia="仿宋_GB2312"/>
                <w:color w:val="000000"/>
                <w:kern w:val="0"/>
                <w:sz w:val="22"/>
                <w:szCs w:val="22"/>
                <w:lang w:val="en-US" w:eastAsia="zh-CN"/>
              </w:rPr>
              <w:t>资金使用合规性</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2.00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合规</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合规</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2.00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rPr>
            </w:pPr>
            <w:r>
              <w:rPr>
                <w:rFonts w:hint="eastAsia" w:ascii="仿宋_GB2312" w:hAnsi="Times New Roman" w:eastAsia="仿宋_GB2312"/>
                <w:color w:val="000000"/>
                <w:kern w:val="0"/>
                <w:sz w:val="22"/>
                <w:szCs w:val="22"/>
              </w:rPr>
              <w:t>B20</w:t>
            </w:r>
            <w:r>
              <w:rPr>
                <w:rFonts w:hint="eastAsia" w:ascii="仿宋_GB2312" w:hAnsi="Times New Roman" w:eastAsia="仿宋_GB2312"/>
                <w:color w:val="000000"/>
                <w:kern w:val="0"/>
                <w:sz w:val="22"/>
                <w:szCs w:val="22"/>
                <w:lang w:val="en-US" w:eastAsia="zh-CN"/>
              </w:rPr>
              <w:t>3</w:t>
            </w:r>
            <w:r>
              <w:rPr>
                <w:rFonts w:hint="eastAsia" w:ascii="仿宋_GB2312" w:hAnsi="宋体" w:eastAsia="仿宋_GB2312"/>
                <w:color w:val="000000"/>
                <w:kern w:val="0"/>
                <w:sz w:val="22"/>
                <w:szCs w:val="22"/>
                <w:lang w:val="en-US" w:eastAsia="zh-CN"/>
              </w:rPr>
              <w:t>预决算信息公开性</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2.00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公开</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公开</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2.00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rPr>
            </w:pPr>
            <w:r>
              <w:rPr>
                <w:rFonts w:hint="eastAsia" w:ascii="仿宋_GB2312" w:hAnsi="Times New Roman" w:eastAsia="仿宋_GB2312"/>
                <w:color w:val="000000"/>
                <w:kern w:val="0"/>
                <w:sz w:val="22"/>
                <w:szCs w:val="22"/>
              </w:rPr>
              <w:t>B20</w:t>
            </w:r>
            <w:r>
              <w:rPr>
                <w:rFonts w:hint="eastAsia" w:ascii="仿宋_GB2312" w:hAnsi="Times New Roman" w:eastAsia="仿宋_GB2312"/>
                <w:color w:val="000000"/>
                <w:kern w:val="0"/>
                <w:sz w:val="22"/>
                <w:szCs w:val="22"/>
                <w:lang w:val="en-US" w:eastAsia="zh-CN"/>
              </w:rPr>
              <w:t>4</w:t>
            </w:r>
            <w:r>
              <w:rPr>
                <w:rFonts w:hint="eastAsia" w:ascii="仿宋_GB2312" w:hAnsi="宋体" w:eastAsia="仿宋_GB2312"/>
                <w:color w:val="000000"/>
                <w:kern w:val="0"/>
                <w:sz w:val="22"/>
                <w:szCs w:val="22"/>
                <w:lang w:val="en-US" w:eastAsia="zh-CN"/>
              </w:rPr>
              <w:t>基础信息完善性</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3.00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完整</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完整</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3.00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rPr>
            </w:pPr>
            <w:r>
              <w:rPr>
                <w:rFonts w:hint="eastAsia" w:ascii="仿宋_GB2312" w:hAnsi="Times New Roman" w:eastAsia="仿宋_GB2312"/>
                <w:color w:val="000000"/>
                <w:kern w:val="0"/>
                <w:sz w:val="22"/>
                <w:szCs w:val="22"/>
              </w:rPr>
              <w:t>B</w:t>
            </w:r>
            <w:r>
              <w:rPr>
                <w:rFonts w:hint="eastAsia" w:ascii="仿宋_GB2312" w:hAnsi="Times New Roman" w:eastAsia="仿宋_GB2312"/>
                <w:color w:val="000000"/>
                <w:kern w:val="0"/>
                <w:sz w:val="22"/>
                <w:szCs w:val="22"/>
                <w:lang w:val="en-US" w:eastAsia="zh-CN"/>
              </w:rPr>
              <w:t>3</w:t>
            </w:r>
            <w:r>
              <w:rPr>
                <w:rFonts w:hint="eastAsia" w:ascii="仿宋_GB2312" w:hAnsi="Times New Roman" w:eastAsia="仿宋_GB2312"/>
                <w:color w:val="000000"/>
                <w:kern w:val="0"/>
                <w:sz w:val="22"/>
                <w:szCs w:val="22"/>
              </w:rPr>
              <w:t>01</w:t>
            </w:r>
            <w:r>
              <w:rPr>
                <w:rFonts w:hint="eastAsia" w:ascii="仿宋_GB2312" w:hAnsi="宋体" w:eastAsia="仿宋_GB2312"/>
                <w:color w:val="000000"/>
                <w:kern w:val="0"/>
                <w:sz w:val="22"/>
                <w:szCs w:val="22"/>
                <w:lang w:val="en-US" w:eastAsia="zh-CN"/>
              </w:rPr>
              <w:t>固定资产利用率</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3.00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100%</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95.41%</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2.31</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77.00%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olor w:val="000000"/>
                <w:kern w:val="0"/>
                <w:sz w:val="22"/>
                <w:szCs w:val="22"/>
              </w:rPr>
            </w:pPr>
            <w:r>
              <w:rPr>
                <w:rFonts w:hint="eastAsia" w:ascii="仿宋_GB2312" w:hAnsi="Times New Roman" w:eastAsia="仿宋_GB2312"/>
                <w:color w:val="000000"/>
                <w:kern w:val="0"/>
                <w:sz w:val="22"/>
                <w:szCs w:val="22"/>
              </w:rPr>
              <w:t>B</w:t>
            </w:r>
            <w:r>
              <w:rPr>
                <w:rFonts w:hint="eastAsia" w:ascii="仿宋_GB2312" w:hAnsi="Times New Roman" w:eastAsia="仿宋_GB2312"/>
                <w:color w:val="000000"/>
                <w:kern w:val="0"/>
                <w:sz w:val="22"/>
                <w:szCs w:val="22"/>
                <w:lang w:val="en-US" w:eastAsia="zh-CN"/>
              </w:rPr>
              <w:t>3</w:t>
            </w:r>
            <w:r>
              <w:rPr>
                <w:rFonts w:hint="eastAsia" w:ascii="仿宋_GB2312" w:hAnsi="Times New Roman" w:eastAsia="仿宋_GB2312"/>
                <w:color w:val="000000"/>
                <w:kern w:val="0"/>
                <w:sz w:val="22"/>
                <w:szCs w:val="22"/>
              </w:rPr>
              <w:t>0</w:t>
            </w:r>
            <w:r>
              <w:rPr>
                <w:rFonts w:hint="eastAsia" w:ascii="仿宋_GB2312" w:hAnsi="Times New Roman" w:eastAsia="仿宋_GB2312"/>
                <w:color w:val="000000"/>
                <w:kern w:val="0"/>
                <w:sz w:val="22"/>
                <w:szCs w:val="22"/>
                <w:lang w:val="en-US" w:eastAsia="zh-CN"/>
              </w:rPr>
              <w:t>2</w:t>
            </w:r>
            <w:r>
              <w:rPr>
                <w:rFonts w:hint="eastAsia" w:ascii="仿宋_GB2312" w:hAnsi="宋体" w:eastAsia="仿宋_GB2312"/>
                <w:color w:val="000000"/>
                <w:kern w:val="0"/>
                <w:sz w:val="22"/>
                <w:szCs w:val="22"/>
                <w:lang w:val="en-US" w:eastAsia="zh-CN"/>
              </w:rPr>
              <w:t>资产管理规范性</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3.00</w:t>
            </w:r>
          </w:p>
        </w:tc>
        <w:tc>
          <w:tcPr>
            <w:tcW w:w="72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rPr>
            </w:pPr>
            <w:r>
              <w:rPr>
                <w:rFonts w:hint="eastAsia" w:ascii="楷体" w:hAnsi="楷体" w:eastAsia="楷体" w:cs="楷体"/>
                <w:i w:val="0"/>
                <w:color w:val="000000"/>
                <w:kern w:val="0"/>
                <w:sz w:val="20"/>
                <w:szCs w:val="20"/>
                <w:u w:val="none"/>
                <w:lang w:val="en-US" w:eastAsia="zh-CN" w:bidi="ar"/>
              </w:rPr>
              <w:t>规范</w:t>
            </w:r>
          </w:p>
        </w:tc>
        <w:tc>
          <w:tcPr>
            <w:tcW w:w="79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华文宋体" w:eastAsia="仿宋_GB2312" w:cs="宋体"/>
                <w:color w:val="000000"/>
                <w:kern w:val="0"/>
                <w:sz w:val="22"/>
                <w:szCs w:val="22"/>
                <w:highlight w:val="none"/>
              </w:rPr>
            </w:pPr>
            <w:r>
              <w:rPr>
                <w:rFonts w:hint="eastAsia" w:ascii="楷体" w:hAnsi="楷体" w:eastAsia="楷体" w:cs="楷体"/>
                <w:i w:val="0"/>
                <w:color w:val="000000"/>
                <w:kern w:val="0"/>
                <w:sz w:val="20"/>
                <w:szCs w:val="20"/>
                <w:highlight w:val="none"/>
                <w:u w:val="none"/>
                <w:lang w:val="en-US" w:eastAsia="zh-CN" w:bidi="ar"/>
              </w:rPr>
              <w:t>基本规范</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1.50</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50.00%</w:t>
            </w:r>
          </w:p>
        </w:tc>
      </w:tr>
      <w:tr>
        <w:tblPrEx>
          <w:tblCellMar>
            <w:top w:w="0" w:type="dxa"/>
            <w:left w:w="108" w:type="dxa"/>
            <w:bottom w:w="0" w:type="dxa"/>
            <w:right w:w="108" w:type="dxa"/>
          </w:tblCellMar>
        </w:tblPrEx>
        <w:trPr>
          <w:trHeight w:val="330" w:hRule="atLeast"/>
        </w:trPr>
        <w:tc>
          <w:tcPr>
            <w:tcW w:w="17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合计</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lang w:val="en-US" w:eastAsia="zh-CN"/>
              </w:rPr>
              <w:t>3</w:t>
            </w:r>
            <w:r>
              <w:rPr>
                <w:rFonts w:hint="eastAsia" w:ascii="仿宋_GB2312" w:hAnsi="Times New Roman" w:eastAsia="仿宋_GB2312"/>
                <w:b/>
                <w:bCs/>
                <w:color w:val="000000"/>
                <w:kern w:val="0"/>
                <w:sz w:val="22"/>
                <w:szCs w:val="22"/>
              </w:rPr>
              <w:t>0.00</w:t>
            </w:r>
          </w:p>
        </w:tc>
        <w:tc>
          <w:tcPr>
            <w:tcW w:w="72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p>
        </w:tc>
        <w:tc>
          <w:tcPr>
            <w:tcW w:w="793"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yellow"/>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b/>
                <w:bCs/>
                <w:color w:val="000000"/>
                <w:kern w:val="0"/>
                <w:sz w:val="22"/>
                <w:szCs w:val="22"/>
                <w:highlight w:val="none"/>
                <w:lang w:val="en-US" w:eastAsia="zh-CN"/>
              </w:rPr>
            </w:pPr>
            <w:r>
              <w:rPr>
                <w:rFonts w:hint="eastAsia" w:ascii="仿宋_GB2312" w:hAnsi="Times New Roman" w:eastAsia="仿宋_GB2312"/>
                <w:b/>
                <w:bCs/>
                <w:color w:val="000000"/>
                <w:kern w:val="0"/>
                <w:sz w:val="22"/>
                <w:szCs w:val="22"/>
                <w:highlight w:val="none"/>
                <w:lang w:val="en-US" w:eastAsia="zh-CN"/>
              </w:rPr>
              <w:t>24.42</w:t>
            </w:r>
          </w:p>
        </w:tc>
        <w:tc>
          <w:tcPr>
            <w:tcW w:w="67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lang w:val="en-US" w:eastAsia="zh-CN"/>
              </w:rPr>
              <w:t>81.40</w:t>
            </w:r>
            <w:r>
              <w:rPr>
                <w:rFonts w:hint="eastAsia" w:ascii="仿宋_GB2312" w:hAnsi="Times New Roman" w:eastAsia="仿宋_GB2312"/>
                <w:b/>
                <w:bCs/>
                <w:color w:val="000000"/>
                <w:kern w:val="0"/>
                <w:sz w:val="22"/>
                <w:szCs w:val="22"/>
                <w:highlight w:val="none"/>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lang w:val="en-US" w:eastAsia="zh-CN" w:bidi="ar-SA"/>
        </w:rPr>
      </w:pPr>
      <w:r>
        <w:rPr>
          <w:rFonts w:hint="eastAsia" w:ascii="仿宋_GB2312" w:hAnsi="Times New Roman" w:eastAsia="仿宋_GB2312" w:cs="Times New Roman"/>
          <w:b w:val="0"/>
          <w:kern w:val="0"/>
          <w:sz w:val="32"/>
          <w:szCs w:val="28"/>
          <w:lang w:val="en-US" w:eastAsia="zh-CN" w:bidi="ar-SA"/>
        </w:rPr>
        <w:t>该一级指标设置分值30分，</w:t>
      </w:r>
      <w:r>
        <w:rPr>
          <w:rFonts w:hint="eastAsia" w:ascii="仿宋_GB2312" w:hAnsi="Times New Roman" w:eastAsia="仿宋_GB2312" w:cs="Times New Roman"/>
          <w:b w:val="0"/>
          <w:kern w:val="0"/>
          <w:sz w:val="32"/>
          <w:szCs w:val="28"/>
          <w:highlight w:val="none"/>
          <w:lang w:val="en-US" w:eastAsia="zh-CN" w:bidi="ar-SA"/>
        </w:rPr>
        <w:t>得分24.42分，</w:t>
      </w:r>
      <w:r>
        <w:rPr>
          <w:rFonts w:hint="eastAsia" w:ascii="仿宋_GB2312" w:hAnsi="Times New Roman" w:eastAsia="仿宋_GB2312" w:cs="Times New Roman"/>
          <w:b w:val="0"/>
          <w:kern w:val="0"/>
          <w:sz w:val="32"/>
          <w:szCs w:val="28"/>
          <w:lang w:val="en-US" w:eastAsia="zh-CN" w:bidi="ar-SA"/>
        </w:rPr>
        <w:t>扣5.58分。</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lang w:val="zh-CN" w:eastAsia="zh-CN" w:bidi="ar-SA"/>
        </w:rPr>
      </w:pPr>
      <w:r>
        <w:rPr>
          <w:rFonts w:hint="eastAsia" w:ascii="仿宋_GB2312" w:hAnsi="Times New Roman" w:eastAsia="仿宋_GB2312" w:cs="Times New Roman"/>
          <w:b w:val="0"/>
          <w:kern w:val="0"/>
          <w:sz w:val="32"/>
          <w:szCs w:val="28"/>
          <w:lang w:val="zh-CN" w:eastAsia="zh-CN" w:bidi="ar-SA"/>
        </w:rPr>
        <w:t>扣分项：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highlight w:val="none"/>
          <w:lang w:val="en-US" w:eastAsia="zh-CN" w:bidi="ar-SA"/>
        </w:rPr>
      </w:pPr>
      <w:r>
        <w:rPr>
          <w:rFonts w:hint="eastAsia" w:ascii="仿宋_GB2312" w:hAnsi="Times New Roman" w:eastAsia="仿宋_GB2312" w:cs="Times New Roman"/>
          <w:b w:val="0"/>
          <w:kern w:val="0"/>
          <w:sz w:val="32"/>
          <w:szCs w:val="28"/>
          <w:highlight w:val="none"/>
          <w:lang w:val="en-US" w:eastAsia="zh-CN" w:bidi="ar-SA"/>
        </w:rPr>
        <w:t>预算执行率：2020年度预算执行数为4,769,599, 502.41元，调整后预算数为4,779,295,628.96元,预算执行率99.80%，降低0.2%，扣1%权重，扣0.03分。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highlight w:val="none"/>
          <w:lang w:val="en-US" w:eastAsia="zh-CN" w:bidi="ar-SA"/>
        </w:rPr>
      </w:pPr>
      <w:r>
        <w:rPr>
          <w:rFonts w:hint="eastAsia" w:ascii="仿宋_GB2312" w:hAnsi="Times New Roman" w:eastAsia="仿宋_GB2312" w:cs="Times New Roman"/>
          <w:b w:val="0"/>
          <w:kern w:val="0"/>
          <w:sz w:val="32"/>
          <w:szCs w:val="28"/>
          <w:highlight w:val="none"/>
          <w:lang w:val="en-US" w:eastAsia="zh-CN" w:bidi="ar-SA"/>
        </w:rPr>
        <w:t>支付进度率:3月份的支付进度率为39.70%，6月份为33.43%，9月份为54.71%，12月份为100.00%，平均支付进度率56.96%，降低43.04%，扣100%权重，扣3分。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highlight w:val="none"/>
          <w:lang w:val="en-US" w:eastAsia="zh-CN" w:bidi="ar-SA"/>
        </w:rPr>
      </w:pPr>
      <w:r>
        <w:rPr>
          <w:rFonts w:hint="eastAsia" w:ascii="仿宋_GB2312" w:hAnsi="Times New Roman" w:eastAsia="仿宋_GB2312" w:cs="Times New Roman"/>
          <w:b w:val="0"/>
          <w:kern w:val="0"/>
          <w:sz w:val="32"/>
          <w:szCs w:val="28"/>
          <w:highlight w:val="none"/>
          <w:lang w:val="en-US" w:eastAsia="zh-CN" w:bidi="ar-SA"/>
        </w:rPr>
        <w:t>上年结转资金执行率:结转执行数为231,298, 023.27元，结转总额为239,906,652.43元，上年结转资金执行率为96.41%，降低3.59%，扣17.95%的权重,扣0.36分。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highlight w:val="none"/>
          <w:lang w:val="en-US" w:eastAsia="zh-CN" w:bidi="ar-SA"/>
        </w:rPr>
      </w:pPr>
      <w:r>
        <w:rPr>
          <w:rFonts w:hint="eastAsia" w:ascii="仿宋_GB2312" w:hAnsi="Times New Roman" w:eastAsia="仿宋_GB2312" w:cs="Times New Roman"/>
          <w:b w:val="0"/>
          <w:kern w:val="0"/>
          <w:sz w:val="32"/>
          <w:szCs w:val="28"/>
          <w:highlight w:val="none"/>
          <w:lang w:val="en-US" w:eastAsia="zh-CN" w:bidi="ar-SA"/>
        </w:rPr>
        <w:t>固定资产利用率:住建局在用的资产总额为19,759.39万元，资产总额为20,711.04万元，资产利用率为95.41%，降低4.59%，扣22.95%的权重，扣0.69分。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2"/>
        <w:textAlignment w:val="auto"/>
        <w:rPr>
          <w:rFonts w:hint="eastAsia" w:ascii="仿宋_GB2312" w:hAnsi="Times New Roman" w:eastAsia="仿宋_GB2312" w:cs="Times New Roman"/>
          <w:b w:val="0"/>
          <w:kern w:val="0"/>
          <w:sz w:val="32"/>
          <w:szCs w:val="28"/>
          <w:highlight w:val="none"/>
          <w:lang w:val="en-US" w:eastAsia="zh-CN" w:bidi="ar-SA"/>
        </w:rPr>
      </w:pPr>
      <w:r>
        <w:rPr>
          <w:rFonts w:hint="eastAsia" w:ascii="仿宋_GB2312" w:hAnsi="Times New Roman" w:eastAsia="仿宋_GB2312" w:cs="Times New Roman"/>
          <w:b w:val="0"/>
          <w:kern w:val="0"/>
          <w:sz w:val="32"/>
          <w:szCs w:val="28"/>
          <w:highlight w:val="none"/>
          <w:lang w:val="en-US" w:eastAsia="zh-CN" w:bidi="ar-SA"/>
        </w:rPr>
        <w:t>资产管理规范性:住建局虽然已制定资产管理制度，但存在689.01万元的闲置资产以及262.64万元的待处置资产，以上资产闲置和划入待处置时间较长，资产的使用和处置以及制度的执行存在一定的问题，扣1/2的权重，扣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kern w:val="0"/>
          <w:sz w:val="32"/>
          <w:szCs w:val="28"/>
          <w:lang w:val="en-US" w:eastAsia="zh-CN" w:bidi="ar-SA"/>
        </w:rPr>
      </w:pPr>
      <w:r>
        <w:rPr>
          <w:rFonts w:hint="eastAsia" w:ascii="仿宋_GB2312" w:hAnsi="Times New Roman" w:eastAsia="仿宋_GB2312" w:cs="Times New Roman"/>
          <w:b w:val="0"/>
          <w:kern w:val="0"/>
          <w:sz w:val="32"/>
          <w:szCs w:val="28"/>
          <w:lang w:val="en-US" w:eastAsia="zh-CN" w:bidi="ar-SA"/>
        </w:rPr>
        <w:t>3、产出情况</w:t>
      </w:r>
    </w:p>
    <w:tbl>
      <w:tblPr>
        <w:tblStyle w:val="21"/>
        <w:tblW w:w="5000" w:type="pct"/>
        <w:tblInd w:w="0" w:type="dxa"/>
        <w:tblLayout w:type="autofit"/>
        <w:tblCellMar>
          <w:top w:w="0" w:type="dxa"/>
          <w:left w:w="108" w:type="dxa"/>
          <w:bottom w:w="0" w:type="dxa"/>
          <w:right w:w="108" w:type="dxa"/>
        </w:tblCellMar>
      </w:tblPr>
      <w:tblGrid>
        <w:gridCol w:w="2394"/>
        <w:gridCol w:w="1213"/>
        <w:gridCol w:w="1254"/>
        <w:gridCol w:w="1296"/>
        <w:gridCol w:w="1278"/>
        <w:gridCol w:w="1087"/>
      </w:tblGrid>
      <w:tr>
        <w:tblPrEx>
          <w:tblCellMar>
            <w:top w:w="0" w:type="dxa"/>
            <w:left w:w="108" w:type="dxa"/>
            <w:bottom w:w="0" w:type="dxa"/>
            <w:right w:w="108" w:type="dxa"/>
          </w:tblCellMar>
        </w:tblPrEx>
        <w:trPr>
          <w:cantSplit/>
          <w:trHeight w:val="329" w:hRule="atLeast"/>
          <w:tblHeader/>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三级指标</w:t>
            </w:r>
          </w:p>
        </w:tc>
        <w:tc>
          <w:tcPr>
            <w:tcW w:w="7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分值</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标杆值</w:t>
            </w:r>
          </w:p>
        </w:tc>
        <w:tc>
          <w:tcPr>
            <w:tcW w:w="7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完成情况</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得分</w:t>
            </w:r>
          </w:p>
        </w:tc>
        <w:tc>
          <w:tcPr>
            <w:tcW w:w="6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得分率</w:t>
            </w:r>
          </w:p>
        </w:tc>
      </w:tr>
      <w:tr>
        <w:tblPrEx>
          <w:tblCellMar>
            <w:top w:w="0" w:type="dxa"/>
            <w:left w:w="108" w:type="dxa"/>
            <w:bottom w:w="0" w:type="dxa"/>
            <w:right w:w="108" w:type="dxa"/>
          </w:tblCellMar>
        </w:tblPrEx>
        <w:trPr>
          <w:cantSplit/>
          <w:trHeight w:val="329"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C101</w:t>
            </w:r>
            <w:r>
              <w:rPr>
                <w:rFonts w:hint="eastAsia" w:ascii="仿宋_GB2312" w:hAnsi="宋体" w:eastAsia="仿宋_GB2312"/>
                <w:color w:val="000000"/>
                <w:kern w:val="0"/>
                <w:sz w:val="22"/>
                <w:szCs w:val="22"/>
              </w:rPr>
              <w:t>实际完成率</w:t>
            </w:r>
          </w:p>
        </w:tc>
        <w:tc>
          <w:tcPr>
            <w:tcW w:w="7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7</w:t>
            </w:r>
            <w:r>
              <w:rPr>
                <w:rFonts w:hint="eastAsia" w:ascii="仿宋_GB2312" w:hAnsi="Times New Roman" w:eastAsia="仿宋_GB2312"/>
                <w:color w:val="000000"/>
                <w:kern w:val="0"/>
                <w:sz w:val="22"/>
                <w:szCs w:val="22"/>
              </w:rPr>
              <w:t>.00</w:t>
            </w:r>
          </w:p>
        </w:tc>
        <w:tc>
          <w:tcPr>
            <w:tcW w:w="73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100%</w:t>
            </w:r>
          </w:p>
        </w:tc>
        <w:tc>
          <w:tcPr>
            <w:tcW w:w="76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heme="minorBidi"/>
                <w:color w:val="000000"/>
                <w:kern w:val="0"/>
                <w:sz w:val="22"/>
                <w:szCs w:val="22"/>
                <w:highlight w:val="none"/>
                <w:lang w:val="en-US" w:eastAsia="zh-CN" w:bidi="ar-SA"/>
              </w:rPr>
            </w:pPr>
            <w:r>
              <w:rPr>
                <w:rFonts w:hint="eastAsia" w:ascii="仿宋_GB2312" w:hAnsi="Times New Roman" w:eastAsia="仿宋_GB2312"/>
                <w:color w:val="000000"/>
                <w:kern w:val="0"/>
                <w:sz w:val="22"/>
                <w:szCs w:val="22"/>
                <w:highlight w:val="none"/>
              </w:rPr>
              <w:t>100%</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7</w:t>
            </w:r>
            <w:r>
              <w:rPr>
                <w:rFonts w:hint="eastAsia" w:ascii="仿宋_GB2312" w:hAnsi="Times New Roman" w:eastAsia="仿宋_GB2312"/>
                <w:color w:val="000000"/>
                <w:kern w:val="0"/>
                <w:sz w:val="22"/>
                <w:szCs w:val="22"/>
                <w:highlight w:val="none"/>
              </w:rPr>
              <w:t>.00</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cantSplit/>
          <w:trHeight w:val="329"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C102</w:t>
            </w:r>
            <w:r>
              <w:rPr>
                <w:rFonts w:hint="eastAsia" w:ascii="仿宋_GB2312" w:hAnsi="宋体" w:eastAsia="仿宋_GB2312"/>
                <w:color w:val="000000"/>
                <w:kern w:val="0"/>
                <w:sz w:val="22"/>
                <w:szCs w:val="22"/>
              </w:rPr>
              <w:t>完成及时率</w:t>
            </w:r>
          </w:p>
        </w:tc>
        <w:tc>
          <w:tcPr>
            <w:tcW w:w="7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7</w:t>
            </w:r>
            <w:r>
              <w:rPr>
                <w:rFonts w:hint="eastAsia" w:ascii="仿宋_GB2312" w:hAnsi="Times New Roman" w:eastAsia="仿宋_GB2312"/>
                <w:color w:val="000000"/>
                <w:kern w:val="0"/>
                <w:sz w:val="22"/>
                <w:szCs w:val="22"/>
              </w:rPr>
              <w:t>.00</w:t>
            </w:r>
          </w:p>
        </w:tc>
        <w:tc>
          <w:tcPr>
            <w:tcW w:w="73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100%</w:t>
            </w:r>
          </w:p>
        </w:tc>
        <w:tc>
          <w:tcPr>
            <w:tcW w:w="76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heme="minorBidi"/>
                <w:color w:val="000000"/>
                <w:kern w:val="0"/>
                <w:sz w:val="22"/>
                <w:szCs w:val="22"/>
                <w:highlight w:val="none"/>
                <w:lang w:val="en-US" w:eastAsia="zh-CN" w:bidi="ar-SA"/>
              </w:rPr>
            </w:pPr>
            <w:r>
              <w:rPr>
                <w:rFonts w:hint="eastAsia" w:ascii="仿宋_GB2312" w:hAnsi="Times New Roman" w:eastAsia="仿宋_GB2312"/>
                <w:color w:val="000000"/>
                <w:kern w:val="0"/>
                <w:sz w:val="22"/>
                <w:szCs w:val="22"/>
                <w:highlight w:val="none"/>
              </w:rPr>
              <w:t>100%</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7</w:t>
            </w:r>
            <w:r>
              <w:rPr>
                <w:rFonts w:hint="eastAsia" w:ascii="仿宋_GB2312" w:hAnsi="Times New Roman" w:eastAsia="仿宋_GB2312"/>
                <w:color w:val="000000"/>
                <w:kern w:val="0"/>
                <w:sz w:val="22"/>
                <w:szCs w:val="22"/>
                <w:highlight w:val="none"/>
              </w:rPr>
              <w:t>.00</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cantSplit/>
          <w:trHeight w:val="329"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C103</w:t>
            </w:r>
            <w:r>
              <w:rPr>
                <w:rFonts w:hint="eastAsia" w:ascii="仿宋_GB2312" w:hAnsi="宋体" w:eastAsia="仿宋_GB2312"/>
                <w:color w:val="000000"/>
                <w:kern w:val="0"/>
                <w:sz w:val="22"/>
                <w:szCs w:val="22"/>
              </w:rPr>
              <w:t>质量达标率</w:t>
            </w:r>
          </w:p>
        </w:tc>
        <w:tc>
          <w:tcPr>
            <w:tcW w:w="7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7</w:t>
            </w:r>
            <w:r>
              <w:rPr>
                <w:rFonts w:hint="eastAsia" w:ascii="仿宋_GB2312" w:hAnsi="Times New Roman" w:eastAsia="仿宋_GB2312"/>
                <w:color w:val="000000"/>
                <w:kern w:val="0"/>
                <w:sz w:val="22"/>
                <w:szCs w:val="22"/>
              </w:rPr>
              <w:t>.00</w:t>
            </w:r>
          </w:p>
        </w:tc>
        <w:tc>
          <w:tcPr>
            <w:tcW w:w="73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100%</w:t>
            </w:r>
          </w:p>
        </w:tc>
        <w:tc>
          <w:tcPr>
            <w:tcW w:w="7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stheme="minorBidi"/>
                <w:color w:val="000000"/>
                <w:kern w:val="0"/>
                <w:sz w:val="22"/>
                <w:szCs w:val="22"/>
                <w:highlight w:val="none"/>
                <w:lang w:val="en-US" w:eastAsia="zh-CN" w:bidi="ar-SA"/>
              </w:rPr>
            </w:pPr>
            <w:r>
              <w:rPr>
                <w:rFonts w:hint="eastAsia" w:ascii="仿宋_GB2312" w:hAnsi="Times New Roman" w:eastAsia="仿宋_GB2312"/>
                <w:color w:val="000000"/>
                <w:kern w:val="0"/>
                <w:sz w:val="22"/>
                <w:szCs w:val="22"/>
                <w:highlight w:val="none"/>
              </w:rPr>
              <w:t>100%</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7</w:t>
            </w:r>
            <w:r>
              <w:rPr>
                <w:rFonts w:hint="eastAsia" w:ascii="仿宋_GB2312" w:hAnsi="Times New Roman" w:eastAsia="仿宋_GB2312"/>
                <w:color w:val="000000"/>
                <w:kern w:val="0"/>
                <w:sz w:val="22"/>
                <w:szCs w:val="22"/>
                <w:highlight w:val="none"/>
              </w:rPr>
              <w:t>.00</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cantSplit/>
          <w:trHeight w:val="329"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C104</w:t>
            </w:r>
            <w:r>
              <w:rPr>
                <w:rFonts w:hint="eastAsia" w:ascii="仿宋_GB2312" w:hAnsi="宋体" w:eastAsia="仿宋_GB2312"/>
                <w:color w:val="000000"/>
                <w:kern w:val="0"/>
                <w:sz w:val="22"/>
                <w:szCs w:val="22"/>
              </w:rPr>
              <w:t>重点工作办结率</w:t>
            </w:r>
          </w:p>
        </w:tc>
        <w:tc>
          <w:tcPr>
            <w:tcW w:w="7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lang w:val="en-US" w:eastAsia="zh-CN"/>
              </w:rPr>
              <w:t>9</w:t>
            </w:r>
            <w:r>
              <w:rPr>
                <w:rFonts w:hint="eastAsia" w:ascii="仿宋_GB2312" w:hAnsi="Times New Roman" w:eastAsia="仿宋_GB2312"/>
                <w:color w:val="000000"/>
                <w:kern w:val="0"/>
                <w:sz w:val="22"/>
                <w:szCs w:val="22"/>
              </w:rPr>
              <w:t>.00</w:t>
            </w:r>
          </w:p>
        </w:tc>
        <w:tc>
          <w:tcPr>
            <w:tcW w:w="73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宋体" w:eastAsia="仿宋_GB2312" w:cs="宋体"/>
                <w:color w:val="000000"/>
                <w:kern w:val="0"/>
                <w:sz w:val="22"/>
                <w:szCs w:val="22"/>
              </w:rPr>
            </w:pPr>
            <w:r>
              <w:rPr>
                <w:rFonts w:hint="eastAsia" w:ascii="仿宋_GB2312" w:hAnsi="Times New Roman" w:eastAsia="仿宋_GB2312"/>
                <w:color w:val="000000"/>
                <w:kern w:val="0"/>
                <w:sz w:val="22"/>
                <w:szCs w:val="22"/>
              </w:rPr>
              <w:t>100%</w:t>
            </w:r>
          </w:p>
        </w:tc>
        <w:tc>
          <w:tcPr>
            <w:tcW w:w="76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华文宋体" w:eastAsia="仿宋_GB2312" w:cs="宋体"/>
                <w:color w:val="000000"/>
                <w:kern w:val="0"/>
                <w:sz w:val="22"/>
                <w:szCs w:val="22"/>
                <w:highlight w:val="none"/>
                <w:lang w:val="en-US" w:eastAsia="zh-CN" w:bidi="ar-SA"/>
              </w:rPr>
            </w:pPr>
            <w:r>
              <w:rPr>
                <w:rFonts w:hint="eastAsia" w:ascii="仿宋_GB2312" w:hAnsi="Times New Roman" w:eastAsia="仿宋_GB2312"/>
                <w:color w:val="000000"/>
                <w:kern w:val="0"/>
                <w:sz w:val="22"/>
                <w:szCs w:val="22"/>
                <w:highlight w:val="none"/>
              </w:rPr>
              <w:t>100%</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rPr>
            </w:pPr>
            <w:r>
              <w:rPr>
                <w:rFonts w:hint="eastAsia" w:ascii="仿宋_GB2312" w:hAnsi="Times New Roman" w:eastAsia="仿宋_GB2312"/>
                <w:color w:val="000000"/>
                <w:kern w:val="0"/>
                <w:sz w:val="22"/>
                <w:szCs w:val="22"/>
                <w:highlight w:val="none"/>
                <w:lang w:val="en-US" w:eastAsia="zh-CN"/>
              </w:rPr>
              <w:t>9</w:t>
            </w:r>
            <w:r>
              <w:rPr>
                <w:rFonts w:hint="eastAsia" w:ascii="仿宋_GB2312" w:hAnsi="Times New Roman" w:eastAsia="仿宋_GB2312"/>
                <w:color w:val="000000"/>
                <w:kern w:val="0"/>
                <w:sz w:val="22"/>
                <w:szCs w:val="22"/>
                <w:highlight w:val="none"/>
              </w:rPr>
              <w:t>.00</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cantSplit/>
          <w:trHeight w:val="329"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合计</w:t>
            </w:r>
          </w:p>
        </w:tc>
        <w:tc>
          <w:tcPr>
            <w:tcW w:w="7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lang w:val="en-US" w:eastAsia="zh-CN"/>
              </w:rPr>
              <w:t>30</w:t>
            </w:r>
            <w:r>
              <w:rPr>
                <w:rFonts w:hint="eastAsia" w:ascii="仿宋_GB2312" w:hAnsi="Times New Roman" w:eastAsia="仿宋_GB2312"/>
                <w:b/>
                <w:bCs/>
                <w:color w:val="000000"/>
                <w:kern w:val="0"/>
                <w:sz w:val="22"/>
                <w:szCs w:val="22"/>
              </w:rPr>
              <w:t>.00</w:t>
            </w:r>
          </w:p>
        </w:tc>
        <w:tc>
          <w:tcPr>
            <w:tcW w:w="73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p>
        </w:tc>
        <w:tc>
          <w:tcPr>
            <w:tcW w:w="76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b/>
                <w:bCs/>
                <w:color w:val="000000"/>
                <w:kern w:val="0"/>
                <w:sz w:val="22"/>
                <w:szCs w:val="22"/>
                <w:highlight w:val="none"/>
                <w:lang w:val="en-US" w:eastAsia="zh-CN"/>
              </w:rPr>
            </w:pPr>
            <w:r>
              <w:rPr>
                <w:rFonts w:hint="eastAsia" w:ascii="仿宋_GB2312" w:hAnsi="Times New Roman" w:eastAsia="仿宋_GB2312"/>
                <w:b/>
                <w:bCs/>
                <w:color w:val="000000"/>
                <w:kern w:val="0"/>
                <w:sz w:val="22"/>
                <w:szCs w:val="22"/>
                <w:highlight w:val="none"/>
                <w:lang w:val="en-US" w:eastAsia="zh-CN"/>
              </w:rPr>
              <w:t>30</w:t>
            </w:r>
            <w:r>
              <w:rPr>
                <w:rFonts w:hint="eastAsia" w:ascii="仿宋_GB2312" w:hAnsi="Times New Roman" w:eastAsia="仿宋_GB2312"/>
                <w:b/>
                <w:bCs/>
                <w:color w:val="000000"/>
                <w:kern w:val="0"/>
                <w:sz w:val="22"/>
                <w:szCs w:val="22"/>
                <w:highlight w:val="none"/>
              </w:rPr>
              <w:t>.00</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100.00%</w:t>
            </w:r>
          </w:p>
        </w:tc>
      </w:tr>
    </w:tbl>
    <w:p>
      <w:pPr>
        <w:keepNext w:val="0"/>
        <w:keepLines w:val="0"/>
        <w:pageBreakBefore w:val="0"/>
        <w:widowControl w:val="0"/>
        <w:kinsoku/>
        <w:wordWrap/>
        <w:overflowPunct/>
        <w:topLinePunct w:val="0"/>
        <w:autoSpaceDE/>
        <w:autoSpaceDN/>
        <w:bidi w:val="0"/>
        <w:adjustRightInd/>
        <w:snapToGrid/>
        <w:spacing w:before="31" w:beforeLines="10" w:after="31" w:afterLines="10" w:line="560" w:lineRule="exact"/>
        <w:ind w:firstLine="640" w:firstLineChars="200"/>
        <w:textAlignment w:val="auto"/>
        <w:rPr>
          <w:rFonts w:hint="eastAsia" w:ascii="仿宋_GB2312" w:hAnsi="Times New Roman" w:eastAsia="仿宋_GB2312" w:cs="Times New Roman"/>
          <w:b w:val="0"/>
          <w:kern w:val="0"/>
          <w:sz w:val="32"/>
          <w:szCs w:val="28"/>
          <w:highlight w:val="yellow"/>
          <w:lang w:val="en-US" w:eastAsia="zh-CN" w:bidi="ar-SA"/>
        </w:rPr>
      </w:pPr>
      <w:r>
        <w:rPr>
          <w:rFonts w:hint="eastAsia" w:ascii="仿宋_GB2312" w:hAnsi="Times New Roman" w:eastAsia="仿宋_GB2312" w:cs="Times New Roman"/>
          <w:b w:val="0"/>
          <w:kern w:val="0"/>
          <w:sz w:val="32"/>
          <w:szCs w:val="28"/>
          <w:highlight w:val="none"/>
          <w:lang w:val="en-US" w:eastAsia="zh-CN" w:bidi="ar-SA"/>
        </w:rPr>
        <w:t>该一级指标设置分值30分，得分30分，扣0分。</w:t>
      </w:r>
    </w:p>
    <w:p>
      <w:pPr>
        <w:keepNext w:val="0"/>
        <w:keepLines w:val="0"/>
        <w:pageBreakBefore w:val="0"/>
        <w:widowControl w:val="0"/>
        <w:kinsoku/>
        <w:wordWrap/>
        <w:overflowPunct/>
        <w:topLinePunct w:val="0"/>
        <w:autoSpaceDE/>
        <w:autoSpaceDN/>
        <w:bidi w:val="0"/>
        <w:adjustRightInd/>
        <w:snapToGrid/>
        <w:spacing w:before="31" w:beforeLines="10" w:after="31" w:afterLines="10" w:line="560" w:lineRule="exact"/>
        <w:ind w:firstLine="640" w:firstLineChars="200"/>
        <w:textAlignment w:val="auto"/>
        <w:rPr>
          <w:rFonts w:hint="eastAsia" w:ascii="仿宋_GB2312" w:hAnsi="Times New Roman" w:eastAsia="仿宋_GB2312" w:cs="Times New Roman"/>
          <w:b w:val="0"/>
          <w:kern w:val="0"/>
          <w:sz w:val="32"/>
          <w:szCs w:val="28"/>
          <w:lang w:val="en-US" w:eastAsia="zh-CN" w:bidi="ar-SA"/>
        </w:rPr>
      </w:pPr>
      <w:r>
        <w:rPr>
          <w:rFonts w:hint="eastAsia" w:ascii="仿宋_GB2312" w:hAnsi="Times New Roman" w:eastAsia="仿宋_GB2312" w:cs="Times New Roman"/>
          <w:b w:val="0"/>
          <w:kern w:val="0"/>
          <w:sz w:val="32"/>
          <w:szCs w:val="28"/>
          <w:lang w:val="en-US" w:eastAsia="zh-CN" w:bidi="ar-SA"/>
        </w:rPr>
        <w:t>4.效果情况</w:t>
      </w:r>
    </w:p>
    <w:tbl>
      <w:tblPr>
        <w:tblStyle w:val="21"/>
        <w:tblW w:w="5000" w:type="pct"/>
        <w:tblInd w:w="0" w:type="dxa"/>
        <w:tblLayout w:type="fixed"/>
        <w:tblCellMar>
          <w:top w:w="0" w:type="dxa"/>
          <w:left w:w="108" w:type="dxa"/>
          <w:bottom w:w="0" w:type="dxa"/>
          <w:right w:w="108" w:type="dxa"/>
        </w:tblCellMar>
      </w:tblPr>
      <w:tblGrid>
        <w:gridCol w:w="2925"/>
        <w:gridCol w:w="1105"/>
        <w:gridCol w:w="1143"/>
        <w:gridCol w:w="1190"/>
        <w:gridCol w:w="1059"/>
        <w:gridCol w:w="1101"/>
      </w:tblGrid>
      <w:tr>
        <w:tblPrEx>
          <w:tblCellMar>
            <w:top w:w="0" w:type="dxa"/>
            <w:left w:w="108" w:type="dxa"/>
            <w:bottom w:w="0" w:type="dxa"/>
            <w:right w:w="108" w:type="dxa"/>
          </w:tblCellMar>
        </w:tblPrEx>
        <w:trPr>
          <w:trHeight w:val="329" w:hRule="atLeast"/>
        </w:trPr>
        <w:tc>
          <w:tcPr>
            <w:tcW w:w="17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三级指标</w:t>
            </w: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分值</w:t>
            </w:r>
          </w:p>
        </w:tc>
        <w:tc>
          <w:tcPr>
            <w:tcW w:w="6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标杆值</w:t>
            </w:r>
          </w:p>
        </w:tc>
        <w:tc>
          <w:tcPr>
            <w:tcW w:w="6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完成情况</w:t>
            </w:r>
          </w:p>
        </w:tc>
        <w:tc>
          <w:tcPr>
            <w:tcW w:w="6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得分</w:t>
            </w:r>
          </w:p>
        </w:tc>
        <w:tc>
          <w:tcPr>
            <w:tcW w:w="6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得分率</w:t>
            </w:r>
          </w:p>
        </w:tc>
      </w:tr>
      <w:tr>
        <w:tblPrEx>
          <w:tblCellMar>
            <w:top w:w="0" w:type="dxa"/>
            <w:left w:w="108" w:type="dxa"/>
            <w:bottom w:w="0" w:type="dxa"/>
            <w:right w:w="108" w:type="dxa"/>
          </w:tblCellMar>
        </w:tblPrEx>
        <w:trPr>
          <w:trHeight w:val="329" w:hRule="atLeast"/>
        </w:trPr>
        <w:tc>
          <w:tcPr>
            <w:tcW w:w="171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D101</w:t>
            </w:r>
            <w:r>
              <w:rPr>
                <w:rFonts w:hint="eastAsia" w:ascii="仿宋_GB2312" w:hAnsi="Times New Roman" w:eastAsia="仿宋_GB2312"/>
                <w:color w:val="000000"/>
                <w:kern w:val="0"/>
                <w:sz w:val="22"/>
                <w:szCs w:val="22"/>
                <w:lang w:eastAsia="zh-CN"/>
              </w:rPr>
              <w:t>经济</w:t>
            </w:r>
            <w:r>
              <w:rPr>
                <w:rFonts w:hint="eastAsia" w:ascii="仿宋_GB2312" w:hAnsi="Times New Roman" w:eastAsia="仿宋_GB2312"/>
                <w:color w:val="000000"/>
                <w:kern w:val="0"/>
                <w:sz w:val="22"/>
                <w:szCs w:val="22"/>
              </w:rPr>
              <w:t>效益</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lang w:val="en-US" w:eastAsia="zh-CN"/>
              </w:rPr>
            </w:pPr>
            <w:r>
              <w:rPr>
                <w:rFonts w:hint="eastAsia" w:ascii="仿宋_GB2312" w:hAnsi="Times New Roman" w:eastAsia="仿宋_GB2312"/>
                <w:color w:val="000000"/>
                <w:kern w:val="0"/>
                <w:sz w:val="22"/>
                <w:szCs w:val="22"/>
                <w:lang w:val="en-US" w:eastAsia="zh-CN"/>
              </w:rPr>
              <w:t>4.50</w:t>
            </w:r>
          </w:p>
        </w:tc>
        <w:tc>
          <w:tcPr>
            <w:tcW w:w="670"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华文宋体" w:eastAsia="仿宋_GB2312" w:cs="宋体"/>
                <w:color w:val="000000"/>
                <w:kern w:val="0"/>
                <w:sz w:val="22"/>
                <w:szCs w:val="22"/>
                <w:lang w:val="en-US" w:eastAsia="zh-CN"/>
              </w:rPr>
            </w:pPr>
            <w:r>
              <w:rPr>
                <w:rFonts w:hint="eastAsia" w:ascii="仿宋_GB2312" w:hAnsi="华文宋体" w:eastAsia="仿宋_GB2312" w:cs="宋体"/>
                <w:color w:val="000000"/>
                <w:kern w:val="0"/>
                <w:sz w:val="22"/>
                <w:szCs w:val="22"/>
                <w:lang w:val="en-US" w:eastAsia="zh-CN"/>
              </w:rPr>
              <w:t>显著</w:t>
            </w:r>
          </w:p>
        </w:tc>
        <w:tc>
          <w:tcPr>
            <w:tcW w:w="69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华文宋体" w:eastAsia="仿宋_GB2312" w:cs="宋体"/>
                <w:color w:val="000000"/>
                <w:kern w:val="0"/>
                <w:sz w:val="22"/>
                <w:szCs w:val="22"/>
                <w:highlight w:val="none"/>
                <w:lang w:val="en-US" w:eastAsia="zh-CN" w:bidi="ar-SA"/>
              </w:rPr>
            </w:pPr>
            <w:r>
              <w:rPr>
                <w:rFonts w:hint="eastAsia" w:ascii="仿宋_GB2312" w:hAnsi="华文宋体" w:eastAsia="仿宋_GB2312" w:cs="宋体"/>
                <w:color w:val="000000"/>
                <w:kern w:val="0"/>
                <w:sz w:val="22"/>
                <w:szCs w:val="22"/>
                <w:highlight w:val="none"/>
                <w:lang w:val="en-US" w:eastAsia="zh-CN"/>
              </w:rPr>
              <w:t>显著</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4.50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trHeight w:val="329" w:hRule="atLeast"/>
        </w:trPr>
        <w:tc>
          <w:tcPr>
            <w:tcW w:w="171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Times New Roman" w:eastAsia="仿宋_GB2312"/>
                <w:color w:val="000000"/>
                <w:kern w:val="0"/>
                <w:sz w:val="22"/>
                <w:szCs w:val="22"/>
                <w:lang w:val="en-US" w:eastAsia="zh-CN"/>
              </w:rPr>
            </w:pPr>
            <w:r>
              <w:rPr>
                <w:rFonts w:hint="eastAsia" w:ascii="仿宋_GB2312" w:hAnsi="Times New Roman" w:eastAsia="仿宋_GB2312"/>
                <w:color w:val="000000"/>
                <w:kern w:val="0"/>
                <w:sz w:val="22"/>
                <w:szCs w:val="22"/>
              </w:rPr>
              <w:t>D10</w:t>
            </w:r>
            <w:r>
              <w:rPr>
                <w:rFonts w:hint="eastAsia" w:ascii="仿宋_GB2312" w:hAnsi="Times New Roman" w:eastAsia="仿宋_GB2312"/>
                <w:color w:val="000000"/>
                <w:kern w:val="0"/>
                <w:sz w:val="22"/>
                <w:szCs w:val="22"/>
                <w:lang w:val="en-US" w:eastAsia="zh-CN"/>
              </w:rPr>
              <w:t>2</w:t>
            </w:r>
            <w:r>
              <w:rPr>
                <w:rFonts w:hint="eastAsia" w:ascii="仿宋_GB2312" w:hAnsi="Times New Roman" w:eastAsia="仿宋_GB2312"/>
                <w:color w:val="000000"/>
                <w:kern w:val="0"/>
                <w:sz w:val="22"/>
                <w:szCs w:val="22"/>
              </w:rPr>
              <w:t>社会效益</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lang w:val="en-US" w:eastAsia="zh-CN"/>
              </w:rPr>
            </w:pPr>
            <w:r>
              <w:rPr>
                <w:rFonts w:hint="eastAsia" w:ascii="仿宋_GB2312" w:hAnsi="Times New Roman" w:eastAsia="仿宋_GB2312"/>
                <w:color w:val="000000"/>
                <w:kern w:val="0"/>
                <w:sz w:val="22"/>
                <w:szCs w:val="22"/>
                <w:lang w:val="en-US" w:eastAsia="zh-CN"/>
              </w:rPr>
              <w:t>10.00</w:t>
            </w:r>
          </w:p>
        </w:tc>
        <w:tc>
          <w:tcPr>
            <w:tcW w:w="670"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华文宋体" w:eastAsia="仿宋_GB2312" w:cs="宋体"/>
                <w:color w:val="000000"/>
                <w:kern w:val="0"/>
                <w:sz w:val="22"/>
                <w:szCs w:val="22"/>
              </w:rPr>
            </w:pPr>
            <w:r>
              <w:rPr>
                <w:rFonts w:hint="eastAsia" w:ascii="仿宋_GB2312" w:hAnsi="华文宋体" w:eastAsia="仿宋_GB2312" w:cs="宋体"/>
                <w:color w:val="000000"/>
                <w:kern w:val="0"/>
                <w:sz w:val="22"/>
                <w:szCs w:val="22"/>
                <w:lang w:val="en-US" w:eastAsia="zh-CN"/>
              </w:rPr>
              <w:t>显著</w:t>
            </w:r>
          </w:p>
        </w:tc>
        <w:tc>
          <w:tcPr>
            <w:tcW w:w="69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华文宋体" w:eastAsia="仿宋_GB2312" w:cs="宋体"/>
                <w:color w:val="000000"/>
                <w:kern w:val="0"/>
                <w:sz w:val="22"/>
                <w:szCs w:val="22"/>
                <w:highlight w:val="none"/>
                <w:lang w:val="en-US" w:eastAsia="zh-CN" w:bidi="ar-SA"/>
              </w:rPr>
            </w:pPr>
            <w:r>
              <w:rPr>
                <w:rFonts w:hint="eastAsia" w:ascii="仿宋_GB2312" w:hAnsi="华文宋体" w:eastAsia="仿宋_GB2312" w:cs="宋体"/>
                <w:color w:val="000000"/>
                <w:kern w:val="0"/>
                <w:sz w:val="22"/>
                <w:szCs w:val="22"/>
                <w:highlight w:val="none"/>
                <w:lang w:val="en-US" w:eastAsia="zh-CN"/>
              </w:rPr>
              <w:t>显著</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trHeight w:val="329" w:hRule="atLeast"/>
        </w:trPr>
        <w:tc>
          <w:tcPr>
            <w:tcW w:w="171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D10</w:t>
            </w:r>
            <w:r>
              <w:rPr>
                <w:rFonts w:hint="eastAsia" w:ascii="仿宋_GB2312" w:hAnsi="Times New Roman" w:eastAsia="仿宋_GB2312"/>
                <w:color w:val="000000"/>
                <w:kern w:val="0"/>
                <w:sz w:val="22"/>
                <w:szCs w:val="22"/>
                <w:lang w:val="en-US" w:eastAsia="zh-CN"/>
              </w:rPr>
              <w:t>3</w:t>
            </w:r>
            <w:r>
              <w:rPr>
                <w:rFonts w:hint="eastAsia" w:ascii="仿宋_GB2312" w:hAnsi="Times New Roman" w:eastAsia="仿宋_GB2312"/>
                <w:color w:val="000000"/>
                <w:kern w:val="0"/>
                <w:sz w:val="22"/>
                <w:szCs w:val="22"/>
              </w:rPr>
              <w:t>行政效能</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lang w:val="en-US" w:eastAsia="zh-CN"/>
              </w:rPr>
            </w:pPr>
            <w:r>
              <w:rPr>
                <w:rFonts w:hint="eastAsia" w:ascii="仿宋_GB2312" w:hAnsi="Times New Roman" w:eastAsia="仿宋_GB2312"/>
                <w:color w:val="000000"/>
                <w:kern w:val="0"/>
                <w:sz w:val="22"/>
                <w:szCs w:val="22"/>
                <w:lang w:val="en-US" w:eastAsia="zh-CN"/>
              </w:rPr>
              <w:t>4.50</w:t>
            </w:r>
          </w:p>
        </w:tc>
        <w:tc>
          <w:tcPr>
            <w:tcW w:w="670"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华文宋体" w:eastAsia="仿宋_GB2312" w:cs="宋体"/>
                <w:color w:val="000000"/>
                <w:kern w:val="0"/>
                <w:sz w:val="22"/>
                <w:szCs w:val="22"/>
              </w:rPr>
            </w:pPr>
            <w:r>
              <w:rPr>
                <w:rFonts w:hint="eastAsia" w:ascii="仿宋_GB2312" w:hAnsi="华文宋体" w:eastAsia="仿宋_GB2312" w:cs="宋体"/>
                <w:color w:val="000000"/>
                <w:kern w:val="0"/>
                <w:sz w:val="22"/>
                <w:szCs w:val="22"/>
                <w:lang w:val="en-US" w:eastAsia="zh-CN"/>
              </w:rPr>
              <w:t>显著</w:t>
            </w:r>
          </w:p>
        </w:tc>
        <w:tc>
          <w:tcPr>
            <w:tcW w:w="69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华文宋体" w:eastAsia="仿宋_GB2312" w:cs="宋体"/>
                <w:color w:val="000000"/>
                <w:kern w:val="0"/>
                <w:sz w:val="22"/>
                <w:szCs w:val="22"/>
                <w:highlight w:val="none"/>
                <w:lang w:val="en-US" w:eastAsia="zh-CN" w:bidi="ar-SA"/>
              </w:rPr>
            </w:pPr>
            <w:r>
              <w:rPr>
                <w:rFonts w:hint="eastAsia" w:ascii="仿宋_GB2312" w:hAnsi="华文宋体" w:eastAsia="仿宋_GB2312" w:cs="宋体"/>
                <w:color w:val="000000"/>
                <w:kern w:val="0"/>
                <w:sz w:val="22"/>
                <w:szCs w:val="22"/>
                <w:highlight w:val="none"/>
                <w:lang w:val="en-US" w:eastAsia="zh-CN"/>
              </w:rPr>
              <w:t>显著</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4.50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trHeight w:val="329" w:hRule="atLeast"/>
        </w:trPr>
        <w:tc>
          <w:tcPr>
            <w:tcW w:w="171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D10</w:t>
            </w:r>
            <w:r>
              <w:rPr>
                <w:rFonts w:hint="eastAsia" w:ascii="仿宋_GB2312" w:hAnsi="Times New Roman" w:eastAsia="仿宋_GB2312"/>
                <w:color w:val="000000"/>
                <w:kern w:val="0"/>
                <w:sz w:val="22"/>
                <w:szCs w:val="22"/>
                <w:lang w:val="en-US" w:eastAsia="zh-CN"/>
              </w:rPr>
              <w:t>4</w:t>
            </w:r>
            <w:r>
              <w:rPr>
                <w:rFonts w:hint="eastAsia" w:ascii="仿宋_GB2312" w:hAnsi="Times New Roman" w:eastAsia="仿宋_GB2312"/>
                <w:color w:val="000000"/>
                <w:kern w:val="0"/>
                <w:sz w:val="22"/>
                <w:szCs w:val="22"/>
              </w:rPr>
              <w:t>可持续效益</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lang w:val="en-US" w:eastAsia="zh-CN"/>
              </w:rPr>
            </w:pPr>
            <w:r>
              <w:rPr>
                <w:rFonts w:hint="eastAsia" w:ascii="仿宋_GB2312" w:hAnsi="Times New Roman" w:eastAsia="仿宋_GB2312"/>
                <w:color w:val="000000"/>
                <w:kern w:val="0"/>
                <w:sz w:val="22"/>
                <w:szCs w:val="22"/>
                <w:lang w:val="en-US" w:eastAsia="zh-CN"/>
              </w:rPr>
              <w:t>1.00</w:t>
            </w:r>
          </w:p>
        </w:tc>
        <w:tc>
          <w:tcPr>
            <w:tcW w:w="67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华文宋体" w:eastAsia="仿宋_GB2312" w:cs="宋体"/>
                <w:color w:val="000000"/>
                <w:kern w:val="0"/>
                <w:sz w:val="22"/>
                <w:szCs w:val="22"/>
              </w:rPr>
            </w:pPr>
            <w:r>
              <w:rPr>
                <w:rFonts w:hint="eastAsia" w:ascii="仿宋_GB2312" w:hAnsi="华文宋体" w:eastAsia="仿宋_GB2312" w:cs="宋体"/>
                <w:color w:val="000000"/>
                <w:kern w:val="0"/>
                <w:sz w:val="22"/>
                <w:szCs w:val="22"/>
                <w:lang w:val="en-US" w:eastAsia="zh-CN"/>
              </w:rPr>
              <w:t>显著</w:t>
            </w:r>
          </w:p>
        </w:tc>
        <w:tc>
          <w:tcPr>
            <w:tcW w:w="69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宋体" w:eastAsia="仿宋_GB2312" w:cs="宋体"/>
                <w:color w:val="000000"/>
                <w:kern w:val="0"/>
                <w:sz w:val="22"/>
                <w:szCs w:val="22"/>
                <w:highlight w:val="none"/>
                <w:lang w:val="en-US" w:eastAsia="zh-CN" w:bidi="ar-SA"/>
              </w:rPr>
            </w:pPr>
            <w:r>
              <w:rPr>
                <w:rFonts w:hint="eastAsia" w:ascii="仿宋_GB2312" w:hAnsi="华文宋体" w:eastAsia="仿宋_GB2312" w:cs="宋体"/>
                <w:color w:val="000000"/>
                <w:kern w:val="0"/>
                <w:sz w:val="22"/>
                <w:szCs w:val="22"/>
                <w:highlight w:val="none"/>
                <w:lang w:val="en-US" w:eastAsia="zh-CN"/>
              </w:rPr>
              <w:t>显著</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1.00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10</w:t>
            </w:r>
            <w:r>
              <w:rPr>
                <w:rFonts w:hint="eastAsia" w:ascii="仿宋_GB2312" w:hAnsi="Times New Roman" w:eastAsia="仿宋_GB2312"/>
                <w:color w:val="000000"/>
                <w:kern w:val="0"/>
                <w:sz w:val="22"/>
                <w:szCs w:val="22"/>
                <w:highlight w:val="none"/>
              </w:rPr>
              <w:t>0.00%</w:t>
            </w:r>
          </w:p>
        </w:tc>
      </w:tr>
      <w:tr>
        <w:tblPrEx>
          <w:tblCellMar>
            <w:top w:w="0" w:type="dxa"/>
            <w:left w:w="108" w:type="dxa"/>
            <w:bottom w:w="0" w:type="dxa"/>
            <w:right w:w="108" w:type="dxa"/>
          </w:tblCellMar>
        </w:tblPrEx>
        <w:trPr>
          <w:trHeight w:val="329" w:hRule="atLeast"/>
        </w:trPr>
        <w:tc>
          <w:tcPr>
            <w:tcW w:w="171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rPr>
            </w:pPr>
            <w:r>
              <w:rPr>
                <w:rFonts w:hint="eastAsia" w:ascii="仿宋_GB2312" w:hAnsi="Times New Roman" w:eastAsia="仿宋_GB2312"/>
                <w:color w:val="000000"/>
                <w:kern w:val="0"/>
                <w:sz w:val="22"/>
                <w:szCs w:val="22"/>
              </w:rPr>
              <w:t>D20</w:t>
            </w:r>
            <w:r>
              <w:rPr>
                <w:rFonts w:hint="eastAsia" w:ascii="仿宋_GB2312" w:hAnsi="Times New Roman" w:eastAsia="仿宋_GB2312"/>
                <w:color w:val="000000"/>
                <w:kern w:val="0"/>
                <w:sz w:val="22"/>
                <w:szCs w:val="22"/>
                <w:lang w:val="en-US" w:eastAsia="zh-CN"/>
              </w:rPr>
              <w:t>1</w:t>
            </w:r>
            <w:r>
              <w:rPr>
                <w:rFonts w:hint="eastAsia" w:ascii="仿宋_GB2312" w:hAnsi="Times New Roman" w:eastAsia="仿宋_GB2312"/>
                <w:color w:val="000000"/>
                <w:kern w:val="0"/>
                <w:sz w:val="22"/>
                <w:szCs w:val="22"/>
              </w:rPr>
              <w:t>社会公众、其他部门（单位）或服务对象满意度</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lang w:val="en-US" w:eastAsia="zh-CN"/>
              </w:rPr>
            </w:pPr>
            <w:r>
              <w:rPr>
                <w:rFonts w:hint="eastAsia" w:ascii="仿宋_GB2312" w:hAnsi="Times New Roman" w:eastAsia="仿宋_GB2312"/>
                <w:color w:val="000000"/>
                <w:kern w:val="0"/>
                <w:sz w:val="22"/>
                <w:szCs w:val="22"/>
                <w:lang w:val="en-US" w:eastAsia="zh-CN"/>
              </w:rPr>
              <w:t>10.00</w:t>
            </w:r>
          </w:p>
        </w:tc>
        <w:tc>
          <w:tcPr>
            <w:tcW w:w="67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lang w:val="en-US" w:eastAsia="zh-CN"/>
              </w:rPr>
            </w:pPr>
            <w:r>
              <w:rPr>
                <w:rFonts w:hint="eastAsia" w:ascii="仿宋_GB2312" w:hAnsi="Times New Roman" w:eastAsia="仿宋_GB2312"/>
                <w:color w:val="000000"/>
                <w:kern w:val="0"/>
                <w:sz w:val="22"/>
                <w:szCs w:val="22"/>
                <w:lang w:val="en-US" w:eastAsia="zh-CN"/>
              </w:rPr>
              <w:t>85%</w:t>
            </w:r>
          </w:p>
        </w:tc>
        <w:tc>
          <w:tcPr>
            <w:tcW w:w="69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stheme="minorBidi"/>
                <w:color w:val="000000"/>
                <w:kern w:val="0"/>
                <w:sz w:val="22"/>
                <w:szCs w:val="22"/>
                <w:highlight w:val="none"/>
                <w:lang w:val="en-US" w:eastAsia="zh-CN" w:bidi="ar-SA"/>
              </w:rPr>
            </w:pPr>
            <w:r>
              <w:rPr>
                <w:rFonts w:hint="eastAsia" w:ascii="仿宋_GB2312" w:hAnsi="Times New Roman" w:eastAsia="仿宋_GB2312"/>
                <w:color w:val="000000"/>
                <w:kern w:val="0"/>
                <w:sz w:val="22"/>
                <w:szCs w:val="22"/>
                <w:highlight w:val="none"/>
                <w:lang w:val="en-US" w:eastAsia="zh-CN"/>
              </w:rPr>
              <w:t>99.37%</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10.00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100.00%</w:t>
            </w:r>
          </w:p>
        </w:tc>
      </w:tr>
      <w:tr>
        <w:tblPrEx>
          <w:tblCellMar>
            <w:top w:w="0" w:type="dxa"/>
            <w:left w:w="108" w:type="dxa"/>
            <w:bottom w:w="0" w:type="dxa"/>
            <w:right w:w="108" w:type="dxa"/>
          </w:tblCellMar>
        </w:tblPrEx>
        <w:trPr>
          <w:trHeight w:val="329" w:hRule="atLeast"/>
        </w:trPr>
        <w:tc>
          <w:tcPr>
            <w:tcW w:w="17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合计</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r>
              <w:rPr>
                <w:rFonts w:hint="eastAsia" w:ascii="仿宋_GB2312" w:hAnsi="Times New Roman" w:eastAsia="仿宋_GB2312"/>
                <w:b/>
                <w:bCs/>
                <w:color w:val="000000"/>
                <w:kern w:val="0"/>
                <w:sz w:val="22"/>
                <w:szCs w:val="22"/>
              </w:rPr>
              <w:t>3</w:t>
            </w:r>
            <w:r>
              <w:rPr>
                <w:rFonts w:hint="eastAsia" w:ascii="仿宋_GB2312" w:hAnsi="Times New Roman" w:eastAsia="仿宋_GB2312"/>
                <w:b/>
                <w:bCs/>
                <w:color w:val="000000"/>
                <w:kern w:val="0"/>
                <w:sz w:val="22"/>
                <w:szCs w:val="22"/>
                <w:lang w:val="en-US" w:eastAsia="zh-CN"/>
              </w:rPr>
              <w:t>0</w:t>
            </w:r>
            <w:r>
              <w:rPr>
                <w:rFonts w:hint="eastAsia" w:ascii="仿宋_GB2312" w:hAnsi="Times New Roman" w:eastAsia="仿宋_GB2312"/>
                <w:b/>
                <w:bCs/>
                <w:color w:val="000000"/>
                <w:kern w:val="0"/>
                <w:sz w:val="22"/>
                <w:szCs w:val="22"/>
              </w:rPr>
              <w:t>.00</w:t>
            </w:r>
          </w:p>
        </w:tc>
        <w:tc>
          <w:tcPr>
            <w:tcW w:w="67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rPr>
            </w:pPr>
          </w:p>
        </w:tc>
        <w:tc>
          <w:tcPr>
            <w:tcW w:w="69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yellow"/>
              </w:rPr>
            </w:pP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lang w:val="en-US" w:eastAsia="zh-CN"/>
              </w:rPr>
              <w:t>30</w:t>
            </w:r>
            <w:r>
              <w:rPr>
                <w:rFonts w:hint="eastAsia" w:ascii="仿宋_GB2312" w:hAnsi="Times New Roman" w:eastAsia="仿宋_GB2312"/>
                <w:b/>
                <w:bCs/>
                <w:color w:val="000000"/>
                <w:kern w:val="0"/>
                <w:sz w:val="22"/>
                <w:szCs w:val="22"/>
                <w:highlight w:val="none"/>
              </w:rPr>
              <w:t>.00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lang w:val="en-US" w:eastAsia="zh-CN"/>
              </w:rPr>
              <w:t>100.00</w:t>
            </w:r>
            <w:r>
              <w:rPr>
                <w:rFonts w:hint="eastAsia" w:ascii="仿宋_GB2312" w:hAnsi="Times New Roman" w:eastAsia="仿宋_GB2312"/>
                <w:b/>
                <w:bCs/>
                <w:color w:val="000000"/>
                <w:kern w:val="0"/>
                <w:sz w:val="22"/>
                <w:szCs w:val="22"/>
                <w:highlight w:val="none"/>
              </w:rPr>
              <w:t>%</w:t>
            </w:r>
          </w:p>
        </w:tc>
      </w:tr>
    </w:tbl>
    <w:p>
      <w:pPr>
        <w:keepNext w:val="0"/>
        <w:keepLines w:val="0"/>
        <w:pageBreakBefore w:val="0"/>
        <w:widowControl w:val="0"/>
        <w:kinsoku/>
        <w:wordWrap/>
        <w:overflowPunct/>
        <w:topLinePunct w:val="0"/>
        <w:autoSpaceDE/>
        <w:autoSpaceDN/>
        <w:bidi w:val="0"/>
        <w:adjustRightInd/>
        <w:snapToGrid/>
        <w:spacing w:before="31" w:beforeLines="10" w:after="31" w:afterLines="10" w:line="560" w:lineRule="exact"/>
        <w:ind w:firstLine="640" w:firstLineChars="200"/>
        <w:textAlignment w:val="auto"/>
        <w:rPr>
          <w:rFonts w:hint="eastAsia" w:ascii="仿宋_GB2312" w:hAnsi="Times New Roman" w:eastAsia="仿宋_GB2312" w:cs="Times New Roman"/>
          <w:b w:val="0"/>
          <w:kern w:val="0"/>
          <w:sz w:val="32"/>
          <w:szCs w:val="28"/>
          <w:highlight w:val="none"/>
          <w:lang w:val="en-US" w:eastAsia="zh-CN" w:bidi="ar-SA"/>
        </w:rPr>
      </w:pPr>
      <w:r>
        <w:rPr>
          <w:rFonts w:hint="eastAsia" w:ascii="仿宋_GB2312" w:hAnsi="Times New Roman" w:eastAsia="仿宋_GB2312" w:cs="Times New Roman"/>
          <w:b w:val="0"/>
          <w:kern w:val="0"/>
          <w:sz w:val="32"/>
          <w:szCs w:val="28"/>
          <w:highlight w:val="none"/>
          <w:lang w:val="en-US" w:eastAsia="zh-CN" w:bidi="ar-SA"/>
        </w:rPr>
        <w:t>该一级指标设置分值30分，得分30分，扣0分。</w:t>
      </w:r>
    </w:p>
    <w:p>
      <w:pPr>
        <w:pStyle w:val="5"/>
        <w:bidi w:val="0"/>
        <w:rPr>
          <w:rFonts w:hint="eastAsia"/>
          <w:sz w:val="32"/>
          <w:szCs w:val="32"/>
          <w:lang w:val="en-US"/>
        </w:rPr>
      </w:pPr>
      <w:bookmarkStart w:id="28" w:name="_Toc26035"/>
      <w:r>
        <w:rPr>
          <w:sz w:val="32"/>
          <w:szCs w:val="32"/>
          <w:lang w:val="en-US"/>
        </w:rPr>
        <w:t>评价结论</w:t>
      </w:r>
      <w:bookmarkEnd w:id="28"/>
    </w:p>
    <w:p>
      <w:pPr>
        <w:pStyle w:val="5"/>
        <w:numPr>
          <w:ilvl w:val="1"/>
          <w:numId w:val="0"/>
        </w:numPr>
        <w:bidi w:val="0"/>
        <w:ind w:leftChars="200" w:firstLine="321" w:firstLineChars="100"/>
        <w:rPr>
          <w:rFonts w:hint="eastAsia" w:ascii="仿宋" w:hAnsi="仿宋" w:eastAsia="仿宋" w:cs="仿宋"/>
          <w:b/>
          <w:bCs/>
          <w:sz w:val="32"/>
          <w:szCs w:val="32"/>
          <w:lang w:val="en-US" w:eastAsia="zh-CN"/>
        </w:rPr>
      </w:pPr>
      <w:bookmarkStart w:id="29" w:name="_Toc11663"/>
      <w:r>
        <w:rPr>
          <w:rFonts w:hint="eastAsia" w:ascii="仿宋" w:hAnsi="仿宋" w:eastAsia="仿宋" w:cs="仿宋"/>
          <w:b/>
          <w:bCs/>
          <w:sz w:val="32"/>
          <w:szCs w:val="32"/>
          <w:lang w:val="en-US" w:eastAsia="zh-CN"/>
        </w:rPr>
        <w:t>1、评价分数和等级</w:t>
      </w:r>
      <w:bookmarkEnd w:id="29"/>
    </w:p>
    <w:p>
      <w:pPr>
        <w:pStyle w:val="72"/>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通过查阅项目单位提供的相关资料、现场走访</w:t>
      </w:r>
      <w:r>
        <w:rPr>
          <w:rFonts w:hint="eastAsia" w:ascii="仿宋_GB2312" w:eastAsia="仿宋_GB2312"/>
          <w:sz w:val="32"/>
          <w:szCs w:val="32"/>
          <w:highlight w:val="none"/>
          <w:lang w:val="en-US" w:eastAsia="zh-CN"/>
        </w:rPr>
        <w:t>相关企业</w:t>
      </w:r>
      <w:r>
        <w:rPr>
          <w:rFonts w:hint="eastAsia" w:ascii="仿宋_GB2312" w:eastAsia="仿宋_GB2312"/>
          <w:sz w:val="32"/>
          <w:szCs w:val="32"/>
          <w:highlight w:val="none"/>
        </w:rPr>
        <w:t>，对青岛市住房和城乡建设局整体支出进行独立评价，评价总体得分</w:t>
      </w:r>
      <w:r>
        <w:rPr>
          <w:rFonts w:hint="eastAsia" w:ascii="仿宋_GB2312" w:eastAsia="仿宋_GB2312"/>
          <w:sz w:val="32"/>
          <w:szCs w:val="32"/>
          <w:highlight w:val="none"/>
          <w:lang w:val="en-US" w:eastAsia="zh-CN"/>
        </w:rPr>
        <w:t>94.42</w:t>
      </w:r>
      <w:r>
        <w:rPr>
          <w:rFonts w:hint="eastAsia" w:ascii="仿宋_GB2312" w:eastAsia="仿宋_GB2312"/>
          <w:sz w:val="32"/>
          <w:szCs w:val="32"/>
          <w:highlight w:val="none"/>
        </w:rPr>
        <w:t>分，评价等级为“</w:t>
      </w:r>
      <w:r>
        <w:rPr>
          <w:rFonts w:hint="eastAsia" w:ascii="仿宋_GB2312" w:eastAsia="仿宋_GB2312"/>
          <w:sz w:val="32"/>
          <w:szCs w:val="32"/>
          <w:highlight w:val="none"/>
          <w:lang w:val="en-US" w:eastAsia="zh-CN"/>
        </w:rPr>
        <w:t>优</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pStyle w:val="7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表1：绩效得分总体情况</w:t>
      </w:r>
    </w:p>
    <w:tbl>
      <w:tblPr>
        <w:tblStyle w:val="21"/>
        <w:tblW w:w="5000" w:type="pct"/>
        <w:tblInd w:w="0" w:type="dxa"/>
        <w:tblLayout w:type="autofit"/>
        <w:tblCellMar>
          <w:top w:w="0" w:type="dxa"/>
          <w:left w:w="108" w:type="dxa"/>
          <w:bottom w:w="0" w:type="dxa"/>
          <w:right w:w="108" w:type="dxa"/>
        </w:tblCellMar>
      </w:tblPr>
      <w:tblGrid>
        <w:gridCol w:w="2078"/>
        <w:gridCol w:w="2233"/>
        <w:gridCol w:w="2130"/>
        <w:gridCol w:w="2081"/>
      </w:tblGrid>
      <w:tr>
        <w:tblPrEx>
          <w:tblCellMar>
            <w:top w:w="0" w:type="dxa"/>
            <w:left w:w="108" w:type="dxa"/>
            <w:bottom w:w="0" w:type="dxa"/>
            <w:right w:w="108" w:type="dxa"/>
          </w:tblCellMar>
        </w:tblPrEx>
        <w:trPr>
          <w:trHeight w:val="330" w:hRule="atLeast"/>
          <w:tblHeader/>
        </w:trPr>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指标</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分值</w:t>
            </w:r>
          </w:p>
        </w:tc>
        <w:tc>
          <w:tcPr>
            <w:tcW w:w="12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得分</w:t>
            </w:r>
          </w:p>
        </w:tc>
        <w:tc>
          <w:tcPr>
            <w:tcW w:w="12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得分率</w:t>
            </w:r>
          </w:p>
        </w:tc>
      </w:tr>
      <w:tr>
        <w:tblPrEx>
          <w:tblCellMar>
            <w:top w:w="0" w:type="dxa"/>
            <w:left w:w="108" w:type="dxa"/>
            <w:bottom w:w="0" w:type="dxa"/>
            <w:right w:w="108" w:type="dxa"/>
          </w:tblCellMar>
        </w:tblPrEx>
        <w:trPr>
          <w:trHeight w:val="330" w:hRule="atLeast"/>
        </w:trPr>
        <w:tc>
          <w:tcPr>
            <w:tcW w:w="122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Times New Roman" w:eastAsia="仿宋_GB2312"/>
                <w:color w:val="000000"/>
                <w:kern w:val="0"/>
                <w:sz w:val="22"/>
                <w:szCs w:val="22"/>
                <w:highlight w:val="none"/>
                <w:lang w:eastAsia="zh-CN"/>
              </w:rPr>
            </w:pPr>
            <w:r>
              <w:rPr>
                <w:rFonts w:hint="eastAsia" w:ascii="仿宋_GB2312" w:hAnsi="Times New Roman" w:eastAsia="仿宋_GB2312"/>
                <w:color w:val="000000"/>
                <w:kern w:val="0"/>
                <w:sz w:val="22"/>
                <w:szCs w:val="22"/>
                <w:highlight w:val="none"/>
              </w:rPr>
              <w:t>A.</w:t>
            </w:r>
            <w:r>
              <w:rPr>
                <w:rFonts w:hint="eastAsia" w:ascii="仿宋_GB2312" w:hAnsi="Times New Roman" w:eastAsia="仿宋_GB2312"/>
                <w:color w:val="000000"/>
                <w:kern w:val="0"/>
                <w:sz w:val="22"/>
                <w:szCs w:val="22"/>
                <w:highlight w:val="none"/>
                <w:lang w:val="en-US" w:eastAsia="zh-CN"/>
              </w:rPr>
              <w:t>投入</w:t>
            </w:r>
          </w:p>
        </w:tc>
        <w:tc>
          <w:tcPr>
            <w:tcW w:w="13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10.00</w:t>
            </w:r>
          </w:p>
        </w:tc>
        <w:tc>
          <w:tcPr>
            <w:tcW w:w="1248" w:type="pct"/>
            <w:tcBorders>
              <w:top w:val="nil"/>
              <w:left w:val="nil"/>
              <w:bottom w:val="single" w:color="auto" w:sz="4" w:space="0"/>
              <w:right w:val="single" w:color="auto" w:sz="4" w:space="0"/>
            </w:tcBorders>
            <w:shd w:val="clear" w:color="auto" w:fill="auto"/>
            <w:noWrap/>
          </w:tcPr>
          <w:p>
            <w:pPr>
              <w:widowControl/>
              <w:jc w:val="center"/>
              <w:rPr>
                <w:rFonts w:hint="eastAsia" w:ascii="仿宋_GB2312" w:hAnsi="Times New Roman" w:eastAsia="仿宋_GB2312"/>
                <w:color w:val="000000"/>
                <w:kern w:val="0"/>
                <w:sz w:val="22"/>
                <w:szCs w:val="22"/>
                <w:highlight w:val="none"/>
                <w:lang w:eastAsia="zh-CN"/>
              </w:rPr>
            </w:pPr>
            <w:r>
              <w:rPr>
                <w:rFonts w:hint="eastAsia" w:ascii="仿宋_GB2312" w:hAnsi="Times New Roman" w:eastAsia="仿宋_GB2312"/>
                <w:color w:val="000000"/>
                <w:kern w:val="0"/>
                <w:sz w:val="22"/>
                <w:szCs w:val="22"/>
                <w:highlight w:val="none"/>
                <w:lang w:val="en-US" w:eastAsia="zh-CN"/>
              </w:rPr>
              <w:t>10.00</w:t>
            </w:r>
          </w:p>
        </w:tc>
        <w:tc>
          <w:tcPr>
            <w:tcW w:w="1219" w:type="pct"/>
            <w:tcBorders>
              <w:top w:val="nil"/>
              <w:left w:val="nil"/>
              <w:bottom w:val="single" w:color="auto" w:sz="4" w:space="0"/>
              <w:right w:val="single" w:color="auto" w:sz="4" w:space="0"/>
            </w:tcBorders>
            <w:shd w:val="clear" w:color="auto" w:fill="auto"/>
            <w:noWrap/>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100.00</w:t>
            </w:r>
            <w:r>
              <w:rPr>
                <w:rFonts w:ascii="仿宋_GB2312" w:hAnsi="Times New Roman" w:eastAsia="仿宋_GB2312"/>
                <w:color w:val="000000"/>
                <w:kern w:val="0"/>
                <w:sz w:val="22"/>
                <w:szCs w:val="22"/>
                <w:highlight w:val="none"/>
              </w:rPr>
              <w:t>%</w:t>
            </w:r>
          </w:p>
        </w:tc>
      </w:tr>
      <w:tr>
        <w:tblPrEx>
          <w:tblCellMar>
            <w:top w:w="0" w:type="dxa"/>
            <w:left w:w="108" w:type="dxa"/>
            <w:bottom w:w="0" w:type="dxa"/>
            <w:right w:w="108" w:type="dxa"/>
          </w:tblCellMar>
        </w:tblPrEx>
        <w:trPr>
          <w:trHeight w:val="330" w:hRule="atLeast"/>
        </w:trPr>
        <w:tc>
          <w:tcPr>
            <w:tcW w:w="122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B.过程</w:t>
            </w:r>
          </w:p>
        </w:tc>
        <w:tc>
          <w:tcPr>
            <w:tcW w:w="13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3</w:t>
            </w:r>
            <w:r>
              <w:rPr>
                <w:rFonts w:hint="eastAsia" w:ascii="仿宋_GB2312" w:hAnsi="Times New Roman" w:eastAsia="仿宋_GB2312"/>
                <w:color w:val="000000"/>
                <w:kern w:val="0"/>
                <w:sz w:val="22"/>
                <w:szCs w:val="22"/>
                <w:highlight w:val="none"/>
              </w:rPr>
              <w:t>0.00</w:t>
            </w:r>
          </w:p>
        </w:tc>
        <w:tc>
          <w:tcPr>
            <w:tcW w:w="2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24.42</w:t>
            </w:r>
          </w:p>
        </w:tc>
        <w:tc>
          <w:tcPr>
            <w:tcW w:w="20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81.40%</w:t>
            </w:r>
          </w:p>
        </w:tc>
      </w:tr>
      <w:tr>
        <w:tblPrEx>
          <w:tblCellMar>
            <w:top w:w="0" w:type="dxa"/>
            <w:left w:w="108" w:type="dxa"/>
            <w:bottom w:w="0" w:type="dxa"/>
            <w:right w:w="108" w:type="dxa"/>
          </w:tblCellMar>
        </w:tblPrEx>
        <w:trPr>
          <w:trHeight w:val="330" w:hRule="atLeast"/>
        </w:trPr>
        <w:tc>
          <w:tcPr>
            <w:tcW w:w="122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C.产出</w:t>
            </w:r>
          </w:p>
        </w:tc>
        <w:tc>
          <w:tcPr>
            <w:tcW w:w="13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lang w:val="en-US" w:eastAsia="zh-CN"/>
              </w:rPr>
              <w:t>30</w:t>
            </w:r>
            <w:r>
              <w:rPr>
                <w:rFonts w:hint="eastAsia" w:ascii="仿宋_GB2312" w:hAnsi="Times New Roman" w:eastAsia="仿宋_GB2312"/>
                <w:color w:val="000000"/>
                <w:kern w:val="0"/>
                <w:sz w:val="22"/>
                <w:szCs w:val="22"/>
                <w:highlight w:val="none"/>
              </w:rPr>
              <w:t>.00</w:t>
            </w:r>
          </w:p>
        </w:tc>
        <w:tc>
          <w:tcPr>
            <w:tcW w:w="2129" w:type="dxa"/>
            <w:tcBorders>
              <w:top w:val="nil"/>
              <w:left w:val="nil"/>
              <w:bottom w:val="single" w:color="auto" w:sz="4" w:space="0"/>
              <w:right w:val="single" w:color="auto" w:sz="4" w:space="0"/>
            </w:tcBorders>
            <w:shd w:val="clear" w:color="auto" w:fill="auto"/>
            <w:noWrap/>
            <w:vAlign w:val="top"/>
          </w:tcPr>
          <w:p>
            <w:pPr>
              <w:widowControl/>
              <w:jc w:val="center"/>
              <w:rPr>
                <w:rFonts w:hint="default"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30.00</w:t>
            </w:r>
          </w:p>
        </w:tc>
        <w:tc>
          <w:tcPr>
            <w:tcW w:w="2080" w:type="dxa"/>
            <w:tcBorders>
              <w:top w:val="nil"/>
              <w:left w:val="nil"/>
              <w:bottom w:val="single" w:color="auto" w:sz="4" w:space="0"/>
              <w:right w:val="single" w:color="auto" w:sz="4" w:space="0"/>
            </w:tcBorders>
            <w:shd w:val="clear" w:color="auto" w:fill="auto"/>
            <w:noWrap/>
            <w:vAlign w:val="top"/>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22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rPr>
              <w:t>D.效</w:t>
            </w:r>
            <w:r>
              <w:rPr>
                <w:rFonts w:hint="eastAsia" w:ascii="仿宋_GB2312" w:hAnsi="Times New Roman" w:eastAsia="仿宋_GB2312"/>
                <w:color w:val="000000"/>
                <w:kern w:val="0"/>
                <w:sz w:val="22"/>
                <w:szCs w:val="22"/>
                <w:highlight w:val="none"/>
                <w:lang w:val="en-US" w:eastAsia="zh-CN"/>
              </w:rPr>
              <w:t>果</w:t>
            </w:r>
          </w:p>
        </w:tc>
        <w:tc>
          <w:tcPr>
            <w:tcW w:w="13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 w:val="22"/>
                <w:szCs w:val="22"/>
                <w:highlight w:val="none"/>
              </w:rPr>
            </w:pPr>
            <w:r>
              <w:rPr>
                <w:rFonts w:hint="eastAsia" w:ascii="仿宋_GB2312" w:hAnsi="Times New Roman" w:eastAsia="仿宋_GB2312"/>
                <w:color w:val="000000"/>
                <w:kern w:val="0"/>
                <w:sz w:val="22"/>
                <w:szCs w:val="22"/>
                <w:highlight w:val="none"/>
              </w:rPr>
              <w:t>3</w:t>
            </w:r>
            <w:r>
              <w:rPr>
                <w:rFonts w:hint="eastAsia" w:ascii="仿宋_GB2312" w:hAnsi="Times New Roman" w:eastAsia="仿宋_GB2312"/>
                <w:color w:val="000000"/>
                <w:kern w:val="0"/>
                <w:sz w:val="22"/>
                <w:szCs w:val="22"/>
                <w:highlight w:val="none"/>
                <w:lang w:val="en-US" w:eastAsia="zh-CN"/>
              </w:rPr>
              <w:t>0</w:t>
            </w:r>
            <w:r>
              <w:rPr>
                <w:rFonts w:hint="eastAsia" w:ascii="仿宋_GB2312" w:hAnsi="Times New Roman" w:eastAsia="仿宋_GB2312"/>
                <w:color w:val="000000"/>
                <w:kern w:val="0"/>
                <w:sz w:val="22"/>
                <w:szCs w:val="22"/>
                <w:highlight w:val="none"/>
              </w:rPr>
              <w:t>.00</w:t>
            </w:r>
          </w:p>
        </w:tc>
        <w:tc>
          <w:tcPr>
            <w:tcW w:w="21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30.00</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Times New Roman" w:eastAsia="仿宋_GB2312"/>
                <w:color w:val="000000"/>
                <w:kern w:val="0"/>
                <w:sz w:val="22"/>
                <w:szCs w:val="22"/>
                <w:highlight w:val="none"/>
                <w:lang w:val="en-US" w:eastAsia="zh-CN"/>
              </w:rPr>
            </w:pPr>
            <w:r>
              <w:rPr>
                <w:rFonts w:hint="eastAsia" w:ascii="仿宋_GB2312" w:hAnsi="Times New Roman" w:eastAsia="仿宋_GB2312"/>
                <w:color w:val="000000"/>
                <w:kern w:val="0"/>
                <w:sz w:val="22"/>
                <w:szCs w:val="22"/>
                <w:highlight w:val="none"/>
                <w:lang w:val="en-US" w:eastAsia="zh-CN"/>
              </w:rPr>
              <w:t>100.00%</w:t>
            </w:r>
          </w:p>
        </w:tc>
      </w:tr>
      <w:tr>
        <w:tblPrEx>
          <w:tblCellMar>
            <w:top w:w="0" w:type="dxa"/>
            <w:left w:w="108" w:type="dxa"/>
            <w:bottom w:w="0" w:type="dxa"/>
            <w:right w:w="108" w:type="dxa"/>
          </w:tblCellMar>
        </w:tblPrEx>
        <w:trPr>
          <w:trHeight w:val="330" w:hRule="atLeast"/>
        </w:trPr>
        <w:tc>
          <w:tcPr>
            <w:tcW w:w="12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合计</w:t>
            </w:r>
          </w:p>
        </w:tc>
        <w:tc>
          <w:tcPr>
            <w:tcW w:w="1311"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rPr>
              <w:t>100.00</w:t>
            </w:r>
          </w:p>
        </w:tc>
        <w:tc>
          <w:tcPr>
            <w:tcW w:w="1248" w:type="pct"/>
            <w:tcBorders>
              <w:top w:val="nil"/>
              <w:left w:val="nil"/>
              <w:bottom w:val="single" w:color="auto" w:sz="4" w:space="0"/>
              <w:right w:val="single" w:color="auto" w:sz="4" w:space="0"/>
            </w:tcBorders>
            <w:shd w:val="clear" w:color="auto" w:fill="auto"/>
            <w:noWrap/>
          </w:tcPr>
          <w:p>
            <w:pPr>
              <w:widowControl/>
              <w:jc w:val="center"/>
              <w:rPr>
                <w:rFonts w:hint="default" w:ascii="仿宋_GB2312" w:hAnsi="Times New Roman" w:eastAsia="仿宋_GB2312"/>
                <w:b/>
                <w:bCs/>
                <w:color w:val="000000"/>
                <w:kern w:val="0"/>
                <w:sz w:val="22"/>
                <w:szCs w:val="22"/>
                <w:highlight w:val="none"/>
                <w:lang w:val="en-US" w:eastAsia="zh-CN"/>
              </w:rPr>
            </w:pPr>
            <w:r>
              <w:rPr>
                <w:rFonts w:hint="eastAsia" w:ascii="仿宋_GB2312" w:hAnsi="Times New Roman" w:eastAsia="仿宋_GB2312"/>
                <w:b/>
                <w:bCs/>
                <w:color w:val="000000"/>
                <w:kern w:val="0"/>
                <w:sz w:val="22"/>
                <w:szCs w:val="22"/>
                <w:highlight w:val="none"/>
                <w:lang w:val="en-US" w:eastAsia="zh-CN"/>
              </w:rPr>
              <w:t>94.42</w:t>
            </w:r>
          </w:p>
        </w:tc>
        <w:tc>
          <w:tcPr>
            <w:tcW w:w="1219" w:type="pct"/>
            <w:tcBorders>
              <w:top w:val="nil"/>
              <w:left w:val="nil"/>
              <w:bottom w:val="single" w:color="auto" w:sz="4" w:space="0"/>
              <w:right w:val="single" w:color="auto" w:sz="4" w:space="0"/>
            </w:tcBorders>
            <w:shd w:val="clear" w:color="auto" w:fill="auto"/>
            <w:noWrap/>
          </w:tcPr>
          <w:p>
            <w:pPr>
              <w:widowControl/>
              <w:jc w:val="center"/>
              <w:rPr>
                <w:rFonts w:ascii="仿宋_GB2312" w:hAnsi="Times New Roman" w:eastAsia="仿宋_GB2312"/>
                <w:b/>
                <w:bCs/>
                <w:color w:val="000000"/>
                <w:kern w:val="0"/>
                <w:sz w:val="22"/>
                <w:szCs w:val="22"/>
                <w:highlight w:val="none"/>
              </w:rPr>
            </w:pPr>
            <w:r>
              <w:rPr>
                <w:rFonts w:hint="eastAsia" w:ascii="仿宋_GB2312" w:hAnsi="Times New Roman" w:eastAsia="仿宋_GB2312"/>
                <w:b/>
                <w:bCs/>
                <w:color w:val="000000"/>
                <w:kern w:val="0"/>
                <w:sz w:val="22"/>
                <w:szCs w:val="22"/>
                <w:highlight w:val="none"/>
                <w:lang w:val="en-US" w:eastAsia="zh-CN"/>
              </w:rPr>
              <w:t>94.42</w:t>
            </w:r>
            <w:r>
              <w:rPr>
                <w:rFonts w:ascii="仿宋_GB2312" w:hAnsi="Times New Roman" w:eastAsia="仿宋_GB2312"/>
                <w:b/>
                <w:bCs/>
                <w:color w:val="000000"/>
                <w:kern w:val="0"/>
                <w:sz w:val="22"/>
                <w:szCs w:val="22"/>
                <w:highlight w:val="none"/>
              </w:rPr>
              <w:t>%</w:t>
            </w: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lang w:val="en-US"/>
        </w:rPr>
      </w:pPr>
      <w:r>
        <w:rPr>
          <w:rFonts w:hint="eastAsia" w:ascii="仿宋_GB2312" w:eastAsia="仿宋_GB2312"/>
          <w:sz w:val="32"/>
          <w:szCs w:val="32"/>
          <w:highlight w:val="none"/>
        </w:rPr>
        <w:t>本次绩效评价工作从</w:t>
      </w:r>
      <w:r>
        <w:rPr>
          <w:rFonts w:hint="eastAsia" w:ascii="仿宋_GB2312" w:eastAsia="仿宋_GB2312"/>
          <w:sz w:val="32"/>
          <w:szCs w:val="32"/>
          <w:highlight w:val="none"/>
          <w:lang w:val="en-US" w:eastAsia="zh-CN"/>
        </w:rPr>
        <w:t>投入</w:t>
      </w:r>
      <w:r>
        <w:rPr>
          <w:rFonts w:hint="eastAsia" w:ascii="仿宋_GB2312" w:eastAsia="仿宋_GB2312"/>
          <w:sz w:val="32"/>
          <w:szCs w:val="32"/>
          <w:highlight w:val="none"/>
        </w:rPr>
        <w:t>、过程、产出、效</w:t>
      </w:r>
      <w:r>
        <w:rPr>
          <w:rFonts w:hint="eastAsia" w:ascii="仿宋_GB2312" w:eastAsia="仿宋_GB2312"/>
          <w:sz w:val="32"/>
          <w:szCs w:val="32"/>
          <w:highlight w:val="none"/>
          <w:lang w:val="en-US" w:eastAsia="zh-CN"/>
        </w:rPr>
        <w:t>果</w:t>
      </w:r>
      <w:r>
        <w:rPr>
          <w:rFonts w:hint="eastAsia" w:ascii="仿宋_GB2312" w:eastAsia="仿宋_GB2312"/>
          <w:sz w:val="32"/>
          <w:szCs w:val="32"/>
          <w:highlight w:val="none"/>
        </w:rPr>
        <w:t>四个方面对</w:t>
      </w:r>
      <w:r>
        <w:rPr>
          <w:rFonts w:hint="eastAsia" w:ascii="仿宋_GB2312" w:eastAsia="仿宋_GB2312"/>
          <w:sz w:val="32"/>
          <w:szCs w:val="32"/>
          <w:highlight w:val="none"/>
          <w:lang w:val="en-US" w:eastAsia="zh-CN"/>
        </w:rPr>
        <w:t>部门整体支出</w:t>
      </w:r>
      <w:r>
        <w:rPr>
          <w:rFonts w:hint="eastAsia" w:ascii="仿宋_GB2312" w:eastAsia="仿宋_GB2312"/>
          <w:sz w:val="32"/>
          <w:szCs w:val="32"/>
          <w:highlight w:val="none"/>
        </w:rPr>
        <w:t>情况进行评分，具体详见附表1：20</w:t>
      </w:r>
      <w:r>
        <w:rPr>
          <w:rFonts w:hint="eastAsia" w:ascii="仿宋_GB2312"/>
          <w:sz w:val="32"/>
          <w:szCs w:val="32"/>
          <w:highlight w:val="none"/>
          <w:lang w:val="en-US" w:eastAsia="zh-CN"/>
        </w:rPr>
        <w:t>20</w:t>
      </w:r>
      <w:r>
        <w:rPr>
          <w:rFonts w:hint="eastAsia" w:ascii="仿宋_GB2312" w:eastAsia="仿宋_GB2312"/>
          <w:sz w:val="32"/>
          <w:szCs w:val="32"/>
          <w:highlight w:val="none"/>
        </w:rPr>
        <w:t>年度青岛市住房和城乡建设局整体支出绩效评价指标评分表。</w:t>
      </w:r>
    </w:p>
    <w:p>
      <w:pPr>
        <w:pStyle w:val="5"/>
        <w:numPr>
          <w:ilvl w:val="1"/>
          <w:numId w:val="0"/>
        </w:numPr>
        <w:bidi w:val="0"/>
        <w:ind w:leftChars="200" w:firstLine="321" w:firstLineChars="100"/>
        <w:rPr>
          <w:rFonts w:hint="eastAsia" w:ascii="仿宋" w:hAnsi="仿宋" w:eastAsia="仿宋" w:cs="仿宋"/>
          <w:sz w:val="32"/>
          <w:szCs w:val="32"/>
          <w:lang w:val="en-US"/>
        </w:rPr>
      </w:pPr>
      <w:bookmarkStart w:id="30" w:name="_Toc22036"/>
      <w:r>
        <w:rPr>
          <w:rFonts w:hint="eastAsia" w:ascii="仿宋" w:hAnsi="仿宋" w:eastAsia="仿宋" w:cs="仿宋"/>
          <w:sz w:val="32"/>
          <w:szCs w:val="32"/>
          <w:lang w:val="en-US" w:eastAsia="zh-CN"/>
        </w:rPr>
        <w:t>2、</w:t>
      </w:r>
      <w:r>
        <w:rPr>
          <w:rFonts w:hint="eastAsia" w:ascii="仿宋" w:hAnsi="仿宋" w:eastAsia="仿宋" w:cs="仿宋"/>
          <w:sz w:val="32"/>
          <w:szCs w:val="32"/>
          <w:lang w:val="en-US"/>
        </w:rPr>
        <w:t>工作成效</w:t>
      </w:r>
      <w:bookmarkEnd w:id="30"/>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2020年</w:t>
      </w:r>
      <w:r>
        <w:rPr>
          <w:rFonts w:hint="eastAsia" w:ascii="仿宋_GB2312" w:eastAsia="仿宋_GB2312"/>
          <w:sz w:val="32"/>
          <w:szCs w:val="32"/>
          <w:highlight w:val="none"/>
          <w:lang w:val="en-US" w:eastAsia="zh-CN"/>
        </w:rPr>
        <w:t>度业务目标共有</w:t>
      </w:r>
      <w:r>
        <w:rPr>
          <w:rFonts w:hint="eastAsia" w:ascii="仿宋_GB2312" w:hAnsi="Times New Roman" w:eastAsia="仿宋_GB2312" w:cstheme="minorBidi"/>
          <w:color w:val="000000"/>
          <w:kern w:val="0"/>
          <w:sz w:val="32"/>
          <w:szCs w:val="32"/>
          <w:highlight w:val="none"/>
          <w:lang w:val="en-US" w:eastAsia="zh-CN" w:bidi="ar-SA"/>
        </w:rPr>
        <w:t>10项，</w:t>
      </w:r>
      <w:r>
        <w:rPr>
          <w:rFonts w:hint="eastAsia" w:ascii="仿宋_GB2312" w:eastAsia="仿宋_GB2312"/>
          <w:sz w:val="32"/>
          <w:szCs w:val="32"/>
          <w:highlight w:val="none"/>
          <w:lang w:val="en-US" w:eastAsia="zh-CN"/>
        </w:rPr>
        <w:t>其中，重点目标</w:t>
      </w:r>
      <w:r>
        <w:rPr>
          <w:rFonts w:hint="eastAsia" w:ascii="仿宋_GB2312" w:hAnsi="Times New Roman" w:eastAsia="仿宋_GB2312" w:cstheme="minorBidi"/>
          <w:color w:val="000000"/>
          <w:kern w:val="0"/>
          <w:sz w:val="32"/>
          <w:szCs w:val="32"/>
          <w:highlight w:val="none"/>
          <w:lang w:val="en-US" w:eastAsia="zh-CN" w:bidi="ar-SA"/>
        </w:rPr>
        <w:t>9项，</w:t>
      </w:r>
      <w:r>
        <w:rPr>
          <w:rFonts w:hint="eastAsia" w:ascii="仿宋_GB2312" w:eastAsia="仿宋_GB2312"/>
          <w:sz w:val="32"/>
          <w:szCs w:val="32"/>
          <w:highlight w:val="none"/>
          <w:lang w:val="en-US" w:eastAsia="zh-CN"/>
        </w:rPr>
        <w:t>创优目标</w:t>
      </w:r>
      <w:r>
        <w:rPr>
          <w:rFonts w:hint="eastAsia" w:ascii="仿宋_GB2312" w:hAnsi="Times New Roman" w:eastAsia="仿宋_GB2312" w:cstheme="minorBidi"/>
          <w:color w:val="000000"/>
          <w:kern w:val="0"/>
          <w:sz w:val="32"/>
          <w:szCs w:val="32"/>
          <w:highlight w:val="none"/>
          <w:lang w:val="en-US" w:eastAsia="zh-CN" w:bidi="ar-SA"/>
        </w:rPr>
        <w:t>1项，已全部完成。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（一）重点目标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①</w:t>
      </w:r>
      <w:r>
        <w:rPr>
          <w:rFonts w:hint="eastAsia" w:ascii="仿宋_GB2312" w:hAnsi="Times New Roman" w:eastAsia="仿宋_GB2312" w:cstheme="minorBidi"/>
          <w:color w:val="000000"/>
          <w:kern w:val="0"/>
          <w:sz w:val="32"/>
          <w:szCs w:val="32"/>
          <w:highlight w:val="none"/>
          <w:lang w:val="en-US" w:eastAsia="zh-CN" w:bidi="ar-SA"/>
        </w:rPr>
        <w:t>加强惠民改造工程建设</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老旧小区改造：2020年，开工老旧小区改造项目建筑面积约236万平方米，</w:t>
      </w:r>
      <w:r>
        <w:rPr>
          <w:rFonts w:hint="eastAsia" w:ascii="仿宋_GB2312" w:cstheme="minorBidi"/>
          <w:color w:val="000000"/>
          <w:kern w:val="0"/>
          <w:sz w:val="32"/>
          <w:szCs w:val="32"/>
          <w:highlight w:val="none"/>
          <w:lang w:val="en-US" w:eastAsia="zh-CN" w:bidi="ar-SA"/>
        </w:rPr>
        <w:t>改造面积10万平米以上的区域主要有①挪庄片区；②澄海路16一22号，汕头路5、7号，香港中路92、94号；③洞庭湖路以东、宁夏路以南片区；④金日家园；⑤大学路以西、掖县路区域；⑥澳门花园小区，整体</w:t>
      </w:r>
      <w:r>
        <w:rPr>
          <w:rFonts w:hint="eastAsia" w:ascii="仿宋_GB2312" w:hAnsi="Times New Roman" w:eastAsia="仿宋_GB2312" w:cstheme="minorBidi"/>
          <w:color w:val="000000"/>
          <w:kern w:val="0"/>
          <w:sz w:val="32"/>
          <w:szCs w:val="32"/>
          <w:highlight w:val="none"/>
          <w:lang w:val="en-US" w:eastAsia="zh-CN" w:bidi="ar-SA"/>
        </w:rPr>
        <w:t>惠及居民32404户,占全年计划户数的160%,提前超额完成年度目标任务。通过对老旧小区的基础类、完善类和提升类改造，有效改善了小区居住环境，方便了小区居民的生活，提升了小区的品质，拉动投资、促进消费、提升住宅价值，成为新的经济增长点。</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棚户区改造：2020年，全市启动棚改29336套（户），启动率108.38%</w:t>
      </w:r>
      <w:r>
        <w:rPr>
          <w:rFonts w:hint="eastAsia" w:ascii="仿宋_GB2312" w:cstheme="minorBidi"/>
          <w:color w:val="000000"/>
          <w:kern w:val="0"/>
          <w:sz w:val="32"/>
          <w:szCs w:val="32"/>
          <w:highlight w:val="none"/>
          <w:lang w:val="en-US" w:eastAsia="zh-CN" w:bidi="ar-SA"/>
        </w:rPr>
        <w:t>，主要涉及①棘洪滩街道青大片区南万、前海西、后海西棚户区改造项目（二期）；②惜福镇街道棚户区改造项目（纸房、河湾、吴贾、傅家埠）；③红岛街道城中村改造四期工程；④胶东片区三期城中村改造项目；⑤上马街道棚户区改造项目（前程、北程、上马村）等25个区域</w:t>
      </w:r>
      <w:r>
        <w:rPr>
          <w:rFonts w:hint="eastAsia" w:ascii="仿宋_GB2312" w:hAnsi="Times New Roman" w:eastAsia="仿宋_GB2312" w:cstheme="minorBidi"/>
          <w:color w:val="000000"/>
          <w:kern w:val="0"/>
          <w:sz w:val="32"/>
          <w:szCs w:val="32"/>
          <w:highlight w:val="none"/>
          <w:lang w:val="en-US" w:eastAsia="zh-CN" w:bidi="ar-SA"/>
        </w:rPr>
        <w:t>。提高了棚户区居民生活质量，改善了居住条件，同时，城市基础设施覆盖范围也不断扩大，新建社区的养老、教育、医疗、卫生等设施和服务更加完善，为区域“腾笼换鸟”、产业布局调整升级腾挪了空间，提高了城区承载能力，也为解决棚改居民的就业等问题提供了新的渠道。</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节能保暖改造：2020年，全市完成节能保暖改造532.5万平方米，占年计划的106.5%</w:t>
      </w:r>
      <w:r>
        <w:rPr>
          <w:rFonts w:hint="eastAsia" w:ascii="仿宋_GB2312" w:cstheme="minorBidi"/>
          <w:color w:val="000000"/>
          <w:kern w:val="0"/>
          <w:sz w:val="32"/>
          <w:szCs w:val="32"/>
          <w:highlight w:val="none"/>
          <w:lang w:val="en-US" w:eastAsia="zh-CN" w:bidi="ar-SA"/>
        </w:rPr>
        <w:t>，主要涉及八大峡街道办事处节能保暖工程（26万平米）、金门路街道办事处节能保暖工程（25万平米）、珠海路街道办事处节能保暖工程（20万平米）、江苏路街道办事处节能保暖工程（18万平米）等109项工程，</w:t>
      </w:r>
      <w:r>
        <w:rPr>
          <w:rFonts w:hint="eastAsia" w:ascii="仿宋_GB2312" w:hAnsi="Times New Roman" w:eastAsia="仿宋_GB2312" w:cstheme="minorBidi"/>
          <w:color w:val="000000"/>
          <w:kern w:val="0"/>
          <w:sz w:val="32"/>
          <w:szCs w:val="32"/>
          <w:highlight w:val="none"/>
          <w:lang w:val="en-US" w:eastAsia="zh-CN" w:bidi="ar-SA"/>
        </w:rPr>
        <w:t>受益居民约6.2万户，有效解决了节能宜居性差、墙皮结露、霉变及破损等群众反映的问题，社会反响良好。</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②</w:t>
      </w:r>
      <w:r>
        <w:rPr>
          <w:rFonts w:hint="eastAsia" w:ascii="仿宋_GB2312" w:hAnsi="Times New Roman" w:eastAsia="仿宋_GB2312" w:cstheme="minorBidi"/>
          <w:color w:val="000000"/>
          <w:kern w:val="0"/>
          <w:sz w:val="32"/>
          <w:szCs w:val="32"/>
          <w:highlight w:val="none"/>
          <w:lang w:val="en-US" w:eastAsia="zh-CN" w:bidi="ar-SA"/>
        </w:rPr>
        <w:t>加快市政基础设施建设</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red"/>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深入推进交通基础设施建设攻势，新机场高速连接线（双埠一夏庄段）工程</w:t>
      </w:r>
      <w:r>
        <w:rPr>
          <w:rFonts w:hint="eastAsia" w:ascii="仿宋_GB2312" w:cstheme="minorBidi"/>
          <w:color w:val="000000"/>
          <w:kern w:val="0"/>
          <w:sz w:val="32"/>
          <w:szCs w:val="32"/>
          <w:highlight w:val="none"/>
          <w:lang w:val="en-US" w:eastAsia="zh-CN" w:bidi="ar-SA"/>
        </w:rPr>
        <w:t>2020年底</w:t>
      </w:r>
      <w:r>
        <w:rPr>
          <w:rFonts w:hint="eastAsia" w:ascii="仿宋_GB2312" w:hAnsi="Times New Roman" w:eastAsia="仿宋_GB2312" w:cstheme="minorBidi"/>
          <w:color w:val="000000"/>
          <w:kern w:val="0"/>
          <w:sz w:val="32"/>
          <w:szCs w:val="32"/>
          <w:highlight w:val="none"/>
          <w:lang w:val="en-US" w:eastAsia="zh-CN" w:bidi="ar-SA"/>
        </w:rPr>
        <w:t>已具备主线通车条件。</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胶州湾第二海底隧道工程经公开招标选定青岛国信集团为特许经营单位，并于10月29日开工建设，现场正在全力推进斜井工程实施；环湾路一长沙路立交工程已于10月27日开工，目前正在进行路基换填及市政管线施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株洲路打通工程已于12月2日开工建设，目前正在进行场地整理工作；已完成劲松四路等25条未贯通道路打通工作。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提升公共服务设施品质，改造提升滨海步栈道。滨海步行道市南区段由团岛至银海大世界，长度共计22.5公里，现实施滨海步行道提升工程（一期），项目主要包含，增加座椅、垃圾桶，沿线部分路灯维修、增设，慰农公园、燕儿岛山公园整体提升依现状建筑改造驿站一处。燕岛山公园游人步道已完成80%，慰农公园完成树木迁移，广场道路完成基层浇筑。崂山区段由小麦岛至黄金海岸，建设内容包括新建公厕，改造提升现状驿站，增设座椅、饮水等便民服务功能。11月7日进场施工，建设工期10个月，小麦岛公厕建设，基础开挖及边坡修理已完成</w:t>
      </w:r>
      <w:r>
        <w:rPr>
          <w:rFonts w:hint="eastAsia" w:ascii="仿宋_GB2312" w:cstheme="minorBidi"/>
          <w:color w:val="000000"/>
          <w:kern w:val="0"/>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莱阳路海底世界过街通道项目完成市发改委立项批复、市政府特许经营实施方案批复、山东省文化和旅游厅省级文物保护控制地带建设项目审批，并已经取得规划用地预审与选址意见书，目前正在由确定的招标代理机构开展特许经营单位招标各项准备工作，启动了建设程序，已完成目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深入推进市政道路整治提升工作，全年累计完成连云港路、遵义路、朝阳山路、春阳路、海尔大道、宏伟一路、长岛路等79条道路整治提升工作。整治提升后的道路面貌焕然一新、运行良好，为市民提供了良好的出行环境。</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③</w:t>
      </w:r>
      <w:r>
        <w:rPr>
          <w:rFonts w:hint="eastAsia" w:ascii="仿宋_GB2312" w:hAnsi="Times New Roman" w:eastAsia="仿宋_GB2312" w:cstheme="minorBidi"/>
          <w:color w:val="000000"/>
          <w:kern w:val="0"/>
          <w:sz w:val="32"/>
          <w:szCs w:val="32"/>
          <w:highlight w:val="none"/>
          <w:lang w:val="en-US" w:eastAsia="zh-CN" w:bidi="ar-SA"/>
        </w:rPr>
        <w:t>加大住房保障力度</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住房保障方面：2020年，全市实施住房保障7611套（户）,其中，已开工建设公租房2005套，超过25套</w:t>
      </w:r>
      <w:r>
        <w:rPr>
          <w:rFonts w:hint="eastAsia" w:ascii="仿宋_GB2312" w:cstheme="minorBidi"/>
          <w:color w:val="000000"/>
          <w:kern w:val="0"/>
          <w:sz w:val="32"/>
          <w:szCs w:val="32"/>
          <w:highlight w:val="none"/>
          <w:lang w:val="en-US" w:eastAsia="zh-CN" w:bidi="ar-SA"/>
        </w:rPr>
        <w:t>的项目有：①</w:t>
      </w:r>
      <w:r>
        <w:rPr>
          <w:rFonts w:hint="eastAsia" w:ascii="仿宋_GB2312" w:hAnsi="Times New Roman" w:eastAsia="仿宋_GB2312" w:cstheme="minorBidi"/>
          <w:color w:val="000000"/>
          <w:kern w:val="0"/>
          <w:sz w:val="32"/>
          <w:szCs w:val="32"/>
          <w:highlight w:val="none"/>
          <w:lang w:val="en-US" w:eastAsia="zh-CN" w:bidi="ar-SA"/>
        </w:rPr>
        <w:t>衡阳路项目</w:t>
      </w:r>
      <w:r>
        <w:rPr>
          <w:rFonts w:hint="eastAsia" w:ascii="仿宋_GB2312" w:cstheme="minorBidi"/>
          <w:color w:val="000000"/>
          <w:kern w:val="0"/>
          <w:sz w:val="32"/>
          <w:szCs w:val="32"/>
          <w:highlight w:val="none"/>
          <w:lang w:val="en-US" w:eastAsia="zh-CN" w:bidi="ar-SA"/>
        </w:rPr>
        <w:t>；②</w:t>
      </w:r>
      <w:r>
        <w:rPr>
          <w:rFonts w:hint="eastAsia" w:ascii="仿宋_GB2312" w:hAnsi="Times New Roman" w:eastAsia="仿宋_GB2312" w:cstheme="minorBidi"/>
          <w:color w:val="000000"/>
          <w:kern w:val="0"/>
          <w:sz w:val="32"/>
          <w:szCs w:val="32"/>
          <w:highlight w:val="none"/>
          <w:lang w:val="en-US" w:eastAsia="zh-CN" w:bidi="ar-SA"/>
        </w:rPr>
        <w:t>紫悦府</w:t>
      </w:r>
      <w:r>
        <w:rPr>
          <w:rFonts w:hint="eastAsia" w:ascii="仿宋_GB2312" w:cstheme="minorBidi"/>
          <w:color w:val="000000"/>
          <w:kern w:val="0"/>
          <w:sz w:val="32"/>
          <w:szCs w:val="32"/>
          <w:highlight w:val="none"/>
          <w:lang w:val="en-US" w:eastAsia="zh-CN" w:bidi="ar-SA"/>
        </w:rPr>
        <w:t>；③</w:t>
      </w:r>
      <w:r>
        <w:rPr>
          <w:rFonts w:hint="eastAsia" w:ascii="仿宋_GB2312" w:hAnsi="Times New Roman" w:eastAsia="仿宋_GB2312" w:cstheme="minorBidi"/>
          <w:color w:val="000000"/>
          <w:kern w:val="0"/>
          <w:sz w:val="32"/>
          <w:szCs w:val="32"/>
          <w:highlight w:val="none"/>
          <w:lang w:val="en-US" w:eastAsia="zh-CN" w:bidi="ar-SA"/>
        </w:rPr>
        <w:t>地铁保儿站城市综合体</w:t>
      </w:r>
      <w:r>
        <w:rPr>
          <w:rFonts w:hint="eastAsia" w:ascii="仿宋_GB2312" w:cstheme="minorBidi"/>
          <w:color w:val="000000"/>
          <w:kern w:val="0"/>
          <w:sz w:val="32"/>
          <w:szCs w:val="32"/>
          <w:highlight w:val="none"/>
          <w:lang w:val="en-US" w:eastAsia="zh-CN" w:bidi="ar-SA"/>
        </w:rPr>
        <w:t>；④</w:t>
      </w:r>
      <w:r>
        <w:rPr>
          <w:rFonts w:hint="eastAsia" w:ascii="仿宋_GB2312" w:hAnsi="Times New Roman" w:eastAsia="仿宋_GB2312" w:cstheme="minorBidi"/>
          <w:color w:val="000000"/>
          <w:kern w:val="0"/>
          <w:sz w:val="32"/>
          <w:szCs w:val="32"/>
          <w:highlight w:val="none"/>
          <w:lang w:val="en-US" w:eastAsia="zh-CN" w:bidi="ar-SA"/>
        </w:rPr>
        <w:t>保儿商住地块（SF0902-21）</w:t>
      </w:r>
      <w:r>
        <w:rPr>
          <w:rFonts w:hint="eastAsia" w:ascii="仿宋_GB2312" w:cstheme="minorBidi"/>
          <w:color w:val="000000"/>
          <w:kern w:val="0"/>
          <w:sz w:val="32"/>
          <w:szCs w:val="32"/>
          <w:highlight w:val="none"/>
          <w:lang w:val="en-US" w:eastAsia="zh-CN" w:bidi="ar-SA"/>
        </w:rPr>
        <w:t>；⑤</w:t>
      </w:r>
      <w:r>
        <w:rPr>
          <w:rFonts w:hint="eastAsia" w:ascii="仿宋_GB2312" w:hAnsi="Times New Roman" w:eastAsia="仿宋_GB2312" w:cstheme="minorBidi"/>
          <w:color w:val="000000"/>
          <w:kern w:val="0"/>
          <w:sz w:val="32"/>
          <w:szCs w:val="32"/>
          <w:highlight w:val="none"/>
          <w:lang w:val="en-US" w:eastAsia="zh-CN" w:bidi="ar-SA"/>
        </w:rPr>
        <w:t>书香门第（三期）</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新增住房租赁补贴5606户，任务目标圆满完成。同时，今年进一步降低了保障房申请准入门槛，将公交、环卫等公共服务行业新就业无房职工、稳定就业的外来务工人员纳入住房租赁补贴保障范围，将2人户、3人户家庭的保障面积各提升15平方米，将收入标准由原先家庭人均月收入不超过2936元调整至3388元，实现了实物配租和租赁补贴申请标准的统一，使更多中低收入家庭住房困难问题得以缓解。</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人才住房建设和筹集方面：2020年，全市通过集中建设、商品房配建方式启动建设人才住房房源8.93万套（间），超过18万平方米</w:t>
      </w:r>
      <w:r>
        <w:rPr>
          <w:rFonts w:hint="eastAsia" w:ascii="仿宋_GB2312" w:cstheme="minorBidi"/>
          <w:color w:val="000000"/>
          <w:kern w:val="0"/>
          <w:sz w:val="32"/>
          <w:szCs w:val="32"/>
          <w:highlight w:val="none"/>
          <w:lang w:val="en-US" w:eastAsia="zh-CN" w:bidi="ar-SA"/>
        </w:rPr>
        <w:t>住房的主要有①</w:t>
      </w:r>
      <w:r>
        <w:rPr>
          <w:rFonts w:hint="eastAsia" w:ascii="仿宋_GB2312" w:hAnsi="Times New Roman" w:eastAsia="仿宋_GB2312" w:cstheme="minorBidi"/>
          <w:color w:val="000000"/>
          <w:kern w:val="0"/>
          <w:sz w:val="32"/>
          <w:szCs w:val="32"/>
          <w:highlight w:val="none"/>
          <w:lang w:val="en-US" w:eastAsia="zh-CN" w:bidi="ar-SA"/>
        </w:rPr>
        <w:t>姜山湖人才小镇</w:t>
      </w:r>
      <w:r>
        <w:rPr>
          <w:rFonts w:hint="eastAsia" w:ascii="仿宋_GB2312" w:cstheme="minorBidi"/>
          <w:color w:val="000000"/>
          <w:kern w:val="0"/>
          <w:sz w:val="32"/>
          <w:szCs w:val="32"/>
          <w:highlight w:val="none"/>
          <w:lang w:val="en-US" w:eastAsia="zh-CN" w:bidi="ar-SA"/>
        </w:rPr>
        <w:t>；②</w:t>
      </w:r>
      <w:r>
        <w:rPr>
          <w:rFonts w:hint="eastAsia" w:ascii="仿宋_GB2312" w:hAnsi="Times New Roman" w:eastAsia="仿宋_GB2312" w:cstheme="minorBidi"/>
          <w:color w:val="000000"/>
          <w:kern w:val="0"/>
          <w:sz w:val="32"/>
          <w:szCs w:val="32"/>
          <w:highlight w:val="none"/>
          <w:lang w:val="en-US" w:eastAsia="zh-CN" w:bidi="ar-SA"/>
        </w:rPr>
        <w:t>皓凯钢材地块</w:t>
      </w:r>
      <w:r>
        <w:rPr>
          <w:rFonts w:hint="eastAsia" w:ascii="仿宋_GB2312" w:cstheme="minorBidi"/>
          <w:color w:val="000000"/>
          <w:kern w:val="0"/>
          <w:sz w:val="32"/>
          <w:szCs w:val="32"/>
          <w:highlight w:val="none"/>
          <w:lang w:val="en-US" w:eastAsia="zh-CN" w:bidi="ar-SA"/>
        </w:rPr>
        <w:t>；③</w:t>
      </w:r>
      <w:r>
        <w:rPr>
          <w:rFonts w:hint="eastAsia" w:ascii="仿宋_GB2312" w:hAnsi="Times New Roman" w:eastAsia="仿宋_GB2312" w:cstheme="minorBidi"/>
          <w:color w:val="000000"/>
          <w:kern w:val="0"/>
          <w:sz w:val="32"/>
          <w:szCs w:val="32"/>
          <w:highlight w:val="none"/>
          <w:lang w:val="en-US" w:eastAsia="zh-CN" w:bidi="ar-SA"/>
        </w:rPr>
        <w:t>上合人才住房项目</w:t>
      </w:r>
      <w:r>
        <w:rPr>
          <w:rFonts w:hint="eastAsia" w:ascii="仿宋_GB2312" w:cstheme="minorBidi"/>
          <w:color w:val="000000"/>
          <w:kern w:val="0"/>
          <w:sz w:val="32"/>
          <w:szCs w:val="32"/>
          <w:highlight w:val="none"/>
          <w:lang w:val="en-US" w:eastAsia="zh-CN" w:bidi="ar-SA"/>
        </w:rPr>
        <w:t>；④</w:t>
      </w:r>
      <w:r>
        <w:rPr>
          <w:rFonts w:hint="eastAsia" w:ascii="仿宋_GB2312" w:hAnsi="Times New Roman" w:eastAsia="仿宋_GB2312" w:cstheme="minorBidi"/>
          <w:color w:val="000000"/>
          <w:kern w:val="0"/>
          <w:sz w:val="32"/>
          <w:szCs w:val="32"/>
          <w:highlight w:val="none"/>
          <w:lang w:val="en-US" w:eastAsia="zh-CN" w:bidi="ar-SA"/>
        </w:rPr>
        <w:t>胶东机场航空人才住房</w:t>
      </w:r>
      <w:r>
        <w:rPr>
          <w:rFonts w:hint="eastAsia" w:ascii="仿宋_GB2312" w:cstheme="minorBidi"/>
          <w:color w:val="000000"/>
          <w:kern w:val="0"/>
          <w:sz w:val="32"/>
          <w:szCs w:val="32"/>
          <w:highlight w:val="none"/>
          <w:lang w:val="en-US" w:eastAsia="zh-CN" w:bidi="ar-SA"/>
        </w:rPr>
        <w:t>；⑤</w:t>
      </w:r>
      <w:r>
        <w:rPr>
          <w:rFonts w:hint="eastAsia" w:ascii="仿宋_GB2312" w:hAnsi="Times New Roman" w:eastAsia="仿宋_GB2312" w:cstheme="minorBidi"/>
          <w:color w:val="000000"/>
          <w:kern w:val="0"/>
          <w:sz w:val="32"/>
          <w:szCs w:val="32"/>
          <w:highlight w:val="none"/>
          <w:lang w:val="en-US" w:eastAsia="zh-CN" w:bidi="ar-SA"/>
        </w:rPr>
        <w:t>青农大人才住房</w:t>
      </w:r>
      <w:r>
        <w:rPr>
          <w:rFonts w:hint="eastAsia" w:ascii="仿宋_GB2312" w:cstheme="minorBidi"/>
          <w:color w:val="000000"/>
          <w:kern w:val="0"/>
          <w:sz w:val="32"/>
          <w:szCs w:val="32"/>
          <w:highlight w:val="none"/>
          <w:lang w:val="en-US" w:eastAsia="zh-CN" w:bidi="ar-SA"/>
        </w:rPr>
        <w:t>；⑥</w:t>
      </w:r>
      <w:r>
        <w:rPr>
          <w:rFonts w:hint="eastAsia" w:ascii="仿宋_GB2312" w:hAnsi="Times New Roman" w:eastAsia="仿宋_GB2312" w:cstheme="minorBidi"/>
          <w:color w:val="000000"/>
          <w:kern w:val="0"/>
          <w:sz w:val="32"/>
          <w:szCs w:val="32"/>
          <w:highlight w:val="none"/>
          <w:lang w:val="en-US" w:eastAsia="zh-CN" w:bidi="ar-SA"/>
        </w:rPr>
        <w:t>淮涉河二路以南、天山三路以东</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通过购买、盘活等方式筹集人才住房房源1.1万套（间），共计10.03万套（间），任务目标顺利完成。积极探索市场化运作机制，大力创新人才住房建设和筹集新模式，相继制定并印发了规范配建、攻坚行动方案、促进企业恢复正常生产经营、盘活剩余安置用房、明确建设和筹集措施等配套文件</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进一步完善人才住房建设政策体系，有效解决了部分引进人才的住房问题，为我市吸聚人才、留住人才提供了有力保障。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共有产权住房方面：研究起草了《青岛市共有产权住房管理办法（试行）》（初稿），并确定城阳区夏庄二号地块作为共有产权住房试点项目。该项目计划建设住宅约984套。目前项目已完成《建设工程规划许可证》、《土石方建筑工程施工许可证》等前期手续的办理，并于今年10月开工建设。</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④</w:t>
      </w:r>
      <w:r>
        <w:rPr>
          <w:rFonts w:hint="eastAsia" w:ascii="仿宋_GB2312" w:hAnsi="Times New Roman" w:eastAsia="仿宋_GB2312" w:cstheme="minorBidi"/>
          <w:color w:val="000000"/>
          <w:kern w:val="0"/>
          <w:sz w:val="32"/>
          <w:szCs w:val="32"/>
          <w:highlight w:val="none"/>
          <w:lang w:val="en-US" w:eastAsia="zh-CN" w:bidi="ar-SA"/>
        </w:rPr>
        <w:t>提升物业服务管理水平</w:t>
      </w:r>
    </w:p>
    <w:p>
      <w:pPr>
        <w:keepNext w:val="0"/>
        <w:keepLines w:val="0"/>
        <w:widowControl/>
        <w:suppressLineNumbers w:val="0"/>
        <w:jc w:val="left"/>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为全面贯彻落实2020年全市经济社会发展工作目标任务，根据省住建厅《2020年全省物业管理工作要点》《全省物业服务行业“品牌提升年”活动实施方案》和“齐鲁红色物业”建设推进会及有关要求，继续深化物业服务行业文明创建活动试点工作，深入实施品牌战略，推进实施“党建领航物管先锋”全覆盖、高品质三年工作计划，以高标准、高质量、高水平推进我市物业管理和服务工作不断提升。充分发挥“典型引路稳阵地”的示范带动作用，围绕物业服务品牌创建，开展系列工作，在全行业形成重视品牌、塑造品牌、维护品牌的良好氛围，逐渐形成一批品牌战略明晰、品牌管理体系健全、品牌建设成果显著的企业、项目和个人。全年，创建10个党建示范点（山东多邦物业管理有限公司党支部、青岛华仁物业股份有限公司党总支、北京中铁第一太平物业有限公司青岛分公司党支部、青岛友邦物业管理有限公司党支部、万科魅力之城小区党支部等党支部等）、20个物业服务品牌（安心物业真情服务、金管家惠万家 、用心缔造幸福、心系家园、如意·家等）、100家标兵企业（青岛建设物业管理有限公司、山东新国贸物业有限公司、青岛鲁宏源物业管理有限公司、山东世纪物业管理有限公司、中化金茂物业管理（北京）有限公司青岛分公司等）、200个示范项目（中南世纪城二期、印象·湾、万科生态新城如园、怡然园墅、平度市民服务中心等）、100名服务明星（刘秀莉、傅春龙、乔峻、单修东、于立新等）目标任务已完成。通过系列创建工作，使得全行业整体形象和服务水平得到全面提升，为建设开放、现代、活力、时尚的国际大都市贡献行业力量。</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⑤</w:t>
      </w:r>
      <w:r>
        <w:rPr>
          <w:rFonts w:hint="eastAsia" w:ascii="仿宋_GB2312" w:hAnsi="Times New Roman" w:eastAsia="仿宋_GB2312" w:cstheme="minorBidi"/>
          <w:color w:val="000000"/>
          <w:kern w:val="0"/>
          <w:sz w:val="32"/>
          <w:szCs w:val="32"/>
          <w:highlight w:val="none"/>
          <w:lang w:val="en-US" w:eastAsia="zh-CN" w:bidi="ar-SA"/>
        </w:rPr>
        <w:t>强化供热、燃气配套保障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天然气管网建设：2020年，累计完工天然气管网246公里，占计划数123%,提前超额完成市办实事目标。目前全市39个镇天然气已开通，实现了“到2020年，除偏远山区、海岛外，基本实现管道天然气“镇镇通”的年度目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新增城市供热配套面积：2020年，全市已累计完工城市供热配套面积634万平方米，占计划数158.5%,提前超额完成市办实事目标。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工业余热与新能源供暖：2020年，全市新增工业余热和新能源供暖面积510万平方米，通过电厂技改、烟气余热回收、老旧锅炉“煤改气”等措施推进我市煤炭压减工作，为城市绿色能源革命作出贡献。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⑥</w:t>
      </w:r>
      <w:r>
        <w:rPr>
          <w:rFonts w:hint="eastAsia" w:ascii="仿宋_GB2312" w:hAnsi="Times New Roman" w:eastAsia="仿宋_GB2312" w:cstheme="minorBidi"/>
          <w:color w:val="000000"/>
          <w:kern w:val="0"/>
          <w:sz w:val="32"/>
          <w:szCs w:val="32"/>
          <w:highlight w:val="none"/>
          <w:lang w:val="en-US" w:eastAsia="zh-CN" w:bidi="ar-SA"/>
        </w:rPr>
        <w:t>改善农村居民居住条件</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农村生活垃圾分类方面：2020年，我市已建成农村生活垃圾镇级终端处置站13处，100个村庄获得青岛市首批农村垃圾分类示范村，</w:t>
      </w:r>
      <w:r>
        <w:rPr>
          <w:rFonts w:hint="eastAsia" w:ascii="仿宋_GB2312" w:cstheme="minorBidi"/>
          <w:color w:val="000000"/>
          <w:kern w:val="0"/>
          <w:sz w:val="32"/>
          <w:szCs w:val="32"/>
          <w:highlight w:val="none"/>
          <w:lang w:val="en-US" w:eastAsia="zh-CN" w:bidi="ar-SA"/>
        </w:rPr>
        <w:t>主要有崂山区沙子口街道东麦窑、西海岸新区藏马镇孙家屯、城阳区夏庄街道王家曹村、即墨区鳌山卫街道鳌角石村、胶州市三里河街道刘家村、平度市凤台街道臧家疃、莱西市望城街道韩家屯等村庄（社区），</w:t>
      </w:r>
      <w:r>
        <w:rPr>
          <w:rFonts w:hint="eastAsia" w:ascii="仿宋_GB2312" w:hAnsi="Times New Roman" w:eastAsia="仿宋_GB2312" w:cstheme="minorBidi"/>
          <w:color w:val="000000"/>
          <w:kern w:val="0"/>
          <w:sz w:val="32"/>
          <w:szCs w:val="32"/>
          <w:highlight w:val="none"/>
          <w:lang w:val="en-US" w:eastAsia="zh-CN" w:bidi="ar-SA"/>
        </w:rPr>
        <w:t>5439个村庄开展农村生活垃圾分类，分类覆盖率达100%,超额完成任务。</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农村改厕方面：建成农村改厕管护服务站10</w:t>
      </w:r>
      <w:r>
        <w:rPr>
          <w:rFonts w:hint="eastAsia" w:ascii="仿宋_GB2312" w:cstheme="minorBidi"/>
          <w:color w:val="000000"/>
          <w:kern w:val="0"/>
          <w:sz w:val="32"/>
          <w:szCs w:val="32"/>
          <w:highlight w:val="none"/>
          <w:lang w:val="en-US" w:eastAsia="zh-CN" w:bidi="ar-SA"/>
        </w:rPr>
        <w:t>0</w:t>
      </w:r>
      <w:r>
        <w:rPr>
          <w:rFonts w:hint="eastAsia" w:ascii="仿宋_GB2312" w:hAnsi="Times New Roman" w:eastAsia="仿宋_GB2312" w:cstheme="minorBidi"/>
          <w:color w:val="000000"/>
          <w:kern w:val="0"/>
          <w:sz w:val="32"/>
          <w:szCs w:val="32"/>
          <w:highlight w:val="none"/>
          <w:lang w:val="en-US" w:eastAsia="zh-CN" w:bidi="ar-SA"/>
        </w:rPr>
        <w:t>个，完工率100%</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建成粪污处理设施60处，完工率150%。建成农村示范公厕100座，完工率100%。依托农村改厕智能管护平台，结合改厕服务站和粪污处理设施建设，做好厕所管护+互联网监管的全新模式。实现300户以上自然村公厕全覆盖，进一步完善农村基础设施。</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农村危房改造方面：全市农村危房改造560户工程已于6月底前全部完工，各区市已完成全面检查验收。通过实施农村危房改造工作，有效地改善了农村贫困农户居住条件,农村困难群体住上安全、实用的房子，人民群众的生命财产安全得到了保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农村清洁取暖方面：2020年，制定下发了农村地区清洁取暖的政策文件，以奖补奖励为动力，选拔、培育、评比清洁取暖示范镇（街），完善奖励机制，召开培训会，加强对区市指导，共完成农村清洁取暖改造92259户，完成省下达的8.98万的目标要求。</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城镇化建设方面：制定印发《2020年青岛新型城镇化建设重点任务》，编制完成青岛市新型城镇化发展报告（2019）,开展了县域城镇化发展战略研究，实施城镇化率风险预警,向市政府领导提交了《关于合村并居对常住人口城镇化率影响的紧急报告》。参与制定突破平度莱西攻势方案2.0,赴两市开展蹲点调研，引导企业参与两市城镇化建设，组织两市赴南方先进地区学习调研，举办了城镇化专题培训。</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⑦</w:t>
      </w:r>
      <w:r>
        <w:rPr>
          <w:rFonts w:hint="eastAsia" w:ascii="仿宋_GB2312" w:hAnsi="Times New Roman" w:eastAsia="仿宋_GB2312" w:cstheme="minorBidi"/>
          <w:color w:val="000000"/>
          <w:kern w:val="0"/>
          <w:sz w:val="32"/>
          <w:szCs w:val="32"/>
          <w:highlight w:val="none"/>
          <w:lang w:val="en-US" w:eastAsia="zh-CN" w:bidi="ar-SA"/>
        </w:rPr>
        <w:t>加强建设工地扬尘治理</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深化“345”长效管控机制，坚持精细化、标准化治理，压紧压实各方主体扬尘治理责任。采取日常检查、不间断暗夜查、多部门联合检查等方式，持续保持严管高压，1</w:t>
      </w:r>
      <w:r>
        <w:rPr>
          <w:rFonts w:hint="eastAsia" w:ascii="仿宋_GB2312" w:cstheme="minorBidi"/>
          <w:color w:val="000000"/>
          <w:kern w:val="0"/>
          <w:sz w:val="32"/>
          <w:szCs w:val="32"/>
          <w:highlight w:val="none"/>
          <w:lang w:val="en-US" w:eastAsia="zh-CN" w:bidi="ar-SA"/>
        </w:rPr>
        <w:t>-1</w:t>
      </w:r>
      <w:r>
        <w:rPr>
          <w:rFonts w:hint="eastAsia" w:ascii="仿宋_GB2312" w:hAnsi="Times New Roman" w:eastAsia="仿宋_GB2312" w:cstheme="minorBidi"/>
          <w:color w:val="000000"/>
          <w:kern w:val="0"/>
          <w:sz w:val="32"/>
          <w:szCs w:val="32"/>
          <w:highlight w:val="none"/>
          <w:lang w:val="en-US" w:eastAsia="zh-CN" w:bidi="ar-SA"/>
        </w:rPr>
        <w:t>1月全市共计开展工地现场检查10000余次。建立区市定期巡查通报制度，每月固定开展1轮次全市巡查，并由局领导带队开展不定期抽查，在媒体公开通报23处扬尘治理不达标项目，并对问题突出区市进行约谈和重点督导整改。印发《青岛市建设工程扬尘治理考评办法》，督导各区市逐条逐项对标先进找不足、补短板，形成扬尘治理“比学赶帮超”。积极做好宣传引导，通过传统媒体和新兴主流媒体动员社会监督力量，提升工地扬尘污染防治方面宣传效能。印发《扬尘治理攻坚战简报》34期，畅通全市信息交流渠道。完善工地扬尘问题快速处置机制，及时回应群众反映问题。持续加强“禁现”管理，从源头禁绝工地水泥粉尘污染。大力推进环保工法及抑尘设施创新应用，积极鼓励企业自主研发，无尘锚杆、封闭作业等新工艺相继投入使用，智能化管理、航拍监控、环保型固尘剂等新技术、新材料应用范围逐步扩大,雾炮、洗车机、环场雾化喷淋等降尘抑尘设施基本普及。全省率先建立建设工地渣土车AI智能识别管控系统，该系统自今年8月份正式上线以来，周均筛查渣土运输车辆7000余车次，已累计监控工地132个，检查渣土运输车辆13万余车次，查处渣土违规运输行为4000余车次，形成了工地渣土运输违规必被查的管控高压和震慑效应，配合扬尘在线监测和远程视频监控，构建出建设扬尘治理远程化、智能化和实时化管理体系。</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⑧</w:t>
      </w:r>
      <w:r>
        <w:rPr>
          <w:rFonts w:hint="eastAsia" w:ascii="仿宋_GB2312" w:hAnsi="Times New Roman" w:eastAsia="仿宋_GB2312" w:cstheme="minorBidi"/>
          <w:color w:val="000000"/>
          <w:kern w:val="0"/>
          <w:sz w:val="32"/>
          <w:szCs w:val="32"/>
          <w:highlight w:val="none"/>
          <w:lang w:val="en-US" w:eastAsia="zh-CN" w:bidi="ar-SA"/>
        </w:rPr>
        <w:t>促进房地产市场平稳健康发展</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贯彻落实国家、省市关于房地产工作决策部署，克服疫情影响，围绕稳地价、稳房价、稳预期的调控目标，稳妥实施房地产长效机制，保持市场平稳健康发展。今年</w:t>
      </w:r>
      <w:r>
        <w:rPr>
          <w:rFonts w:hint="eastAsia" w:ascii="仿宋_GB2312" w:cstheme="minorBidi"/>
          <w:color w:val="000000"/>
          <w:kern w:val="0"/>
          <w:sz w:val="32"/>
          <w:szCs w:val="32"/>
          <w:highlight w:val="none"/>
          <w:lang w:val="en-US" w:eastAsia="zh-CN" w:bidi="ar-SA"/>
        </w:rPr>
        <w:t>1-10</w:t>
      </w:r>
      <w:r>
        <w:rPr>
          <w:rFonts w:hint="eastAsia" w:ascii="仿宋_GB2312" w:hAnsi="Times New Roman" w:eastAsia="仿宋_GB2312" w:cstheme="minorBidi"/>
          <w:color w:val="000000"/>
          <w:kern w:val="0"/>
          <w:sz w:val="32"/>
          <w:szCs w:val="32"/>
          <w:highlight w:val="none"/>
          <w:lang w:val="en-US" w:eastAsia="zh-CN" w:bidi="ar-SA"/>
        </w:rPr>
        <w:t>月份，我市房价、地价指数等指标保持平稳运行：新建商品住宅销售价格指数环比累计上涨；二手住宅销售价格指数环比累计下降；住宅租赁价格指数环比累计上涨；前三季度城市住宅地价动态监测指数环比累计下降；以上四个指标均处于调控区间内。</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今年，我市顺利入选第二批中央财政支持住房租赁市场发展试点城市，我局以此为契机出台政策，鼓励社会力量参与租赁住房建设、筹集和运营。截至目前，全市采取社会化手段确定租赁住房建设项目44个，房源7784套</w:t>
      </w:r>
      <w:r>
        <w:rPr>
          <w:rFonts w:hint="eastAsia" w:ascii="仿宋_GB2312" w:cstheme="minorBidi"/>
          <w:color w:val="000000"/>
          <w:kern w:val="0"/>
          <w:sz w:val="32"/>
          <w:szCs w:val="32"/>
          <w:highlight w:val="none"/>
          <w:lang w:val="en-US" w:eastAsia="zh-CN" w:bidi="ar-SA"/>
        </w:rPr>
        <w:t>，主要涉及①中车四方智汇港项目（102及106地块）4172套；②中德生态园17号线南侧、生态园14号线东侧932套；③滨海二路南、辛屯山路西913套；④漓江东路以东、石岩山路以西595套；⑤山海路东、珠光路北433套等</w:t>
      </w:r>
      <w:r>
        <w:rPr>
          <w:rFonts w:hint="eastAsia" w:ascii="仿宋_GB2312" w:hAnsi="Times New Roman" w:eastAsia="仿宋_GB2312" w:cstheme="minorBidi"/>
          <w:color w:val="000000"/>
          <w:kern w:val="0"/>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出台《青岛市新建商品住宅交付流程指导意见》（青建办字C2020J111号）,明确了什么样的房子可以交、交什么、怎么交、出了问题怎么办等购房群众最关心的问题，对房屋交付的条件、流程等进行了全面梳理和改革。特别是以文件的形式明确了先验后收、新建商品房交付必须完成首次登记,物业交付必须承接查验等，保护了广大购房群众的利益。同时，选取万科未来城3期进行试点，775户业主在收房的同时，现场就具备办理不动产权证条件。交付流程再造工作得到群众充分肯定，中央、省、市新闻媒体进行了广泛报道。</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cstheme="minorBidi"/>
          <w:color w:val="000000"/>
          <w:kern w:val="0"/>
          <w:sz w:val="32"/>
          <w:szCs w:val="32"/>
          <w:highlight w:val="none"/>
          <w:lang w:val="en-US" w:eastAsia="zh-CN" w:bidi="ar-SA"/>
        </w:rPr>
        <w:t>⑨</w:t>
      </w:r>
      <w:r>
        <w:rPr>
          <w:rFonts w:hint="eastAsia" w:ascii="仿宋_GB2312" w:hAnsi="Times New Roman" w:eastAsia="仿宋_GB2312" w:cstheme="minorBidi"/>
          <w:color w:val="000000"/>
          <w:kern w:val="0"/>
          <w:sz w:val="32"/>
          <w:szCs w:val="32"/>
          <w:highlight w:val="none"/>
          <w:lang w:val="en-US" w:eastAsia="zh-CN" w:bidi="ar-SA"/>
        </w:rPr>
        <w:t>新增公共停车泊位</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理顺体制机制，完善工作网络。一是立法调研工作有序开展，已完成《青岛市停车场管理条例》立法修订调研报告，并启动立法草案初稿的编制工作。二是联席会议制度逐步完善，市、区两级停车场建设工作联席会议制度已全部建立，进一步明确牵头部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政策体系健全完善，停车产业化持续发展。一是制定《关于进一步加强停车设施规划建设管理工作的实施意见》（青政办字〔2020〕16号），提出了土地保障、规划奖励、资金奖补、优化审批、商业配套等鼓励政策。二是推动停车政策落地，牵头制定《青岛市机械式立体停车设施规划建设管理实施细则（试行）》《关于对公共停车场建设及联网管理进行资金奖补的通知》《青岛市公共停车场（库）建设技术导则》等文件，鼓励公共停车场建设和联网管理，提高停车产业化水平。</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加大公共停车场建设力度，缓解停车难。2020年，全市建设公共停车场28个，新增泊位9100余个，较去年增加了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1000余个泊位，缓解了湛山周边、中央商务区周边、城阳市民中心周边等区域停车问题。</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(二)创优目标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为进一步促进绿色城市建设，提升城市品质，我市申报了国家绿色城市试点，获住房和城乡建设部王蒙徽部长批示支持此试点。完成大学路、馆陶路等美丽示范街区项目建设，新开工二星级及以上绿色建筑224万平方米，装配式建筑470万平方米；完成既有居住建筑节能改造532.5万平方米，大型公共建筑节能改造106.92万平方米。节能建筑占新竣工建筑的比例为</w:t>
      </w:r>
      <w:r>
        <w:rPr>
          <w:rFonts w:hint="eastAsia" w:ascii="仿宋_GB2312" w:cstheme="minorBidi"/>
          <w:color w:val="000000"/>
          <w:kern w:val="0"/>
          <w:sz w:val="32"/>
          <w:szCs w:val="32"/>
          <w:highlight w:val="none"/>
          <w:lang w:val="en-US" w:eastAsia="zh-CN" w:bidi="ar-SA"/>
        </w:rPr>
        <w:t>10</w:t>
      </w:r>
      <w:r>
        <w:rPr>
          <w:rFonts w:hint="eastAsia" w:ascii="仿宋_GB2312" w:hAnsi="Times New Roman" w:eastAsia="仿宋_GB2312" w:cstheme="minorBidi"/>
          <w:color w:val="000000"/>
          <w:kern w:val="0"/>
          <w:sz w:val="32"/>
          <w:szCs w:val="32"/>
          <w:highlight w:val="none"/>
          <w:lang w:val="en-US" w:eastAsia="zh-CN" w:bidi="ar-SA"/>
        </w:rPr>
        <w:t>0%，开工建设39公里各类管廊。完成年度工作目标。</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创优性：全国首个绿色城市试点，且为目前唯一试点，试点经验将在2020年全国建设工作会议上做典型交流。发布了《青岛市绿色建筑和超低能耗建筑发展专项规划(2021-2025)</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省住建厅将其作为全省标杆予以推广。此外，我市还被住建部列为全国6个绿色建材试点城市之一，将在政府采购工程中推广绿色建材产品，提升政府采购工程建筑品质。《青岛市公共建筑节能改造方法体系研究与推广》获得住建部颁发的华夏建设科学技术奖二等奖。</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攻坚性：随着城市化发展不断加快，有限的财政投入已无法满足城市绿色发展的资金需求。同时随着城市发展重心急速外延扩张，我市历史街区保护更新工作相对滞后，街区活力要素不足。青岛市积极探索绿色金融促进城市绿色发展,将通过金融、财政、规划、建设等政策的有机结合，利用绿色信贷、绿色保险等金融服务，鼓励和支持社会资本投入城市绿色发展，助推城市品质提升攻势。开展了广兴里、宁阳路等50多个里院，约160栋历史风貌建筑（含红瓦维修）的修缮，以及济南路、宁波路等30余条街道整治提升工作。其中：市南区将中山路区域保护更新列为“一号工程”，已基本完成济南路拓宽房屋征收和中山路步行街总体策划设计，启动济南路房屋拆除和拓宽工程施工；北京路、宁阳路、黄岛路等片区按照“社会化资本+运营管理”模式，将约6.5万平方米纳入修缮范围；沂水路4号、4号甲等建筑修缮施工等已完成，正在推进总督府广场提升等工作。市北区在全市率先启动历史城区保护更新，已全面完成8.2万平方米建筑修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heme="minorBidi"/>
          <w:color w:val="000000"/>
          <w:kern w:val="0"/>
          <w:sz w:val="32"/>
          <w:szCs w:val="32"/>
          <w:highlight w:val="none"/>
          <w:lang w:val="en-US" w:eastAsia="zh-CN" w:bidi="ar-SA"/>
        </w:rPr>
      </w:pPr>
      <w:r>
        <w:rPr>
          <w:rFonts w:hint="eastAsia" w:ascii="仿宋_GB2312" w:hAnsi="Times New Roman" w:eastAsia="仿宋_GB2312" w:cstheme="minorBidi"/>
          <w:color w:val="000000"/>
          <w:kern w:val="0"/>
          <w:sz w:val="32"/>
          <w:szCs w:val="32"/>
          <w:highlight w:val="none"/>
          <w:lang w:val="en-US" w:eastAsia="zh-CN" w:bidi="ar-SA"/>
        </w:rPr>
        <w:t>创新性：青岛积极探索市场化机制推动建筑绿色发展，在节能改造激励政策上进行了突破，开展合同能源管理试点，引入社会资本投资，创立了“财政引导，先干后奖”的市场化运作模式，被住建部和城市气候领导联盟（C40）列为“C40中国建筑项目”，先进经验在全球成员城市间交流推广。推动绿色金融政策创新，流程再造，探索实施了建筑节能领域绿色保险产品与服务，开出全国首张超低能耗建筑性能保单。业主单位为建筑物投保，保险企业引入第三方审核机构（SIT）,全过程审核，确保超低能耗建筑的实施效果。在公共建筑节能改造领域，探索开展了以合同能源管理模式推动全国公共建筑能效提升重点城市建设工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rPr>
      </w:pPr>
      <w:r>
        <w:rPr>
          <w:rFonts w:hint="eastAsia" w:ascii="仿宋_GB2312" w:hAnsi="Times New Roman" w:eastAsia="仿宋_GB2312" w:cstheme="minorBidi"/>
          <w:color w:val="000000"/>
          <w:kern w:val="0"/>
          <w:sz w:val="32"/>
          <w:szCs w:val="32"/>
          <w:highlight w:val="none"/>
          <w:lang w:val="en-US" w:eastAsia="zh-CN" w:bidi="ar-SA"/>
        </w:rPr>
        <w:t>效益性：绿色城市试点促进绿色建筑上下游产业发展,其中莱西夏各庄镇绿色建筑产业园已签约华夏基石建筑产业园等过亿项目23个；推进宝力控股集团注册成立了青岛宝力集彩网络科技有限公司（注册资金1000万元），中建科工集团有限公司将山东总部基地落户即墨，投资绿色装配式建筑产业。大学路、馆陶路美丽示范街区建设均已完成，街区更优美、宜居，为产业的导入奠定了基础，青岛产投生态综合体等一系列高端项目签约落地入驻，为老城区注入了新活力。广兴里试点项目于今年5月28日完成修缮开园运营，春光里、山海会、喜达屋酒店等13家企业进驻老城，街区活力正在提升。完成节能保暖改造532.5平方米，受益居民约6.2万户，降低建筑采暖能耗40%左右，每年可节省燃煤约2.7万吨，减排二氧化碳约7.1万吨。有效解决了居住舒适性差、墙皮结露、霉变及破损等群众反映的问题，深受市民欢迎，社会反响良好。全市开工建设各类管廊39公里，投资约10亿元，撬动社会资本投入，直接拉动基础设施投资，有效集约利用地下空间，提升土地资源价值，提高城市道路和各类管线使用寿命，降低基础设施建设成本，经济效益显著，同时解决</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马路拉链</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和</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空中蜘蛛网</w:t>
      </w:r>
      <w:r>
        <w:rPr>
          <w:rFonts w:hint="eastAsia" w:ascii="仿宋_GB2312" w:cstheme="minorBidi"/>
          <w:color w:val="000000"/>
          <w:kern w:val="0"/>
          <w:sz w:val="32"/>
          <w:szCs w:val="32"/>
          <w:highlight w:val="none"/>
          <w:lang w:val="en-US" w:eastAsia="zh-CN" w:bidi="ar-SA"/>
        </w:rPr>
        <w:t>”</w:t>
      </w:r>
      <w:r>
        <w:rPr>
          <w:rFonts w:hint="eastAsia" w:ascii="仿宋_GB2312" w:hAnsi="Times New Roman" w:eastAsia="仿宋_GB2312" w:cstheme="minorBidi"/>
          <w:color w:val="000000"/>
          <w:kern w:val="0"/>
          <w:sz w:val="32"/>
          <w:szCs w:val="32"/>
          <w:highlight w:val="none"/>
          <w:lang w:val="en-US" w:eastAsia="zh-CN" w:bidi="ar-SA"/>
        </w:rPr>
        <w:t>的城市病，提升道路交通效率，提高群众出行便捷度。</w:t>
      </w:r>
    </w:p>
    <w:bookmarkEnd w:id="26"/>
    <w:p>
      <w:pPr>
        <w:pStyle w:val="5"/>
        <w:numPr>
          <w:ilvl w:val="1"/>
          <w:numId w:val="0"/>
        </w:numPr>
        <w:bidi w:val="0"/>
        <w:ind w:leftChars="200" w:firstLine="321" w:firstLineChars="100"/>
        <w:rPr>
          <w:rFonts w:hint="eastAsia" w:ascii="仿宋" w:hAnsi="仿宋" w:eastAsia="仿宋" w:cs="仿宋"/>
          <w:sz w:val="32"/>
          <w:szCs w:val="32"/>
        </w:rPr>
      </w:pPr>
      <w:bookmarkStart w:id="31" w:name="_Toc6059"/>
      <w:bookmarkStart w:id="32" w:name="_Toc26964745"/>
      <w:r>
        <w:rPr>
          <w:rFonts w:hint="eastAsia" w:ascii="仿宋" w:hAnsi="仿宋" w:eastAsia="仿宋" w:cs="仿宋"/>
          <w:sz w:val="32"/>
          <w:szCs w:val="32"/>
          <w:lang w:val="en-US" w:eastAsia="zh-CN"/>
        </w:rPr>
        <w:t>3、</w:t>
      </w:r>
      <w:r>
        <w:rPr>
          <w:rFonts w:hint="eastAsia" w:ascii="仿宋" w:hAnsi="仿宋" w:eastAsia="仿宋" w:cs="仿宋"/>
          <w:sz w:val="32"/>
          <w:szCs w:val="32"/>
        </w:rPr>
        <w:t>主要问题</w:t>
      </w:r>
      <w:bookmarkEnd w:id="31"/>
    </w:p>
    <w:p>
      <w:pPr>
        <w:pStyle w:val="11"/>
        <w:spacing w:line="560" w:lineRule="exact"/>
        <w:ind w:firstLine="640" w:firstLineChars="200"/>
        <w:rPr>
          <w:rFonts w:hint="eastAsia" w:ascii="仿宋_GB2312"/>
          <w:sz w:val="32"/>
          <w:szCs w:val="32"/>
        </w:rPr>
      </w:pPr>
      <w:r>
        <w:rPr>
          <w:rFonts w:hint="eastAsia" w:ascii="仿宋_GB2312"/>
          <w:sz w:val="32"/>
          <w:szCs w:val="32"/>
          <w:lang w:eastAsia="zh-CN"/>
        </w:rPr>
        <w:t>（</w:t>
      </w:r>
      <w:r>
        <w:rPr>
          <w:rFonts w:hint="eastAsia" w:ascii="仿宋_GB2312"/>
          <w:sz w:val="32"/>
          <w:szCs w:val="32"/>
          <w:lang w:val="en-US" w:eastAsia="zh-CN"/>
        </w:rPr>
        <w:t>1</w:t>
      </w:r>
      <w:r>
        <w:rPr>
          <w:rFonts w:hint="eastAsia" w:ascii="仿宋_GB2312"/>
          <w:sz w:val="32"/>
          <w:szCs w:val="32"/>
          <w:lang w:eastAsia="zh-CN"/>
        </w:rPr>
        <w:t>）</w:t>
      </w:r>
      <w:r>
        <w:rPr>
          <w:rFonts w:hint="eastAsia" w:ascii="仿宋_GB2312"/>
          <w:sz w:val="32"/>
          <w:szCs w:val="32"/>
        </w:rPr>
        <w:t>过程类</w:t>
      </w:r>
    </w:p>
    <w:p>
      <w:pPr>
        <w:pStyle w:val="11"/>
        <w:spacing w:line="560" w:lineRule="exact"/>
        <w:ind w:firstLine="640" w:firstLineChars="200"/>
        <w:rPr>
          <w:rFonts w:hint="default" w:ascii="仿宋_GB2312" w:eastAsia="仿宋_GB2312"/>
          <w:sz w:val="32"/>
          <w:szCs w:val="32"/>
          <w:lang w:val="en-US" w:eastAsia="zh-CN"/>
        </w:rPr>
      </w:pPr>
      <w:r>
        <w:rPr>
          <w:rFonts w:hint="eastAsia" w:ascii="仿宋_GB2312"/>
          <w:sz w:val="32"/>
          <w:szCs w:val="32"/>
        </w:rPr>
        <w:t>a.预算执行类：</w:t>
      </w:r>
      <w:r>
        <w:rPr>
          <w:rFonts w:hint="eastAsia" w:ascii="仿宋_GB2312"/>
          <w:sz w:val="32"/>
          <w:szCs w:val="32"/>
          <w:lang w:val="en-US" w:eastAsia="zh-CN"/>
        </w:rPr>
        <w:t>①</w:t>
      </w:r>
      <w:r>
        <w:rPr>
          <w:rFonts w:hint="eastAsia" w:ascii="仿宋_GB2312"/>
          <w:sz w:val="32"/>
          <w:szCs w:val="32"/>
        </w:rPr>
        <w:t>支付进度率</w:t>
      </w:r>
      <w:r>
        <w:rPr>
          <w:rFonts w:hint="eastAsia" w:ascii="仿宋_GB2312"/>
          <w:sz w:val="32"/>
          <w:szCs w:val="32"/>
          <w:lang w:val="en-US" w:eastAsia="zh-CN"/>
        </w:rPr>
        <w:t>：住建局部门整体支出专项资金的支付进度与既定支付进度存在较大的差异</w:t>
      </w:r>
      <w:r>
        <w:rPr>
          <w:rFonts w:hint="eastAsia" w:ascii="仿宋_GB2312"/>
          <w:sz w:val="32"/>
          <w:szCs w:val="32"/>
        </w:rPr>
        <w:t>，</w:t>
      </w:r>
      <w:r>
        <w:rPr>
          <w:rFonts w:hint="eastAsia" w:ascii="仿宋_GB2312"/>
          <w:sz w:val="32"/>
          <w:szCs w:val="32"/>
          <w:lang w:val="en-US" w:eastAsia="zh-CN"/>
        </w:rPr>
        <w:t>未在</w:t>
      </w:r>
      <w:r>
        <w:rPr>
          <w:rFonts w:hint="eastAsia" w:ascii="仿宋_GB2312"/>
          <w:sz w:val="32"/>
          <w:szCs w:val="32"/>
        </w:rPr>
        <w:t>在规定时间内执行预算，支付进度缓慢</w:t>
      </w:r>
      <w:r>
        <w:rPr>
          <w:rFonts w:hint="eastAsia" w:ascii="仿宋_GB2312"/>
          <w:sz w:val="32"/>
          <w:szCs w:val="32"/>
          <w:lang w:eastAsia="zh-CN"/>
        </w:rPr>
        <w:t>，</w:t>
      </w:r>
      <w:r>
        <w:rPr>
          <w:rFonts w:hint="eastAsia" w:ascii="仿宋_GB2312"/>
          <w:sz w:val="32"/>
          <w:szCs w:val="32"/>
          <w:highlight w:val="none"/>
          <w:lang w:val="en-US" w:eastAsia="zh-CN"/>
        </w:rPr>
        <w:t>主要系年初新冠疫情影响以及新建项目开展前期论证、规划申报工作，工程款支付多在下半年，导致前三季度专项资金执行进度率偏低</w:t>
      </w:r>
      <w:r>
        <w:rPr>
          <w:rFonts w:hint="eastAsia" w:ascii="仿宋_GB2312"/>
          <w:sz w:val="32"/>
          <w:szCs w:val="32"/>
          <w:highlight w:val="none"/>
        </w:rPr>
        <w:t>；</w:t>
      </w:r>
      <w:r>
        <w:rPr>
          <w:rFonts w:hint="eastAsia" w:ascii="仿宋_GB2312"/>
          <w:sz w:val="32"/>
          <w:szCs w:val="32"/>
          <w:lang w:val="en-US" w:eastAsia="zh-CN"/>
        </w:rPr>
        <w:t>②</w:t>
      </w:r>
      <w:r>
        <w:rPr>
          <w:rFonts w:hint="eastAsia" w:ascii="仿宋_GB2312"/>
          <w:sz w:val="32"/>
          <w:szCs w:val="32"/>
        </w:rPr>
        <w:t>上年结转资金执行率</w:t>
      </w:r>
      <w:r>
        <w:rPr>
          <w:rFonts w:hint="eastAsia" w:ascii="仿宋_GB2312"/>
          <w:sz w:val="32"/>
          <w:szCs w:val="32"/>
          <w:lang w:val="en-US" w:eastAsia="zh-CN"/>
        </w:rPr>
        <w:t>：住建局部门整体支出</w:t>
      </w:r>
      <w:r>
        <w:rPr>
          <w:rFonts w:hint="eastAsia" w:ascii="仿宋_GB2312"/>
          <w:sz w:val="32"/>
          <w:szCs w:val="32"/>
        </w:rPr>
        <w:t>上年结转资金执行率96.41%</w:t>
      </w:r>
      <w:r>
        <w:rPr>
          <w:rFonts w:hint="eastAsia" w:ascii="仿宋_GB2312"/>
          <w:sz w:val="32"/>
          <w:szCs w:val="32"/>
          <w:lang w:eastAsia="zh-CN"/>
        </w:rPr>
        <w:t>，</w:t>
      </w:r>
      <w:r>
        <w:rPr>
          <w:rFonts w:hint="eastAsia" w:ascii="仿宋_GB2312"/>
          <w:sz w:val="32"/>
          <w:szCs w:val="32"/>
          <w:lang w:val="en-US" w:eastAsia="zh-CN"/>
        </w:rPr>
        <w:t>未达到100%，主要系住建局本级及所属二级单位实有资金账户沉淀，历年结余资金及利息收入导致。</w:t>
      </w:r>
    </w:p>
    <w:p>
      <w:pPr>
        <w:pStyle w:val="11"/>
        <w:spacing w:line="560" w:lineRule="exact"/>
        <w:ind w:firstLine="640" w:firstLineChars="200"/>
        <w:rPr>
          <w:rFonts w:hint="default" w:ascii="仿宋_GB2312"/>
          <w:sz w:val="32"/>
          <w:szCs w:val="32"/>
          <w:highlight w:val="none"/>
          <w:lang w:val="en-US"/>
        </w:rPr>
      </w:pPr>
      <w:r>
        <w:rPr>
          <w:rFonts w:hint="eastAsia" w:ascii="仿宋_GB2312"/>
          <w:sz w:val="32"/>
          <w:szCs w:val="32"/>
          <w:lang w:val="en-US" w:eastAsia="zh-CN"/>
        </w:rPr>
        <w:t>b</w:t>
      </w:r>
      <w:r>
        <w:rPr>
          <w:rFonts w:hint="eastAsia" w:ascii="仿宋_GB2312"/>
          <w:sz w:val="32"/>
          <w:szCs w:val="32"/>
        </w:rPr>
        <w:t>.</w:t>
      </w:r>
      <w:r>
        <w:rPr>
          <w:rFonts w:hint="eastAsia" w:ascii="仿宋_GB2312"/>
          <w:sz w:val="32"/>
          <w:szCs w:val="32"/>
          <w:lang w:val="en-US" w:eastAsia="zh-CN"/>
        </w:rPr>
        <w:t>资产</w:t>
      </w:r>
      <w:r>
        <w:rPr>
          <w:rFonts w:hint="eastAsia" w:ascii="仿宋_GB2312"/>
          <w:sz w:val="32"/>
          <w:szCs w:val="32"/>
        </w:rPr>
        <w:t>管理类：</w:t>
      </w:r>
      <w:r>
        <w:rPr>
          <w:rFonts w:hint="eastAsia" w:ascii="仿宋_GB2312"/>
          <w:sz w:val="32"/>
          <w:szCs w:val="32"/>
          <w:lang w:val="en-US" w:eastAsia="zh-CN"/>
        </w:rPr>
        <w:t>①</w:t>
      </w:r>
      <w:r>
        <w:rPr>
          <w:rFonts w:hint="eastAsia" w:ascii="仿宋_GB2312"/>
          <w:sz w:val="32"/>
          <w:szCs w:val="32"/>
        </w:rPr>
        <w:t>固定资产利用率</w:t>
      </w:r>
      <w:r>
        <w:rPr>
          <w:rFonts w:hint="eastAsia" w:ascii="仿宋_GB2312"/>
          <w:sz w:val="32"/>
          <w:szCs w:val="32"/>
          <w:lang w:val="en-US" w:eastAsia="zh-CN"/>
        </w:rPr>
        <w:t>以及资产管理规范性</w:t>
      </w:r>
      <w:r>
        <w:rPr>
          <w:rFonts w:hint="eastAsia" w:ascii="仿宋_GB2312"/>
          <w:sz w:val="32"/>
          <w:szCs w:val="32"/>
          <w:lang w:eastAsia="zh-CN"/>
        </w:rPr>
        <w:t>：</w:t>
      </w:r>
      <w:r>
        <w:rPr>
          <w:rFonts w:hint="eastAsia" w:ascii="仿宋_GB2312"/>
          <w:sz w:val="32"/>
          <w:szCs w:val="32"/>
        </w:rPr>
        <w:t>住建局资产利用率为95.41%</w:t>
      </w:r>
      <w:r>
        <w:rPr>
          <w:rFonts w:hint="eastAsia" w:ascii="仿宋_GB2312"/>
          <w:sz w:val="32"/>
          <w:szCs w:val="32"/>
          <w:lang w:eastAsia="zh-CN"/>
        </w:rPr>
        <w:t>，</w:t>
      </w:r>
      <w:r>
        <w:rPr>
          <w:rFonts w:hint="eastAsia" w:ascii="仿宋_GB2312"/>
          <w:sz w:val="32"/>
          <w:szCs w:val="32"/>
          <w:lang w:val="en-US" w:eastAsia="zh-CN"/>
        </w:rPr>
        <w:t>存在689.01万元的闲置资产以及262.64万元的待处置资产。</w:t>
      </w:r>
      <w:r>
        <w:rPr>
          <w:rFonts w:hint="eastAsia" w:ascii="仿宋_GB2312"/>
          <w:sz w:val="32"/>
          <w:szCs w:val="32"/>
          <w:highlight w:val="none"/>
          <w:lang w:val="en-US" w:eastAsia="zh-CN"/>
        </w:rPr>
        <w:t>闲置资产主要系住房保障中心拆迁征收后返还的4套房屋以及散装水泥服务中心的禁现平台，待处置资产主要系原市建筑材料质量监督检验站并入市建筑工程质量监督站的办公设备、仪器设备、运输车辆，以及公用事业工程建设发展中心尚未批准核销的被盗待报废捷达轿车。以上资产闲置和划入待处置时间较长，资产的使用和处置以及制度的执行存在一定的问题。</w:t>
      </w:r>
    </w:p>
    <w:p>
      <w:pPr>
        <w:pStyle w:val="5"/>
        <w:numPr>
          <w:ilvl w:val="1"/>
          <w:numId w:val="0"/>
        </w:numPr>
        <w:bidi w:val="0"/>
        <w:ind w:leftChars="200" w:firstLine="321" w:firstLineChars="100"/>
        <w:rPr>
          <w:rFonts w:hint="eastAsia" w:ascii="仿宋" w:hAnsi="仿宋" w:eastAsia="仿宋" w:cs="仿宋"/>
          <w:sz w:val="32"/>
          <w:szCs w:val="32"/>
        </w:rPr>
      </w:pPr>
      <w:bookmarkStart w:id="33" w:name="_Toc12062"/>
      <w:r>
        <w:rPr>
          <w:rFonts w:hint="eastAsia" w:ascii="仿宋" w:hAnsi="仿宋" w:eastAsia="仿宋" w:cs="仿宋"/>
          <w:sz w:val="32"/>
          <w:szCs w:val="32"/>
          <w:lang w:val="en-US" w:eastAsia="zh-CN"/>
        </w:rPr>
        <w:t>4、</w:t>
      </w:r>
      <w:r>
        <w:rPr>
          <w:rFonts w:hint="eastAsia" w:ascii="仿宋" w:hAnsi="仿宋" w:eastAsia="仿宋" w:cs="仿宋"/>
          <w:sz w:val="32"/>
          <w:szCs w:val="32"/>
        </w:rPr>
        <w:t>相关建议</w:t>
      </w:r>
      <w:bookmarkEnd w:id="33"/>
    </w:p>
    <w:p>
      <w:pPr>
        <w:pStyle w:val="11"/>
        <w:numPr>
          <w:ilvl w:val="0"/>
          <w:numId w:val="0"/>
        </w:numPr>
        <w:spacing w:line="560" w:lineRule="exact"/>
        <w:ind w:firstLine="640"/>
        <w:rPr>
          <w:rFonts w:hint="eastAsia" w:ascii="仿宋_GB2312" w:hAnsiTheme="minorHAnsi"/>
          <w:color w:val="auto"/>
          <w:kern w:val="0"/>
          <w:sz w:val="32"/>
          <w:szCs w:val="32"/>
          <w:highlight w:val="none"/>
          <w:lang w:val="en-US" w:eastAsia="zh-CN"/>
        </w:rPr>
      </w:pPr>
      <w:r>
        <w:rPr>
          <w:rFonts w:hint="eastAsia" w:ascii="仿宋_GB2312" w:hAnsiTheme="minorHAnsi"/>
          <w:color w:val="auto"/>
          <w:kern w:val="0"/>
          <w:sz w:val="32"/>
          <w:szCs w:val="32"/>
          <w:highlight w:val="none"/>
          <w:lang w:val="en-US" w:eastAsia="zh-CN"/>
        </w:rPr>
        <w:t>（1）为确保各类专项工作正常有序地开展，建议住建局高度重视专项资金的支付进度，采取切实有效的措施，例如①充分预留前期手续办理时间，对已下达概算批复、支出预算评审批复的项目，积极推进开工，确保批复资金即时结报，对于未完善全部手续的项目，提前做好资金申请，确定可以开工的，将工程进度款纳入下年度资金申请计划；②督促项目单位在计划管理、参建单位管理、资金拨付管理等环节层层把关，确保资金使用合规、高效、安全，杜绝闲置浪费沉淀现象发生，加快资金使用效率。</w:t>
      </w:r>
    </w:p>
    <w:p>
      <w:pPr>
        <w:pStyle w:val="11"/>
        <w:numPr>
          <w:ilvl w:val="0"/>
          <w:numId w:val="0"/>
        </w:numPr>
        <w:spacing w:line="560" w:lineRule="exact"/>
        <w:ind w:firstLine="640"/>
        <w:rPr>
          <w:rFonts w:hint="default" w:ascii="仿宋_GB2312" w:hAnsiTheme="minorHAnsi"/>
          <w:color w:val="auto"/>
          <w:kern w:val="0"/>
          <w:sz w:val="32"/>
          <w:szCs w:val="32"/>
          <w:highlight w:val="none"/>
          <w:lang w:val="en-US" w:eastAsia="zh-CN"/>
        </w:rPr>
      </w:pPr>
      <w:r>
        <w:rPr>
          <w:rFonts w:hint="eastAsia" w:ascii="仿宋_GB2312" w:hAnsiTheme="minorHAnsi"/>
          <w:color w:val="auto"/>
          <w:kern w:val="0"/>
          <w:sz w:val="32"/>
          <w:szCs w:val="32"/>
          <w:highlight w:val="none"/>
          <w:lang w:val="en-US" w:eastAsia="zh-CN"/>
        </w:rPr>
        <w:t>（2）建议</w:t>
      </w:r>
      <w:r>
        <w:rPr>
          <w:rFonts w:hint="default" w:ascii="仿宋_GB2312" w:hAnsiTheme="minorHAnsi"/>
          <w:color w:val="auto"/>
          <w:kern w:val="0"/>
          <w:sz w:val="32"/>
          <w:szCs w:val="32"/>
          <w:highlight w:val="none"/>
          <w:lang w:val="en-US" w:eastAsia="zh-CN"/>
        </w:rPr>
        <w:t>清理结余沉淀资金，强化财政资金管理。建立定期清理机制，及时清理结余资金，该收回财政的坚决收回，由财政总预算统筹安排，强化财政结余资金管理，加强部门结余资金管理，加快预算执行进度，提高财政资金运行效益，促进财政资金使用效益。</w:t>
      </w:r>
    </w:p>
    <w:p>
      <w:pPr>
        <w:pStyle w:val="11"/>
        <w:numPr>
          <w:ilvl w:val="0"/>
          <w:numId w:val="0"/>
        </w:numPr>
        <w:spacing w:line="560" w:lineRule="exact"/>
        <w:ind w:firstLine="640"/>
        <w:rPr>
          <w:rFonts w:hint="eastAsia" w:ascii="仿宋_GB2312" w:hAnsiTheme="minorHAnsi"/>
          <w:color w:val="auto"/>
          <w:kern w:val="0"/>
          <w:sz w:val="32"/>
          <w:szCs w:val="32"/>
          <w:highlight w:val="none"/>
          <w:lang w:val="en-US" w:eastAsia="zh-CN"/>
        </w:rPr>
      </w:pPr>
      <w:r>
        <w:rPr>
          <w:rFonts w:hint="eastAsia" w:ascii="仿宋_GB2312" w:hAnsiTheme="minorHAnsi"/>
          <w:color w:val="auto"/>
          <w:kern w:val="0"/>
          <w:sz w:val="32"/>
          <w:szCs w:val="32"/>
          <w:highlight w:val="none"/>
          <w:lang w:val="en-US" w:eastAsia="zh-CN"/>
        </w:rPr>
        <w:t>（3）建议规范固定资产的管理工作，提高固定资产的使用效率，采取多项措施，进一步深化固定资产管理，提高固定资产的利用率，最大限度盘活闲置的资产，充分发挥闲置资产的能动性，真正使闲置资产“动起来”，做到闲置不闲。对于纳入待处置的资产，建议高度重视此类资产的处置工作，积极通过合理方式，争取最大限度发挥其效益。</w:t>
      </w:r>
    </w:p>
    <w:p>
      <w:pPr>
        <w:pStyle w:val="11"/>
        <w:numPr>
          <w:ilvl w:val="0"/>
          <w:numId w:val="0"/>
        </w:numPr>
        <w:spacing w:line="560" w:lineRule="exact"/>
        <w:ind w:firstLine="640"/>
        <w:outlineLvl w:val="0"/>
        <w:rPr>
          <w:rFonts w:hint="eastAsia" w:ascii="仿宋" w:hAnsi="仿宋" w:eastAsia="仿宋" w:cs="仿宋"/>
          <w:b/>
          <w:bCs/>
          <w:color w:val="auto"/>
          <w:kern w:val="2"/>
          <w:sz w:val="32"/>
          <w:szCs w:val="32"/>
          <w:lang w:val="en-US" w:eastAsia="zh-CN" w:bidi="ar-SA"/>
        </w:rPr>
      </w:pPr>
      <w:bookmarkStart w:id="34" w:name="_Toc27403"/>
      <w:r>
        <w:rPr>
          <w:rFonts w:hint="eastAsia" w:ascii="仿宋" w:hAnsi="仿宋" w:eastAsia="仿宋" w:cs="仿宋"/>
          <w:b/>
          <w:bCs/>
          <w:color w:val="auto"/>
          <w:kern w:val="2"/>
          <w:sz w:val="32"/>
          <w:szCs w:val="32"/>
          <w:lang w:val="en-US" w:eastAsia="zh-CN" w:bidi="ar-SA"/>
        </w:rPr>
        <w:t>四、附件</w:t>
      </w:r>
      <w:bookmarkEnd w:id="34"/>
    </w:p>
    <w:p>
      <w:pPr>
        <w:pStyle w:val="11"/>
        <w:numPr>
          <w:ilvl w:val="0"/>
          <w:numId w:val="0"/>
        </w:numPr>
        <w:spacing w:line="560" w:lineRule="exact"/>
        <w:ind w:firstLine="640"/>
        <w:rPr>
          <w:rFonts w:hint="default" w:ascii="仿宋_GB2312" w:hAnsiTheme="minorHAnsi"/>
          <w:color w:val="auto"/>
          <w:kern w:val="0"/>
          <w:sz w:val="32"/>
          <w:szCs w:val="32"/>
          <w:highlight w:val="none"/>
          <w:lang w:val="en-US" w:eastAsia="zh-CN"/>
        </w:rPr>
      </w:pPr>
      <w:r>
        <w:rPr>
          <w:rFonts w:hint="default" w:ascii="仿宋_GB2312" w:hAnsiTheme="minorHAnsi"/>
          <w:color w:val="auto"/>
          <w:kern w:val="0"/>
          <w:sz w:val="32"/>
          <w:szCs w:val="32"/>
          <w:highlight w:val="none"/>
          <w:lang w:val="en-US" w:eastAsia="zh-CN"/>
        </w:rPr>
        <w:t>附</w:t>
      </w:r>
      <w:r>
        <w:rPr>
          <w:rFonts w:hint="eastAsia" w:ascii="仿宋_GB2312" w:hAnsiTheme="minorHAnsi"/>
          <w:color w:val="auto"/>
          <w:kern w:val="0"/>
          <w:sz w:val="32"/>
          <w:szCs w:val="32"/>
          <w:highlight w:val="none"/>
          <w:lang w:val="en-US" w:eastAsia="zh-CN"/>
        </w:rPr>
        <w:t>件</w:t>
      </w:r>
      <w:r>
        <w:rPr>
          <w:rFonts w:hint="default" w:ascii="仿宋_GB2312" w:hAnsiTheme="minorHAnsi"/>
          <w:color w:val="auto"/>
          <w:kern w:val="0"/>
          <w:sz w:val="32"/>
          <w:szCs w:val="32"/>
          <w:highlight w:val="none"/>
          <w:lang w:val="en-US" w:eastAsia="zh-CN"/>
        </w:rPr>
        <w:t>1：青岛市住房和城乡建设局整体支出指标体系评分表</w:t>
      </w:r>
    </w:p>
    <w:p>
      <w:pPr>
        <w:pStyle w:val="11"/>
        <w:numPr>
          <w:ilvl w:val="0"/>
          <w:numId w:val="0"/>
        </w:numPr>
        <w:spacing w:line="560" w:lineRule="exact"/>
        <w:ind w:firstLine="640"/>
        <w:rPr>
          <w:rFonts w:hint="default" w:ascii="仿宋_GB2312" w:hAnsiTheme="minorHAnsi"/>
          <w:color w:val="auto"/>
          <w:kern w:val="0"/>
          <w:sz w:val="32"/>
          <w:szCs w:val="32"/>
          <w:highlight w:val="none"/>
          <w:lang w:val="en-US" w:eastAsia="zh-CN"/>
        </w:rPr>
      </w:pPr>
      <w:r>
        <w:rPr>
          <w:rFonts w:hint="default" w:ascii="仿宋_GB2312" w:hAnsiTheme="minorHAnsi"/>
          <w:color w:val="auto"/>
          <w:kern w:val="0"/>
          <w:sz w:val="32"/>
          <w:szCs w:val="32"/>
          <w:highlight w:val="none"/>
          <w:lang w:val="en-US" w:eastAsia="zh-CN"/>
        </w:rPr>
        <w:t>附</w:t>
      </w:r>
      <w:r>
        <w:rPr>
          <w:rFonts w:hint="eastAsia" w:ascii="仿宋_GB2312" w:hAnsiTheme="minorHAnsi"/>
          <w:color w:val="auto"/>
          <w:kern w:val="0"/>
          <w:sz w:val="32"/>
          <w:szCs w:val="32"/>
          <w:highlight w:val="none"/>
          <w:lang w:val="en-US" w:eastAsia="zh-CN"/>
        </w:rPr>
        <w:t>件2</w:t>
      </w:r>
      <w:r>
        <w:rPr>
          <w:rFonts w:hint="default" w:ascii="仿宋_GB2312" w:hAnsiTheme="minorHAnsi"/>
          <w:color w:val="auto"/>
          <w:kern w:val="0"/>
          <w:sz w:val="32"/>
          <w:szCs w:val="32"/>
          <w:highlight w:val="none"/>
          <w:lang w:val="en-US" w:eastAsia="zh-CN"/>
        </w:rPr>
        <w:t>：</w:t>
      </w:r>
      <w:r>
        <w:rPr>
          <w:rFonts w:hint="eastAsia" w:ascii="仿宋_GB2312" w:hAnsiTheme="minorHAnsi"/>
          <w:color w:val="auto"/>
          <w:kern w:val="0"/>
          <w:sz w:val="32"/>
          <w:szCs w:val="32"/>
          <w:highlight w:val="none"/>
          <w:lang w:val="en-US" w:eastAsia="zh-CN"/>
        </w:rPr>
        <w:t>2020</w:t>
      </w:r>
      <w:r>
        <w:rPr>
          <w:rFonts w:hint="default" w:ascii="仿宋_GB2312" w:hAnsiTheme="minorHAnsi"/>
          <w:color w:val="auto"/>
          <w:kern w:val="0"/>
          <w:sz w:val="32"/>
          <w:szCs w:val="32"/>
          <w:highlight w:val="none"/>
          <w:lang w:val="en-US" w:eastAsia="zh-CN"/>
        </w:rPr>
        <w:t>年度市直单位业务目标完成情况申报表</w:t>
      </w:r>
    </w:p>
    <w:p>
      <w:pPr>
        <w:numPr>
          <w:ilvl w:val="0"/>
          <w:numId w:val="4"/>
        </w:numPr>
        <w:spacing w:line="560" w:lineRule="exact"/>
        <w:ind w:firstLine="643" w:firstLineChars="200"/>
        <w:outlineLvl w:val="0"/>
        <w:rPr>
          <w:rFonts w:hint="eastAsia" w:ascii="仿宋" w:hAnsi="仿宋" w:eastAsia="仿宋" w:cs="仿宋"/>
          <w:b/>
          <w:bCs/>
          <w:color w:val="auto"/>
          <w:kern w:val="2"/>
          <w:sz w:val="32"/>
          <w:szCs w:val="32"/>
          <w:lang w:val="en-US" w:eastAsia="zh-CN" w:bidi="ar-SA"/>
        </w:rPr>
      </w:pPr>
      <w:bookmarkStart w:id="35" w:name="_Toc11174"/>
      <w:r>
        <w:rPr>
          <w:rFonts w:hint="eastAsia" w:ascii="仿宋" w:hAnsi="仿宋" w:eastAsia="仿宋" w:cs="仿宋"/>
          <w:b/>
          <w:bCs/>
          <w:color w:val="auto"/>
          <w:kern w:val="2"/>
          <w:sz w:val="32"/>
          <w:szCs w:val="32"/>
          <w:lang w:val="en-US" w:eastAsia="zh-CN" w:bidi="ar-SA"/>
        </w:rPr>
        <w:t>评价单位盖章</w:t>
      </w:r>
      <w:bookmarkEnd w:id="32"/>
      <w:bookmarkEnd w:id="35"/>
    </w:p>
    <w:p>
      <w:pPr>
        <w:spacing w:line="360" w:lineRule="auto"/>
        <w:rPr>
          <w:rFonts w:hint="eastAsia" w:ascii="仿宋_GB2312" w:hAnsi="宋体" w:eastAsia="仿宋_GB2312" w:cs="宋体"/>
          <w:kern w:val="0"/>
          <w:sz w:val="32"/>
          <w:szCs w:val="32"/>
        </w:rPr>
      </w:pPr>
    </w:p>
    <w:p>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山东东信会计师事务所有限公司 </w:t>
      </w:r>
      <w:r>
        <w:rPr>
          <w:rFonts w:ascii="仿宋_GB2312" w:hAnsi="宋体" w:eastAsia="仿宋_GB2312" w:cs="宋体"/>
          <w:kern w:val="0"/>
          <w:sz w:val="32"/>
          <w:szCs w:val="32"/>
        </w:rPr>
        <w:t xml:space="preserve">   </w:t>
      </w:r>
      <w:r>
        <w:rPr>
          <w:rFonts w:hint="eastAsia" w:ascii="仿宋_GB2312" w:hAnsi="仿宋" w:eastAsia="仿宋_GB2312" w:cs="仿宋"/>
          <w:color w:val="000000"/>
          <w:sz w:val="32"/>
          <w:szCs w:val="32"/>
        </w:rPr>
        <w:t>中国注册会计师：</w:t>
      </w:r>
    </w:p>
    <w:p>
      <w:pPr>
        <w:spacing w:line="360" w:lineRule="auto"/>
        <w:ind w:firstLine="4080" w:firstLineChars="1700"/>
        <w:rPr>
          <w:rFonts w:ascii="仿宋_GB2312" w:hAnsi="宋体" w:eastAsia="仿宋_GB2312"/>
          <w:color w:val="000000"/>
          <w:sz w:val="24"/>
        </w:rPr>
      </w:pPr>
    </w:p>
    <w:p>
      <w:pPr>
        <w:spacing w:line="360" w:lineRule="auto"/>
        <w:ind w:firstLine="5120" w:firstLineChars="1600"/>
        <w:rPr>
          <w:rFonts w:ascii="仿宋_GB2312" w:hAnsi="宋体" w:eastAsia="仿宋_GB2312"/>
          <w:color w:val="000000"/>
          <w:sz w:val="24"/>
        </w:rPr>
      </w:pPr>
      <w:r>
        <w:rPr>
          <w:rFonts w:hint="eastAsia" w:ascii="仿宋_GB2312" w:hAnsi="仿宋" w:eastAsia="仿宋_GB2312" w:cs="仿宋"/>
          <w:color w:val="000000"/>
          <w:sz w:val="32"/>
          <w:szCs w:val="32"/>
        </w:rPr>
        <w:t>中国注册会计师：</w:t>
      </w:r>
    </w:p>
    <w:p>
      <w:pPr>
        <w:spacing w:line="360" w:lineRule="auto"/>
        <w:ind w:firstLine="480" w:firstLineChars="200"/>
        <w:rPr>
          <w:rFonts w:ascii="仿宋_GB2312" w:hAnsi="宋体" w:eastAsia="仿宋_GB2312"/>
          <w:color w:val="000000"/>
          <w:sz w:val="24"/>
        </w:rPr>
      </w:pPr>
    </w:p>
    <w:p>
      <w:pPr>
        <w:spacing w:line="360" w:lineRule="auto"/>
        <w:ind w:firstLine="1280" w:firstLineChars="4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山东·青岛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二O二</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七</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二十六</w:t>
      </w:r>
      <w:r>
        <w:rPr>
          <w:rFonts w:hint="eastAsia" w:ascii="仿宋_GB2312" w:hAnsi="宋体" w:eastAsia="仿宋_GB2312" w:cs="宋体"/>
          <w:kern w:val="0"/>
          <w:sz w:val="32"/>
          <w:szCs w:val="32"/>
        </w:rPr>
        <w:t>日</w:t>
      </w:r>
    </w:p>
    <w:p>
      <w:pPr>
        <w:pStyle w:val="2"/>
        <w:numPr>
          <w:ilvl w:val="0"/>
          <w:numId w:val="0"/>
        </w:numPr>
        <w:rPr>
          <w:rFonts w:hint="eastAsia"/>
          <w:lang w:val="en-US" w:eastAsia="zh-CN"/>
        </w:rPr>
      </w:pPr>
    </w:p>
    <w:sectPr>
      <w:footerReference r:id="rId9" w:type="default"/>
      <w:footnotePr>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文星简黑体">
    <w:altName w:val="黑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sz w:val="21"/>
      </w:rPr>
    </w:pPr>
  </w:p>
  <w:sdt>
    <w:sdtPr>
      <w:id w:val="-234936245"/>
    </w:sdtPr>
    <w:sdtContent>
      <w:p>
        <w:pPr>
          <w:pStyle w:val="46"/>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sz w:val="21"/>
      </w:rPr>
    </w:pPr>
    <w:r>
      <w:rPr>
        <w:sz w:val="21"/>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sdt>
    <w:sdtPr>
      <w:id w:val="-234936245"/>
    </w:sdtPr>
    <w:sdtContent>
      <w:p>
        <w:pPr>
          <w:pStyle w:val="46"/>
        </w:pPr>
      </w:p>
      <w:p>
        <w:pPr>
          <w:pStyle w:val="46"/>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96673"/>
    <w:multiLevelType w:val="singleLevel"/>
    <w:tmpl w:val="80F96673"/>
    <w:lvl w:ilvl="0" w:tentative="0">
      <w:start w:val="1"/>
      <w:numFmt w:val="decimal"/>
      <w:suff w:val="nothing"/>
      <w:lvlText w:val="（%1）"/>
      <w:lvlJc w:val="left"/>
    </w:lvl>
  </w:abstractNum>
  <w:abstractNum w:abstractNumId="1">
    <w:nsid w:val="B0B642C5"/>
    <w:multiLevelType w:val="singleLevel"/>
    <w:tmpl w:val="B0B642C5"/>
    <w:lvl w:ilvl="0" w:tentative="0">
      <w:start w:val="3"/>
      <w:numFmt w:val="decimal"/>
      <w:suff w:val="nothing"/>
      <w:lvlText w:val="%1、"/>
      <w:lvlJc w:val="left"/>
    </w:lvl>
  </w:abstractNum>
  <w:abstractNum w:abstractNumId="2">
    <w:nsid w:val="610671B8"/>
    <w:multiLevelType w:val="multilevel"/>
    <w:tmpl w:val="610671B8"/>
    <w:lvl w:ilvl="0" w:tentative="0">
      <w:start w:val="1"/>
      <w:numFmt w:val="chineseCountingThousand"/>
      <w:pStyle w:val="3"/>
      <w:suff w:val="nothing"/>
      <w:lvlText w:val="%1、"/>
      <w:lvlJc w:val="left"/>
      <w:pPr>
        <w:ind w:left="851" w:hanging="425"/>
      </w:pPr>
      <w:rPr>
        <w:rFonts w:hint="eastAsia"/>
      </w:rPr>
    </w:lvl>
    <w:lvl w:ilvl="1" w:tentative="0">
      <w:start w:val="1"/>
      <w:numFmt w:val="chineseCountingThousand"/>
      <w:pStyle w:val="5"/>
      <w:suff w:val="nothing"/>
      <w:lvlText w:val="（%2）"/>
      <w:lvlJc w:val="left"/>
      <w:pPr>
        <w:ind w:left="284" w:hanging="567"/>
      </w:pPr>
      <w:rPr>
        <w:rFonts w:hint="eastAsia"/>
      </w:rPr>
    </w:lvl>
    <w:lvl w:ilvl="2" w:tentative="0">
      <w:start w:val="1"/>
      <w:numFmt w:val="decimal"/>
      <w:pStyle w:val="6"/>
      <w:suff w:val="nothing"/>
      <w:lvlText w:val="%3. "/>
      <w:lvlJc w:val="left"/>
      <w:pPr>
        <w:ind w:left="-2976" w:hanging="567"/>
      </w:pPr>
      <w:rPr>
        <w:rFonts w:hint="eastAsia"/>
      </w:rPr>
    </w:lvl>
    <w:lvl w:ilvl="3" w:tentative="0">
      <w:start w:val="1"/>
      <w:numFmt w:val="decimal"/>
      <w:pStyle w:val="7"/>
      <w:suff w:val="nothing"/>
      <w:lvlText w:val="（%4）"/>
      <w:lvlJc w:val="left"/>
      <w:pPr>
        <w:ind w:left="-2268" w:hanging="425"/>
      </w:pPr>
      <w:rPr>
        <w:rFonts w:hint="eastAsia"/>
      </w:rPr>
    </w:lvl>
    <w:lvl w:ilvl="4" w:tentative="0">
      <w:start w:val="1"/>
      <w:numFmt w:val="decimal"/>
      <w:pStyle w:val="8"/>
      <w:suff w:val="nothing"/>
      <w:lvlText w:val="%5）"/>
      <w:lvlJc w:val="left"/>
      <w:pPr>
        <w:ind w:left="-2693" w:hanging="113"/>
      </w:pPr>
      <w:rPr>
        <w:rFonts w:hint="eastAsia"/>
      </w:rPr>
    </w:lvl>
    <w:lvl w:ilvl="5" w:tentative="0">
      <w:start w:val="1"/>
      <w:numFmt w:val="decimal"/>
      <w:pStyle w:val="53"/>
      <w:suff w:val="nothing"/>
      <w:lvlText w:val="附件%6 "/>
      <w:lvlJc w:val="left"/>
      <w:pPr>
        <w:ind w:left="-3685" w:firstLine="0"/>
      </w:pPr>
      <w:rPr>
        <w:rFonts w:hint="eastAsia"/>
      </w:rPr>
    </w:lvl>
    <w:lvl w:ilvl="6" w:tentative="0">
      <w:start w:val="1"/>
      <w:numFmt w:val="chineseCountingThousand"/>
      <w:suff w:val="nothing"/>
      <w:lvlText w:val="%7、"/>
      <w:lvlJc w:val="left"/>
      <w:pPr>
        <w:ind w:left="-2693" w:hanging="567"/>
      </w:pPr>
      <w:rPr>
        <w:rFonts w:hint="eastAsia"/>
      </w:rPr>
    </w:lvl>
    <w:lvl w:ilvl="7" w:tentative="0">
      <w:start w:val="1"/>
      <w:numFmt w:val="chineseCountingThousand"/>
      <w:suff w:val="nothing"/>
      <w:lvlText w:val="（%8）"/>
      <w:lvlJc w:val="left"/>
      <w:pPr>
        <w:ind w:left="-2693" w:hanging="567"/>
      </w:pPr>
      <w:rPr>
        <w:rFonts w:hint="eastAsia"/>
      </w:rPr>
    </w:lvl>
    <w:lvl w:ilvl="8" w:tentative="0">
      <w:start w:val="1"/>
      <w:numFmt w:val="decimal"/>
      <w:suff w:val="nothing"/>
      <w:lvlText w:val="%9. "/>
      <w:lvlJc w:val="left"/>
      <w:pPr>
        <w:ind w:left="-2693" w:hanging="567"/>
      </w:pPr>
      <w:rPr>
        <w:rFonts w:hint="eastAsia"/>
      </w:rPr>
    </w:lvl>
  </w:abstractNum>
  <w:abstractNum w:abstractNumId="3">
    <w:nsid w:val="669A4C5F"/>
    <w:multiLevelType w:val="singleLevel"/>
    <w:tmpl w:val="669A4C5F"/>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724D"/>
    <w:rsid w:val="000103F6"/>
    <w:rsid w:val="00015FD7"/>
    <w:rsid w:val="00017425"/>
    <w:rsid w:val="000215FD"/>
    <w:rsid w:val="00025E1A"/>
    <w:rsid w:val="00035C58"/>
    <w:rsid w:val="00044534"/>
    <w:rsid w:val="00045368"/>
    <w:rsid w:val="0005304B"/>
    <w:rsid w:val="00053EAD"/>
    <w:rsid w:val="0005634B"/>
    <w:rsid w:val="00065703"/>
    <w:rsid w:val="00066C9A"/>
    <w:rsid w:val="00071965"/>
    <w:rsid w:val="000760DA"/>
    <w:rsid w:val="00083FCC"/>
    <w:rsid w:val="000849E1"/>
    <w:rsid w:val="00086675"/>
    <w:rsid w:val="00091146"/>
    <w:rsid w:val="000930F8"/>
    <w:rsid w:val="000962ED"/>
    <w:rsid w:val="000A261F"/>
    <w:rsid w:val="000A612E"/>
    <w:rsid w:val="000C0DDB"/>
    <w:rsid w:val="000C277D"/>
    <w:rsid w:val="000D04E1"/>
    <w:rsid w:val="000E5EFC"/>
    <w:rsid w:val="000E7309"/>
    <w:rsid w:val="000F2B10"/>
    <w:rsid w:val="000F58AF"/>
    <w:rsid w:val="000F73D4"/>
    <w:rsid w:val="000F7747"/>
    <w:rsid w:val="00102E6B"/>
    <w:rsid w:val="00104628"/>
    <w:rsid w:val="00107BD6"/>
    <w:rsid w:val="00110233"/>
    <w:rsid w:val="00110F1D"/>
    <w:rsid w:val="001124FB"/>
    <w:rsid w:val="001130E9"/>
    <w:rsid w:val="00114DEE"/>
    <w:rsid w:val="001171EA"/>
    <w:rsid w:val="00121E22"/>
    <w:rsid w:val="00132A28"/>
    <w:rsid w:val="00147239"/>
    <w:rsid w:val="00147A7E"/>
    <w:rsid w:val="00152D39"/>
    <w:rsid w:val="001555BF"/>
    <w:rsid w:val="00162F82"/>
    <w:rsid w:val="00163A98"/>
    <w:rsid w:val="00164620"/>
    <w:rsid w:val="00172053"/>
    <w:rsid w:val="00173F46"/>
    <w:rsid w:val="001807D4"/>
    <w:rsid w:val="00181230"/>
    <w:rsid w:val="00184ABA"/>
    <w:rsid w:val="0018637D"/>
    <w:rsid w:val="00192F0D"/>
    <w:rsid w:val="0019781C"/>
    <w:rsid w:val="00197D2B"/>
    <w:rsid w:val="001A05A0"/>
    <w:rsid w:val="001A7797"/>
    <w:rsid w:val="001B1EA4"/>
    <w:rsid w:val="001B24EE"/>
    <w:rsid w:val="001B486E"/>
    <w:rsid w:val="001C60B0"/>
    <w:rsid w:val="001D2018"/>
    <w:rsid w:val="001E4440"/>
    <w:rsid w:val="00204B59"/>
    <w:rsid w:val="00205309"/>
    <w:rsid w:val="002068C4"/>
    <w:rsid w:val="00216BF3"/>
    <w:rsid w:val="002173D5"/>
    <w:rsid w:val="00221726"/>
    <w:rsid w:val="00222A88"/>
    <w:rsid w:val="0022387E"/>
    <w:rsid w:val="00233597"/>
    <w:rsid w:val="0023442A"/>
    <w:rsid w:val="00237C0D"/>
    <w:rsid w:val="0026269B"/>
    <w:rsid w:val="00270EA4"/>
    <w:rsid w:val="00270F7F"/>
    <w:rsid w:val="00272D30"/>
    <w:rsid w:val="00274941"/>
    <w:rsid w:val="00277770"/>
    <w:rsid w:val="00281D6F"/>
    <w:rsid w:val="00295624"/>
    <w:rsid w:val="002A429E"/>
    <w:rsid w:val="002A44DB"/>
    <w:rsid w:val="002B01E4"/>
    <w:rsid w:val="002B4447"/>
    <w:rsid w:val="002C3232"/>
    <w:rsid w:val="002C46C0"/>
    <w:rsid w:val="002D58DE"/>
    <w:rsid w:val="002E3092"/>
    <w:rsid w:val="002F0BBF"/>
    <w:rsid w:val="00304B83"/>
    <w:rsid w:val="00306A50"/>
    <w:rsid w:val="00306E74"/>
    <w:rsid w:val="0033302E"/>
    <w:rsid w:val="0034355A"/>
    <w:rsid w:val="003453B8"/>
    <w:rsid w:val="00345EF3"/>
    <w:rsid w:val="0035699D"/>
    <w:rsid w:val="00356FCE"/>
    <w:rsid w:val="003727B2"/>
    <w:rsid w:val="00373230"/>
    <w:rsid w:val="00383CBD"/>
    <w:rsid w:val="00390FDC"/>
    <w:rsid w:val="003957CB"/>
    <w:rsid w:val="0039624B"/>
    <w:rsid w:val="00397DBF"/>
    <w:rsid w:val="003A14CB"/>
    <w:rsid w:val="003A6EB1"/>
    <w:rsid w:val="003B427B"/>
    <w:rsid w:val="003D3060"/>
    <w:rsid w:val="003D428A"/>
    <w:rsid w:val="003D61E8"/>
    <w:rsid w:val="003F45CF"/>
    <w:rsid w:val="0041326E"/>
    <w:rsid w:val="004153CB"/>
    <w:rsid w:val="00421805"/>
    <w:rsid w:val="00421A3F"/>
    <w:rsid w:val="0043483F"/>
    <w:rsid w:val="004408E8"/>
    <w:rsid w:val="00444700"/>
    <w:rsid w:val="0044724D"/>
    <w:rsid w:val="004531F9"/>
    <w:rsid w:val="004542E0"/>
    <w:rsid w:val="00461869"/>
    <w:rsid w:val="00462867"/>
    <w:rsid w:val="00466115"/>
    <w:rsid w:val="00477F73"/>
    <w:rsid w:val="00481171"/>
    <w:rsid w:val="0048564F"/>
    <w:rsid w:val="004876E7"/>
    <w:rsid w:val="00493152"/>
    <w:rsid w:val="00493F68"/>
    <w:rsid w:val="004A3A8E"/>
    <w:rsid w:val="004A5E40"/>
    <w:rsid w:val="004D40CF"/>
    <w:rsid w:val="004D5BB2"/>
    <w:rsid w:val="004D6E43"/>
    <w:rsid w:val="004F0717"/>
    <w:rsid w:val="00502945"/>
    <w:rsid w:val="0050520B"/>
    <w:rsid w:val="005359B8"/>
    <w:rsid w:val="00546D71"/>
    <w:rsid w:val="00550A75"/>
    <w:rsid w:val="0055553A"/>
    <w:rsid w:val="005602DA"/>
    <w:rsid w:val="00560DED"/>
    <w:rsid w:val="00584B70"/>
    <w:rsid w:val="005946B1"/>
    <w:rsid w:val="005954FF"/>
    <w:rsid w:val="00595854"/>
    <w:rsid w:val="005B41A4"/>
    <w:rsid w:val="005B429E"/>
    <w:rsid w:val="005B4DBE"/>
    <w:rsid w:val="005B5F1D"/>
    <w:rsid w:val="005C4184"/>
    <w:rsid w:val="005C7243"/>
    <w:rsid w:val="005E16C6"/>
    <w:rsid w:val="005E54C2"/>
    <w:rsid w:val="005E5FE8"/>
    <w:rsid w:val="005F2B0E"/>
    <w:rsid w:val="00604CEA"/>
    <w:rsid w:val="00607F4F"/>
    <w:rsid w:val="00610C44"/>
    <w:rsid w:val="00642A61"/>
    <w:rsid w:val="00653671"/>
    <w:rsid w:val="00656492"/>
    <w:rsid w:val="00670309"/>
    <w:rsid w:val="00671F28"/>
    <w:rsid w:val="00672BF2"/>
    <w:rsid w:val="00676082"/>
    <w:rsid w:val="00681991"/>
    <w:rsid w:val="00684679"/>
    <w:rsid w:val="00690D70"/>
    <w:rsid w:val="00697F95"/>
    <w:rsid w:val="006A30A0"/>
    <w:rsid w:val="006A37FC"/>
    <w:rsid w:val="006B25EE"/>
    <w:rsid w:val="006B5747"/>
    <w:rsid w:val="006B6D34"/>
    <w:rsid w:val="006C0552"/>
    <w:rsid w:val="006D2AA1"/>
    <w:rsid w:val="006D3289"/>
    <w:rsid w:val="006D38B2"/>
    <w:rsid w:val="006E058D"/>
    <w:rsid w:val="006E3C10"/>
    <w:rsid w:val="006E7F29"/>
    <w:rsid w:val="006F027C"/>
    <w:rsid w:val="006F2868"/>
    <w:rsid w:val="0070312D"/>
    <w:rsid w:val="00741C00"/>
    <w:rsid w:val="00744A5A"/>
    <w:rsid w:val="00744BAE"/>
    <w:rsid w:val="00756CD2"/>
    <w:rsid w:val="00760396"/>
    <w:rsid w:val="00762408"/>
    <w:rsid w:val="00763364"/>
    <w:rsid w:val="007665DB"/>
    <w:rsid w:val="0079506D"/>
    <w:rsid w:val="007B5552"/>
    <w:rsid w:val="007C1028"/>
    <w:rsid w:val="007C5DBA"/>
    <w:rsid w:val="007E6C44"/>
    <w:rsid w:val="007E6D04"/>
    <w:rsid w:val="007E7712"/>
    <w:rsid w:val="007F6F59"/>
    <w:rsid w:val="00800141"/>
    <w:rsid w:val="00803146"/>
    <w:rsid w:val="00813462"/>
    <w:rsid w:val="0082340E"/>
    <w:rsid w:val="00825915"/>
    <w:rsid w:val="008362C0"/>
    <w:rsid w:val="00836DC7"/>
    <w:rsid w:val="0084030D"/>
    <w:rsid w:val="00844EAF"/>
    <w:rsid w:val="008461D5"/>
    <w:rsid w:val="008554F8"/>
    <w:rsid w:val="0086271D"/>
    <w:rsid w:val="00864A6F"/>
    <w:rsid w:val="008656D4"/>
    <w:rsid w:val="008719CF"/>
    <w:rsid w:val="00876338"/>
    <w:rsid w:val="00876C42"/>
    <w:rsid w:val="008822AB"/>
    <w:rsid w:val="00887AFB"/>
    <w:rsid w:val="008909AF"/>
    <w:rsid w:val="008A2A9A"/>
    <w:rsid w:val="008A4DAC"/>
    <w:rsid w:val="008A618D"/>
    <w:rsid w:val="008B68F7"/>
    <w:rsid w:val="008E4772"/>
    <w:rsid w:val="008F0B0F"/>
    <w:rsid w:val="008F6E48"/>
    <w:rsid w:val="0090373E"/>
    <w:rsid w:val="00910FBE"/>
    <w:rsid w:val="009204FB"/>
    <w:rsid w:val="0093120B"/>
    <w:rsid w:val="00935273"/>
    <w:rsid w:val="00944FA3"/>
    <w:rsid w:val="009463CC"/>
    <w:rsid w:val="00951537"/>
    <w:rsid w:val="009535A2"/>
    <w:rsid w:val="0096155B"/>
    <w:rsid w:val="009747AF"/>
    <w:rsid w:val="00996D6E"/>
    <w:rsid w:val="009A3904"/>
    <w:rsid w:val="009A6EC2"/>
    <w:rsid w:val="009B506F"/>
    <w:rsid w:val="009B5C0F"/>
    <w:rsid w:val="009B6902"/>
    <w:rsid w:val="009B6DDE"/>
    <w:rsid w:val="009C7496"/>
    <w:rsid w:val="009E1232"/>
    <w:rsid w:val="009E3D55"/>
    <w:rsid w:val="009E5B2A"/>
    <w:rsid w:val="009E7A87"/>
    <w:rsid w:val="009F08D9"/>
    <w:rsid w:val="009F536F"/>
    <w:rsid w:val="00A00F28"/>
    <w:rsid w:val="00A05231"/>
    <w:rsid w:val="00A058BE"/>
    <w:rsid w:val="00A134E9"/>
    <w:rsid w:val="00A274CE"/>
    <w:rsid w:val="00A36DCE"/>
    <w:rsid w:val="00A36DF5"/>
    <w:rsid w:val="00A42809"/>
    <w:rsid w:val="00A42ACC"/>
    <w:rsid w:val="00A44B4D"/>
    <w:rsid w:val="00A47DB2"/>
    <w:rsid w:val="00A558DE"/>
    <w:rsid w:val="00A6197A"/>
    <w:rsid w:val="00A72299"/>
    <w:rsid w:val="00A7587B"/>
    <w:rsid w:val="00A7645B"/>
    <w:rsid w:val="00A76C7F"/>
    <w:rsid w:val="00AA1D28"/>
    <w:rsid w:val="00AA2ECD"/>
    <w:rsid w:val="00AA3DE6"/>
    <w:rsid w:val="00AA53AE"/>
    <w:rsid w:val="00AA6DFA"/>
    <w:rsid w:val="00AA7BD8"/>
    <w:rsid w:val="00AB2DA1"/>
    <w:rsid w:val="00AB308A"/>
    <w:rsid w:val="00AC022B"/>
    <w:rsid w:val="00AC41A9"/>
    <w:rsid w:val="00AD214E"/>
    <w:rsid w:val="00AD253A"/>
    <w:rsid w:val="00AD596D"/>
    <w:rsid w:val="00AD6D5C"/>
    <w:rsid w:val="00AF6C81"/>
    <w:rsid w:val="00B0526F"/>
    <w:rsid w:val="00B2173E"/>
    <w:rsid w:val="00B242E6"/>
    <w:rsid w:val="00B274E4"/>
    <w:rsid w:val="00B40888"/>
    <w:rsid w:val="00B4122F"/>
    <w:rsid w:val="00B46BED"/>
    <w:rsid w:val="00B574A4"/>
    <w:rsid w:val="00B66A60"/>
    <w:rsid w:val="00B76B39"/>
    <w:rsid w:val="00B77990"/>
    <w:rsid w:val="00B82711"/>
    <w:rsid w:val="00B87DFC"/>
    <w:rsid w:val="00B9004E"/>
    <w:rsid w:val="00B906E1"/>
    <w:rsid w:val="00B932F3"/>
    <w:rsid w:val="00B934BC"/>
    <w:rsid w:val="00BA0039"/>
    <w:rsid w:val="00BB20D8"/>
    <w:rsid w:val="00BB212B"/>
    <w:rsid w:val="00BB6D6E"/>
    <w:rsid w:val="00BC37D0"/>
    <w:rsid w:val="00BC45D7"/>
    <w:rsid w:val="00BC6E4B"/>
    <w:rsid w:val="00BD7587"/>
    <w:rsid w:val="00BF5B0B"/>
    <w:rsid w:val="00C01A78"/>
    <w:rsid w:val="00C03D9D"/>
    <w:rsid w:val="00C051ED"/>
    <w:rsid w:val="00C06151"/>
    <w:rsid w:val="00C11F1D"/>
    <w:rsid w:val="00C14179"/>
    <w:rsid w:val="00C149BF"/>
    <w:rsid w:val="00C20481"/>
    <w:rsid w:val="00C233CE"/>
    <w:rsid w:val="00C266B9"/>
    <w:rsid w:val="00C3461E"/>
    <w:rsid w:val="00C47486"/>
    <w:rsid w:val="00C515BC"/>
    <w:rsid w:val="00C5307E"/>
    <w:rsid w:val="00C54DD6"/>
    <w:rsid w:val="00C672D2"/>
    <w:rsid w:val="00C705E2"/>
    <w:rsid w:val="00C71C8D"/>
    <w:rsid w:val="00C7785A"/>
    <w:rsid w:val="00C84E4F"/>
    <w:rsid w:val="00C95D24"/>
    <w:rsid w:val="00CA0E49"/>
    <w:rsid w:val="00CA53E1"/>
    <w:rsid w:val="00CA6730"/>
    <w:rsid w:val="00CA7294"/>
    <w:rsid w:val="00CB3D5E"/>
    <w:rsid w:val="00CB4DCD"/>
    <w:rsid w:val="00CB636D"/>
    <w:rsid w:val="00CC1849"/>
    <w:rsid w:val="00CC2F11"/>
    <w:rsid w:val="00CC3A35"/>
    <w:rsid w:val="00CD5214"/>
    <w:rsid w:val="00CE7600"/>
    <w:rsid w:val="00D1642C"/>
    <w:rsid w:val="00D2613E"/>
    <w:rsid w:val="00D26C53"/>
    <w:rsid w:val="00D26E14"/>
    <w:rsid w:val="00D3096C"/>
    <w:rsid w:val="00D32DBF"/>
    <w:rsid w:val="00D348EA"/>
    <w:rsid w:val="00D54A94"/>
    <w:rsid w:val="00D54FCF"/>
    <w:rsid w:val="00D612A9"/>
    <w:rsid w:val="00D73E02"/>
    <w:rsid w:val="00D74E79"/>
    <w:rsid w:val="00D8113E"/>
    <w:rsid w:val="00D84754"/>
    <w:rsid w:val="00D91CAD"/>
    <w:rsid w:val="00DA134B"/>
    <w:rsid w:val="00DA79D1"/>
    <w:rsid w:val="00DB521B"/>
    <w:rsid w:val="00DC110D"/>
    <w:rsid w:val="00DE254C"/>
    <w:rsid w:val="00DF454E"/>
    <w:rsid w:val="00E04113"/>
    <w:rsid w:val="00E041C3"/>
    <w:rsid w:val="00E048E8"/>
    <w:rsid w:val="00E160F7"/>
    <w:rsid w:val="00E20797"/>
    <w:rsid w:val="00E228E6"/>
    <w:rsid w:val="00E34DC0"/>
    <w:rsid w:val="00E427DD"/>
    <w:rsid w:val="00E4320E"/>
    <w:rsid w:val="00E4321C"/>
    <w:rsid w:val="00E449A7"/>
    <w:rsid w:val="00E51F53"/>
    <w:rsid w:val="00E57492"/>
    <w:rsid w:val="00E61B30"/>
    <w:rsid w:val="00E67B38"/>
    <w:rsid w:val="00E81226"/>
    <w:rsid w:val="00E82DCF"/>
    <w:rsid w:val="00E917E4"/>
    <w:rsid w:val="00E95F7F"/>
    <w:rsid w:val="00EA177C"/>
    <w:rsid w:val="00EB723A"/>
    <w:rsid w:val="00EC0370"/>
    <w:rsid w:val="00EC1253"/>
    <w:rsid w:val="00EC42B2"/>
    <w:rsid w:val="00EC569D"/>
    <w:rsid w:val="00ED1F81"/>
    <w:rsid w:val="00ED379F"/>
    <w:rsid w:val="00ED5703"/>
    <w:rsid w:val="00ED7C2E"/>
    <w:rsid w:val="00EE244A"/>
    <w:rsid w:val="00EE28C6"/>
    <w:rsid w:val="00EE684D"/>
    <w:rsid w:val="00EF1D4A"/>
    <w:rsid w:val="00EF1FA9"/>
    <w:rsid w:val="00F01138"/>
    <w:rsid w:val="00F117A5"/>
    <w:rsid w:val="00F14EA6"/>
    <w:rsid w:val="00F1584C"/>
    <w:rsid w:val="00F24ACB"/>
    <w:rsid w:val="00F2542E"/>
    <w:rsid w:val="00F270BD"/>
    <w:rsid w:val="00F27FC0"/>
    <w:rsid w:val="00F35308"/>
    <w:rsid w:val="00F36FD9"/>
    <w:rsid w:val="00F65ACD"/>
    <w:rsid w:val="00F76F9A"/>
    <w:rsid w:val="00F80EB6"/>
    <w:rsid w:val="00F8405D"/>
    <w:rsid w:val="00F92352"/>
    <w:rsid w:val="00F95D73"/>
    <w:rsid w:val="00FC36AB"/>
    <w:rsid w:val="00FC4671"/>
    <w:rsid w:val="00FC4817"/>
    <w:rsid w:val="00FE14F7"/>
    <w:rsid w:val="00FE2104"/>
    <w:rsid w:val="00FF2845"/>
    <w:rsid w:val="00FF42FB"/>
    <w:rsid w:val="00FF4B3C"/>
    <w:rsid w:val="01974201"/>
    <w:rsid w:val="01A967AF"/>
    <w:rsid w:val="0212196F"/>
    <w:rsid w:val="02E41905"/>
    <w:rsid w:val="03126EC1"/>
    <w:rsid w:val="031B1EEA"/>
    <w:rsid w:val="0341612E"/>
    <w:rsid w:val="03AE04B5"/>
    <w:rsid w:val="0435444D"/>
    <w:rsid w:val="056C2322"/>
    <w:rsid w:val="06093B1F"/>
    <w:rsid w:val="062279E7"/>
    <w:rsid w:val="067A788F"/>
    <w:rsid w:val="06927A39"/>
    <w:rsid w:val="075D78A5"/>
    <w:rsid w:val="08332F80"/>
    <w:rsid w:val="086D1496"/>
    <w:rsid w:val="088D0BB9"/>
    <w:rsid w:val="098E77E1"/>
    <w:rsid w:val="09D033F7"/>
    <w:rsid w:val="0A2E3B43"/>
    <w:rsid w:val="0AE33744"/>
    <w:rsid w:val="0AE51120"/>
    <w:rsid w:val="0B1E61A6"/>
    <w:rsid w:val="0BFE03E3"/>
    <w:rsid w:val="0DC972B1"/>
    <w:rsid w:val="0F3B088E"/>
    <w:rsid w:val="0FCF35FF"/>
    <w:rsid w:val="0FD72700"/>
    <w:rsid w:val="10882F5C"/>
    <w:rsid w:val="11385DD4"/>
    <w:rsid w:val="11840E93"/>
    <w:rsid w:val="123B58F9"/>
    <w:rsid w:val="12D31BCA"/>
    <w:rsid w:val="13450001"/>
    <w:rsid w:val="143F62F6"/>
    <w:rsid w:val="14467298"/>
    <w:rsid w:val="14C03A62"/>
    <w:rsid w:val="14F81B20"/>
    <w:rsid w:val="158F5A3D"/>
    <w:rsid w:val="15A710B1"/>
    <w:rsid w:val="15A723D4"/>
    <w:rsid w:val="15CF1D60"/>
    <w:rsid w:val="15F95F09"/>
    <w:rsid w:val="16257354"/>
    <w:rsid w:val="163D759F"/>
    <w:rsid w:val="16512A83"/>
    <w:rsid w:val="168B4C62"/>
    <w:rsid w:val="17016FDB"/>
    <w:rsid w:val="185E217B"/>
    <w:rsid w:val="186D239A"/>
    <w:rsid w:val="19147BB2"/>
    <w:rsid w:val="1B0143FE"/>
    <w:rsid w:val="1C250C39"/>
    <w:rsid w:val="1C9705AD"/>
    <w:rsid w:val="1CA30BA5"/>
    <w:rsid w:val="1CEA66CF"/>
    <w:rsid w:val="1DDE004C"/>
    <w:rsid w:val="1E7113CA"/>
    <w:rsid w:val="21081E35"/>
    <w:rsid w:val="211902FC"/>
    <w:rsid w:val="217243A5"/>
    <w:rsid w:val="219D609E"/>
    <w:rsid w:val="21A80135"/>
    <w:rsid w:val="21D773E2"/>
    <w:rsid w:val="21EC1E8C"/>
    <w:rsid w:val="222022C3"/>
    <w:rsid w:val="23265177"/>
    <w:rsid w:val="23510632"/>
    <w:rsid w:val="237A1F0F"/>
    <w:rsid w:val="23934562"/>
    <w:rsid w:val="24076DC4"/>
    <w:rsid w:val="248177A5"/>
    <w:rsid w:val="254D027F"/>
    <w:rsid w:val="25A30FE4"/>
    <w:rsid w:val="25B43E05"/>
    <w:rsid w:val="26223828"/>
    <w:rsid w:val="26724D25"/>
    <w:rsid w:val="27397FE9"/>
    <w:rsid w:val="28420E93"/>
    <w:rsid w:val="29094B33"/>
    <w:rsid w:val="29282071"/>
    <w:rsid w:val="29C14F38"/>
    <w:rsid w:val="29EC6603"/>
    <w:rsid w:val="2B0A5BA2"/>
    <w:rsid w:val="2B22532A"/>
    <w:rsid w:val="2B6B4505"/>
    <w:rsid w:val="2CB60194"/>
    <w:rsid w:val="2D4A7129"/>
    <w:rsid w:val="2D4F78BF"/>
    <w:rsid w:val="2DA52BA3"/>
    <w:rsid w:val="2EAB6DDD"/>
    <w:rsid w:val="2EBA50BE"/>
    <w:rsid w:val="2F0A3E88"/>
    <w:rsid w:val="2F667D97"/>
    <w:rsid w:val="30C86821"/>
    <w:rsid w:val="30F57EBE"/>
    <w:rsid w:val="30FB2C7F"/>
    <w:rsid w:val="31125F8E"/>
    <w:rsid w:val="31216EAC"/>
    <w:rsid w:val="31B171C6"/>
    <w:rsid w:val="31DB41FB"/>
    <w:rsid w:val="31F9652F"/>
    <w:rsid w:val="32B5368D"/>
    <w:rsid w:val="32D86604"/>
    <w:rsid w:val="33972266"/>
    <w:rsid w:val="352D6FAB"/>
    <w:rsid w:val="35AE5BEC"/>
    <w:rsid w:val="35C854EA"/>
    <w:rsid w:val="35CC3847"/>
    <w:rsid w:val="369304CA"/>
    <w:rsid w:val="37201F1A"/>
    <w:rsid w:val="377130B5"/>
    <w:rsid w:val="395057FB"/>
    <w:rsid w:val="39562773"/>
    <w:rsid w:val="39D43D1B"/>
    <w:rsid w:val="3B5B6668"/>
    <w:rsid w:val="3C4C613C"/>
    <w:rsid w:val="3C4F456A"/>
    <w:rsid w:val="3D7B3846"/>
    <w:rsid w:val="3DC84E5C"/>
    <w:rsid w:val="3DD31485"/>
    <w:rsid w:val="3E12598B"/>
    <w:rsid w:val="3E60689D"/>
    <w:rsid w:val="3E95110C"/>
    <w:rsid w:val="3EB63C67"/>
    <w:rsid w:val="3F181170"/>
    <w:rsid w:val="3FDA42AE"/>
    <w:rsid w:val="40497897"/>
    <w:rsid w:val="40831C30"/>
    <w:rsid w:val="40EE7908"/>
    <w:rsid w:val="414430F9"/>
    <w:rsid w:val="425C067A"/>
    <w:rsid w:val="42B21C8A"/>
    <w:rsid w:val="44713BC2"/>
    <w:rsid w:val="448F76BC"/>
    <w:rsid w:val="44C700BA"/>
    <w:rsid w:val="45094DD1"/>
    <w:rsid w:val="45672769"/>
    <w:rsid w:val="45AE0A98"/>
    <w:rsid w:val="4603746A"/>
    <w:rsid w:val="461817D8"/>
    <w:rsid w:val="46283898"/>
    <w:rsid w:val="466B5CBC"/>
    <w:rsid w:val="467D4684"/>
    <w:rsid w:val="469E43E1"/>
    <w:rsid w:val="47B946A3"/>
    <w:rsid w:val="47BC1EE5"/>
    <w:rsid w:val="47DB1C7F"/>
    <w:rsid w:val="47FF7535"/>
    <w:rsid w:val="48011A4B"/>
    <w:rsid w:val="48116E77"/>
    <w:rsid w:val="482B3A3C"/>
    <w:rsid w:val="492757B5"/>
    <w:rsid w:val="49A71095"/>
    <w:rsid w:val="49D8015F"/>
    <w:rsid w:val="49F06A78"/>
    <w:rsid w:val="4B4B5E43"/>
    <w:rsid w:val="4B8F20A4"/>
    <w:rsid w:val="4B932B09"/>
    <w:rsid w:val="4C133FE8"/>
    <w:rsid w:val="4C7F0211"/>
    <w:rsid w:val="4D304D3B"/>
    <w:rsid w:val="4EC34BB8"/>
    <w:rsid w:val="4EEC0344"/>
    <w:rsid w:val="4F8F7BEA"/>
    <w:rsid w:val="50461753"/>
    <w:rsid w:val="510136A3"/>
    <w:rsid w:val="5133595A"/>
    <w:rsid w:val="51A16794"/>
    <w:rsid w:val="52463E0E"/>
    <w:rsid w:val="524B630B"/>
    <w:rsid w:val="52643919"/>
    <w:rsid w:val="53BA19A8"/>
    <w:rsid w:val="5422575E"/>
    <w:rsid w:val="544311EF"/>
    <w:rsid w:val="54984679"/>
    <w:rsid w:val="55952D4C"/>
    <w:rsid w:val="55D75A96"/>
    <w:rsid w:val="55ED03AE"/>
    <w:rsid w:val="563D10A9"/>
    <w:rsid w:val="565331CD"/>
    <w:rsid w:val="56C72B74"/>
    <w:rsid w:val="56C92D28"/>
    <w:rsid w:val="578C7DAB"/>
    <w:rsid w:val="57CA4A2F"/>
    <w:rsid w:val="57FF21AB"/>
    <w:rsid w:val="583016D6"/>
    <w:rsid w:val="59196085"/>
    <w:rsid w:val="595B0AAB"/>
    <w:rsid w:val="59A21103"/>
    <w:rsid w:val="59A42D9C"/>
    <w:rsid w:val="59D21364"/>
    <w:rsid w:val="5AAC5C94"/>
    <w:rsid w:val="5B4000FF"/>
    <w:rsid w:val="5BF65E56"/>
    <w:rsid w:val="5C281574"/>
    <w:rsid w:val="5C3227E0"/>
    <w:rsid w:val="5C5B501B"/>
    <w:rsid w:val="5DF328DE"/>
    <w:rsid w:val="5E454DC3"/>
    <w:rsid w:val="5E560E07"/>
    <w:rsid w:val="5F604635"/>
    <w:rsid w:val="5F9259CB"/>
    <w:rsid w:val="5FA73C0A"/>
    <w:rsid w:val="601109F2"/>
    <w:rsid w:val="601F657B"/>
    <w:rsid w:val="60F906FE"/>
    <w:rsid w:val="610966D1"/>
    <w:rsid w:val="614B65E7"/>
    <w:rsid w:val="620C2367"/>
    <w:rsid w:val="627F39D6"/>
    <w:rsid w:val="628B522D"/>
    <w:rsid w:val="62A653B5"/>
    <w:rsid w:val="62C87E48"/>
    <w:rsid w:val="62CB1639"/>
    <w:rsid w:val="62F7528E"/>
    <w:rsid w:val="6374596F"/>
    <w:rsid w:val="63833AFA"/>
    <w:rsid w:val="639D7DDE"/>
    <w:rsid w:val="64882F35"/>
    <w:rsid w:val="65683A20"/>
    <w:rsid w:val="65722998"/>
    <w:rsid w:val="67AC7457"/>
    <w:rsid w:val="684A6782"/>
    <w:rsid w:val="685D0847"/>
    <w:rsid w:val="68720B84"/>
    <w:rsid w:val="69013A60"/>
    <w:rsid w:val="69530A50"/>
    <w:rsid w:val="69A33F4A"/>
    <w:rsid w:val="69AC276A"/>
    <w:rsid w:val="6A0E697E"/>
    <w:rsid w:val="6AB94276"/>
    <w:rsid w:val="6B0629C4"/>
    <w:rsid w:val="6B481832"/>
    <w:rsid w:val="6B782F67"/>
    <w:rsid w:val="6BA133D8"/>
    <w:rsid w:val="6C3823F5"/>
    <w:rsid w:val="6C6D6AE5"/>
    <w:rsid w:val="6CF27A15"/>
    <w:rsid w:val="6D547FC5"/>
    <w:rsid w:val="6D5E2126"/>
    <w:rsid w:val="6D9A0C63"/>
    <w:rsid w:val="6DF207F6"/>
    <w:rsid w:val="6EC05C95"/>
    <w:rsid w:val="6ED83136"/>
    <w:rsid w:val="6F5E3DB4"/>
    <w:rsid w:val="701E069C"/>
    <w:rsid w:val="72524DD3"/>
    <w:rsid w:val="729C193B"/>
    <w:rsid w:val="72B72DE9"/>
    <w:rsid w:val="73135945"/>
    <w:rsid w:val="735C0031"/>
    <w:rsid w:val="741F48ED"/>
    <w:rsid w:val="744F754B"/>
    <w:rsid w:val="74665964"/>
    <w:rsid w:val="74AF5E76"/>
    <w:rsid w:val="75452FD4"/>
    <w:rsid w:val="762B101D"/>
    <w:rsid w:val="77064055"/>
    <w:rsid w:val="778108E9"/>
    <w:rsid w:val="77DF5FAA"/>
    <w:rsid w:val="78236989"/>
    <w:rsid w:val="78862C04"/>
    <w:rsid w:val="78FB363E"/>
    <w:rsid w:val="793F665E"/>
    <w:rsid w:val="79555989"/>
    <w:rsid w:val="798A7A52"/>
    <w:rsid w:val="7B3777DA"/>
    <w:rsid w:val="7B587545"/>
    <w:rsid w:val="7B6A560A"/>
    <w:rsid w:val="7BA54097"/>
    <w:rsid w:val="7C9977D0"/>
    <w:rsid w:val="7CC737C3"/>
    <w:rsid w:val="7D616519"/>
    <w:rsid w:val="7D672A8A"/>
    <w:rsid w:val="7DC33618"/>
    <w:rsid w:val="7E1A511F"/>
    <w:rsid w:val="7E3F6E3C"/>
    <w:rsid w:val="7E5A68CF"/>
    <w:rsid w:val="7E74636F"/>
    <w:rsid w:val="7E88545C"/>
    <w:rsid w:val="7EA41E41"/>
    <w:rsid w:val="7F4159F6"/>
    <w:rsid w:val="7F704AE6"/>
    <w:rsid w:val="7FDD14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2" w:semiHidden="0" w:name="heading 3"/>
    <w:lsdException w:qFormat="1" w:unhideWhenUsed="0" w:uiPriority="3"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4"/>
    <w:next w:val="4"/>
    <w:link w:val="31"/>
    <w:qFormat/>
    <w:uiPriority w:val="0"/>
    <w:pPr>
      <w:numPr>
        <w:ilvl w:val="0"/>
        <w:numId w:val="1"/>
      </w:numPr>
      <w:spacing w:before="120" w:after="60"/>
      <w:ind w:left="0" w:firstLine="200"/>
      <w:jc w:val="left"/>
      <w:outlineLvl w:val="0"/>
    </w:pPr>
    <w:rPr>
      <w:rFonts w:eastAsia="黑体"/>
      <w:bCs/>
      <w:kern w:val="44"/>
      <w:sz w:val="32"/>
      <w:szCs w:val="44"/>
    </w:rPr>
  </w:style>
  <w:style w:type="paragraph" w:styleId="5">
    <w:name w:val="heading 2"/>
    <w:basedOn w:val="4"/>
    <w:next w:val="4"/>
    <w:link w:val="32"/>
    <w:qFormat/>
    <w:uiPriority w:val="1"/>
    <w:pPr>
      <w:keepNext/>
      <w:keepLines/>
      <w:numPr>
        <w:ilvl w:val="1"/>
        <w:numId w:val="1"/>
      </w:numPr>
      <w:spacing w:before="120" w:after="60"/>
      <w:ind w:left="0" w:firstLine="200"/>
      <w:outlineLvl w:val="1"/>
    </w:pPr>
    <w:rPr>
      <w:rFonts w:cstheme="majorBidi"/>
      <w:b/>
      <w:bCs/>
      <w:szCs w:val="32"/>
    </w:rPr>
  </w:style>
  <w:style w:type="paragraph" w:styleId="6">
    <w:name w:val="heading 3"/>
    <w:basedOn w:val="4"/>
    <w:next w:val="4"/>
    <w:link w:val="33"/>
    <w:qFormat/>
    <w:uiPriority w:val="2"/>
    <w:pPr>
      <w:keepNext/>
      <w:keepLines/>
      <w:numPr>
        <w:ilvl w:val="2"/>
        <w:numId w:val="1"/>
      </w:numPr>
      <w:spacing w:before="120" w:after="60"/>
      <w:ind w:left="0" w:firstLine="200"/>
      <w:outlineLvl w:val="2"/>
    </w:pPr>
    <w:rPr>
      <w:b/>
      <w:bCs/>
      <w:szCs w:val="32"/>
    </w:rPr>
  </w:style>
  <w:style w:type="paragraph" w:styleId="7">
    <w:name w:val="heading 4"/>
    <w:basedOn w:val="4"/>
    <w:next w:val="1"/>
    <w:link w:val="34"/>
    <w:qFormat/>
    <w:uiPriority w:val="3"/>
    <w:pPr>
      <w:keepNext/>
      <w:keepLines/>
      <w:numPr>
        <w:ilvl w:val="3"/>
        <w:numId w:val="1"/>
      </w:numPr>
      <w:spacing w:before="120" w:after="60"/>
      <w:ind w:left="0" w:firstLine="200"/>
      <w:outlineLvl w:val="3"/>
    </w:pPr>
    <w:rPr>
      <w:rFonts w:cstheme="majorBidi"/>
      <w:b/>
      <w:bCs/>
    </w:rPr>
  </w:style>
  <w:style w:type="paragraph" w:styleId="8">
    <w:name w:val="heading 5"/>
    <w:basedOn w:val="4"/>
    <w:next w:val="4"/>
    <w:link w:val="35"/>
    <w:unhideWhenUsed/>
    <w:qFormat/>
    <w:uiPriority w:val="9"/>
    <w:pPr>
      <w:keepNext/>
      <w:keepLines/>
      <w:numPr>
        <w:ilvl w:val="4"/>
        <w:numId w:val="1"/>
      </w:numPr>
      <w:spacing w:before="120" w:after="60"/>
      <w:ind w:firstLine="0" w:firstLineChars="0"/>
      <w:outlineLvl w:val="4"/>
    </w:pPr>
    <w:rPr>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rPr>
  </w:style>
  <w:style w:type="paragraph" w:customStyle="1" w:styleId="4">
    <w:name w:val="闻政正文"/>
    <w:basedOn w:val="1"/>
    <w:link w:val="30"/>
    <w:qFormat/>
    <w:uiPriority w:val="0"/>
    <w:pPr>
      <w:spacing w:line="500" w:lineRule="exact"/>
      <w:ind w:firstLine="200" w:firstLineChars="200"/>
    </w:pPr>
    <w:rPr>
      <w:rFonts w:ascii="Times New Roman" w:hAnsi="Times New Roman" w:eastAsia="仿宋_GB2312" w:cs="Times New Roman"/>
      <w:kern w:val="0"/>
      <w:sz w:val="28"/>
      <w:szCs w:val="28"/>
      <w:lang w:val="zh-CN"/>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36"/>
    <w:unhideWhenUsed/>
    <w:qFormat/>
    <w:uiPriority w:val="99"/>
    <w:pPr>
      <w:jc w:val="left"/>
    </w:pPr>
  </w:style>
  <w:style w:type="paragraph" w:styleId="11">
    <w:name w:val="Body Text"/>
    <w:basedOn w:val="1"/>
    <w:link w:val="29"/>
    <w:unhideWhenUsed/>
    <w:qFormat/>
    <w:uiPriority w:val="99"/>
    <w:pPr>
      <w:tabs>
        <w:tab w:val="left" w:pos="0"/>
      </w:tabs>
    </w:pPr>
    <w:rPr>
      <w:rFonts w:ascii="宋体" w:hAnsi="宋体" w:eastAsia="仿宋_GB2312"/>
      <w:color w:val="000000"/>
      <w:sz w:val="24"/>
    </w:rPr>
  </w:style>
  <w:style w:type="paragraph" w:styleId="12">
    <w:name w:val="toc 3"/>
    <w:basedOn w:val="1"/>
    <w:next w:val="1"/>
    <w:unhideWhenUsed/>
    <w:qFormat/>
    <w:uiPriority w:val="39"/>
    <w:pPr>
      <w:ind w:left="840" w:leftChars="400"/>
    </w:pPr>
  </w:style>
  <w:style w:type="paragraph" w:styleId="13">
    <w:name w:val="Balloon Text"/>
    <w:basedOn w:val="1"/>
    <w:link w:val="37"/>
    <w:semiHidden/>
    <w:unhideWhenUsed/>
    <w:qFormat/>
    <w:uiPriority w:val="99"/>
    <w:rPr>
      <w:sz w:val="18"/>
      <w:szCs w:val="18"/>
    </w:rPr>
  </w:style>
  <w:style w:type="paragraph" w:styleId="14">
    <w:name w:val="footer"/>
    <w:basedOn w:val="1"/>
    <w:link w:val="3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4"/>
    <w:next w:val="4"/>
    <w:unhideWhenUsed/>
    <w:qFormat/>
    <w:uiPriority w:val="39"/>
    <w:pPr>
      <w:tabs>
        <w:tab w:val="right" w:leader="dot" w:pos="8296"/>
      </w:tabs>
      <w:spacing w:line="460" w:lineRule="exact"/>
      <w:ind w:firstLine="0" w:firstLineChars="0"/>
    </w:pPr>
    <w:rPr>
      <w:b/>
    </w:rPr>
  </w:style>
  <w:style w:type="paragraph" w:styleId="17">
    <w:name w:val="footnote text"/>
    <w:basedOn w:val="1"/>
    <w:link w:val="40"/>
    <w:qFormat/>
    <w:uiPriority w:val="0"/>
    <w:pPr>
      <w:snapToGrid w:val="0"/>
      <w:jc w:val="left"/>
    </w:pPr>
    <w:rPr>
      <w:rFonts w:ascii="Times New Roman" w:hAnsi="Times New Roman" w:eastAsia="仿宋_GB2312"/>
      <w:sz w:val="18"/>
      <w:szCs w:val="18"/>
    </w:rPr>
  </w:style>
  <w:style w:type="paragraph" w:styleId="18">
    <w:name w:val="toc 2"/>
    <w:basedOn w:val="4"/>
    <w:next w:val="4"/>
    <w:unhideWhenUsed/>
    <w:qFormat/>
    <w:uiPriority w:val="39"/>
    <w:pPr>
      <w:tabs>
        <w:tab w:val="right" w:leader="dot" w:pos="8296"/>
      </w:tabs>
      <w:spacing w:line="460" w:lineRule="exact"/>
      <w:ind w:left="200" w:leftChars="200" w:firstLine="0" w:firstLineChars="0"/>
    </w:pPr>
  </w:style>
  <w:style w:type="paragraph" w:styleId="19">
    <w:name w:val="Normal (Web)"/>
    <w:basedOn w:val="1"/>
    <w:qFormat/>
    <w:uiPriority w:val="99"/>
    <w:rPr>
      <w:rFonts w:ascii="Calibri" w:hAnsi="Calibri" w:eastAsia="宋体"/>
      <w:sz w:val="24"/>
      <w:szCs w:val="22"/>
    </w:rPr>
  </w:style>
  <w:style w:type="paragraph" w:styleId="20">
    <w:name w:val="annotation subject"/>
    <w:basedOn w:val="10"/>
    <w:next w:val="10"/>
    <w:link w:val="41"/>
    <w:semiHidden/>
    <w:unhideWhenUsed/>
    <w:qFormat/>
    <w:uiPriority w:val="99"/>
    <w:rPr>
      <w:b/>
      <w:bCs/>
    </w:rPr>
  </w:style>
  <w:style w:type="table" w:styleId="22">
    <w:name w:val="Table Grid"/>
    <w:basedOn w:val="21"/>
    <w:qFormat/>
    <w:uiPriority w:val="39"/>
    <w:pPr>
      <w:spacing w:line="300" w:lineRule="exact"/>
      <w:jc w:val="center"/>
    </w:pPr>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tblHeader/>
    </w:trPr>
    <w:tcPr>
      <w:vAlign w:val="center"/>
    </w:tcPr>
  </w:style>
  <w:style w:type="character" w:styleId="24">
    <w:name w:val="Strong"/>
    <w:basedOn w:val="23"/>
    <w:qFormat/>
    <w:uiPriority w:val="22"/>
    <w:rPr>
      <w:b/>
      <w:bCs/>
    </w:rPr>
  </w:style>
  <w:style w:type="character" w:styleId="25">
    <w:name w:val="page number"/>
    <w:basedOn w:val="23"/>
    <w:qFormat/>
    <w:uiPriority w:val="0"/>
  </w:style>
  <w:style w:type="character" w:styleId="26">
    <w:name w:val="Hyperlink"/>
    <w:basedOn w:val="23"/>
    <w:unhideWhenUsed/>
    <w:qFormat/>
    <w:uiPriority w:val="99"/>
    <w:rPr>
      <w:color w:val="0563C1" w:themeColor="hyperlink"/>
      <w:u w:val="single"/>
    </w:rPr>
  </w:style>
  <w:style w:type="character" w:styleId="27">
    <w:name w:val="annotation reference"/>
    <w:basedOn w:val="23"/>
    <w:semiHidden/>
    <w:unhideWhenUsed/>
    <w:qFormat/>
    <w:uiPriority w:val="99"/>
    <w:rPr>
      <w:sz w:val="21"/>
      <w:szCs w:val="21"/>
    </w:rPr>
  </w:style>
  <w:style w:type="character" w:styleId="28">
    <w:name w:val="footnote reference"/>
    <w:qFormat/>
    <w:uiPriority w:val="0"/>
    <w:rPr>
      <w:vertAlign w:val="superscript"/>
    </w:rPr>
  </w:style>
  <w:style w:type="character" w:customStyle="1" w:styleId="29">
    <w:name w:val="正文文本 Char"/>
    <w:basedOn w:val="23"/>
    <w:link w:val="11"/>
    <w:qFormat/>
    <w:uiPriority w:val="99"/>
    <w:rPr>
      <w:rFonts w:ascii="宋体" w:hAnsi="宋体" w:eastAsia="仿宋_GB2312"/>
      <w:color w:val="000000"/>
      <w:kern w:val="2"/>
      <w:sz w:val="24"/>
      <w:szCs w:val="21"/>
    </w:rPr>
  </w:style>
  <w:style w:type="character" w:customStyle="1" w:styleId="30">
    <w:name w:val="闻政正文 Char"/>
    <w:link w:val="4"/>
    <w:qFormat/>
    <w:uiPriority w:val="0"/>
    <w:rPr>
      <w:rFonts w:ascii="Times New Roman" w:hAnsi="Times New Roman" w:eastAsia="仿宋_GB2312" w:cs="Times New Roman"/>
      <w:kern w:val="0"/>
      <w:sz w:val="28"/>
      <w:szCs w:val="28"/>
      <w:lang w:val="zh-CN" w:eastAsia="zh-CN"/>
    </w:rPr>
  </w:style>
  <w:style w:type="character" w:customStyle="1" w:styleId="31">
    <w:name w:val="标题 1 Char"/>
    <w:basedOn w:val="23"/>
    <w:link w:val="3"/>
    <w:qFormat/>
    <w:uiPriority w:val="0"/>
    <w:rPr>
      <w:rFonts w:ascii="Times New Roman" w:hAnsi="Times New Roman" w:eastAsia="黑体" w:cs="Times New Roman"/>
      <w:bCs/>
      <w:kern w:val="44"/>
      <w:sz w:val="32"/>
      <w:szCs w:val="44"/>
      <w:lang w:val="zh-CN" w:eastAsia="zh-CN"/>
    </w:rPr>
  </w:style>
  <w:style w:type="character" w:customStyle="1" w:styleId="32">
    <w:name w:val="标题 2 Char"/>
    <w:basedOn w:val="23"/>
    <w:link w:val="5"/>
    <w:qFormat/>
    <w:uiPriority w:val="1"/>
    <w:rPr>
      <w:rFonts w:ascii="Times New Roman" w:hAnsi="Times New Roman" w:eastAsia="仿宋_GB2312" w:cstheme="majorBidi"/>
      <w:b/>
      <w:bCs/>
      <w:kern w:val="0"/>
      <w:sz w:val="28"/>
      <w:szCs w:val="32"/>
      <w:lang w:val="zh-CN" w:eastAsia="zh-CN"/>
    </w:rPr>
  </w:style>
  <w:style w:type="character" w:customStyle="1" w:styleId="33">
    <w:name w:val="标题 3 Char"/>
    <w:basedOn w:val="23"/>
    <w:link w:val="6"/>
    <w:qFormat/>
    <w:uiPriority w:val="2"/>
    <w:rPr>
      <w:rFonts w:ascii="Times New Roman" w:hAnsi="Times New Roman" w:eastAsia="仿宋_GB2312" w:cs="Times New Roman"/>
      <w:b/>
      <w:bCs/>
      <w:kern w:val="0"/>
      <w:sz w:val="28"/>
      <w:szCs w:val="32"/>
      <w:lang w:val="zh-CN" w:eastAsia="zh-CN"/>
    </w:rPr>
  </w:style>
  <w:style w:type="character" w:customStyle="1" w:styleId="34">
    <w:name w:val="标题 4 Char"/>
    <w:basedOn w:val="23"/>
    <w:link w:val="7"/>
    <w:qFormat/>
    <w:uiPriority w:val="3"/>
    <w:rPr>
      <w:rFonts w:ascii="Times New Roman" w:hAnsi="Times New Roman" w:eastAsia="仿宋_GB2312" w:cstheme="majorBidi"/>
      <w:b/>
      <w:bCs/>
      <w:kern w:val="0"/>
      <w:sz w:val="28"/>
      <w:szCs w:val="28"/>
      <w:lang w:val="zh-CN" w:eastAsia="zh-CN"/>
    </w:rPr>
  </w:style>
  <w:style w:type="character" w:customStyle="1" w:styleId="35">
    <w:name w:val="标题 5 Char"/>
    <w:basedOn w:val="23"/>
    <w:link w:val="8"/>
    <w:qFormat/>
    <w:uiPriority w:val="9"/>
    <w:rPr>
      <w:rFonts w:ascii="Times New Roman" w:hAnsi="Times New Roman" w:eastAsia="仿宋_GB2312" w:cs="Times New Roman"/>
      <w:b/>
      <w:bCs/>
      <w:kern w:val="0"/>
      <w:sz w:val="28"/>
      <w:szCs w:val="28"/>
      <w:lang w:val="zh-CN" w:eastAsia="zh-CN"/>
    </w:rPr>
  </w:style>
  <w:style w:type="character" w:customStyle="1" w:styleId="36">
    <w:name w:val="批注文字 Char"/>
    <w:basedOn w:val="23"/>
    <w:link w:val="10"/>
    <w:qFormat/>
    <w:uiPriority w:val="99"/>
  </w:style>
  <w:style w:type="character" w:customStyle="1" w:styleId="37">
    <w:name w:val="批注框文本 Char"/>
    <w:basedOn w:val="23"/>
    <w:link w:val="13"/>
    <w:semiHidden/>
    <w:qFormat/>
    <w:uiPriority w:val="99"/>
    <w:rPr>
      <w:sz w:val="18"/>
      <w:szCs w:val="18"/>
    </w:rPr>
  </w:style>
  <w:style w:type="character" w:customStyle="1" w:styleId="38">
    <w:name w:val="页脚 Char"/>
    <w:basedOn w:val="23"/>
    <w:link w:val="14"/>
    <w:qFormat/>
    <w:uiPriority w:val="99"/>
    <w:rPr>
      <w:rFonts w:ascii="Calibri" w:hAnsi="Calibri" w:eastAsia="宋体" w:cs="Times New Roman"/>
      <w:sz w:val="18"/>
      <w:szCs w:val="18"/>
    </w:rPr>
  </w:style>
  <w:style w:type="character" w:customStyle="1" w:styleId="39">
    <w:name w:val="页眉 Char"/>
    <w:basedOn w:val="23"/>
    <w:link w:val="15"/>
    <w:qFormat/>
    <w:uiPriority w:val="99"/>
    <w:rPr>
      <w:sz w:val="18"/>
      <w:szCs w:val="18"/>
    </w:rPr>
  </w:style>
  <w:style w:type="character" w:customStyle="1" w:styleId="40">
    <w:name w:val="脚注文本 Char"/>
    <w:basedOn w:val="23"/>
    <w:link w:val="17"/>
    <w:qFormat/>
    <w:uiPriority w:val="0"/>
    <w:rPr>
      <w:rFonts w:ascii="Times New Roman" w:hAnsi="Times New Roman" w:eastAsia="仿宋_GB2312"/>
      <w:sz w:val="18"/>
      <w:szCs w:val="18"/>
    </w:rPr>
  </w:style>
  <w:style w:type="character" w:customStyle="1" w:styleId="41">
    <w:name w:val="批注主题 Char"/>
    <w:basedOn w:val="36"/>
    <w:link w:val="20"/>
    <w:semiHidden/>
    <w:qFormat/>
    <w:uiPriority w:val="99"/>
    <w:rPr>
      <w:b/>
      <w:bCs/>
    </w:rPr>
  </w:style>
  <w:style w:type="paragraph" w:customStyle="1" w:styleId="42">
    <w:name w:val="TOC 标题1"/>
    <w:basedOn w:val="3"/>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bCs w:val="0"/>
      <w:color w:val="2F5496" w:themeColor="accent1" w:themeShade="BF"/>
      <w:kern w:val="0"/>
      <w:szCs w:val="32"/>
    </w:rPr>
  </w:style>
  <w:style w:type="paragraph" w:customStyle="1" w:styleId="43">
    <w:name w:val="闻政封面标题"/>
    <w:basedOn w:val="1"/>
    <w:next w:val="44"/>
    <w:qFormat/>
    <w:uiPriority w:val="0"/>
    <w:pPr>
      <w:spacing w:before="480" w:after="360"/>
      <w:jc w:val="center"/>
    </w:pPr>
    <w:rPr>
      <w:rFonts w:ascii="Times New Roman" w:hAnsi="Times New Roman" w:eastAsia="黑体" w:cs="Times New Roman"/>
      <w:b/>
      <w:snapToGrid w:val="0"/>
      <w:sz w:val="32"/>
      <w:szCs w:val="24"/>
    </w:rPr>
  </w:style>
  <w:style w:type="paragraph" w:customStyle="1" w:styleId="44">
    <w:name w:val="闻政封面项目信息"/>
    <w:basedOn w:val="1"/>
    <w:next w:val="45"/>
    <w:qFormat/>
    <w:uiPriority w:val="0"/>
    <w:pPr>
      <w:spacing w:before="120"/>
      <w:ind w:left="800" w:leftChars="800"/>
      <w:jc w:val="left"/>
    </w:pPr>
    <w:rPr>
      <w:rFonts w:ascii="Times New Roman" w:hAnsi="Times New Roman" w:eastAsia="黑体" w:cs="Times New Roman"/>
      <w:kern w:val="0"/>
      <w:sz w:val="28"/>
      <w:szCs w:val="28"/>
      <w:lang w:val="zh-CN"/>
    </w:rPr>
  </w:style>
  <w:style w:type="paragraph" w:customStyle="1" w:styleId="45">
    <w:name w:val="闻政封面完成时间"/>
    <w:basedOn w:val="44"/>
    <w:qFormat/>
    <w:uiPriority w:val="0"/>
    <w:pPr>
      <w:ind w:left="0" w:leftChars="0"/>
      <w:jc w:val="center"/>
    </w:pPr>
    <w:rPr>
      <w:b/>
    </w:rPr>
  </w:style>
  <w:style w:type="paragraph" w:customStyle="1" w:styleId="46">
    <w:name w:val="闻政页码"/>
    <w:qFormat/>
    <w:uiPriority w:val="6"/>
    <w:pPr>
      <w:jc w:val="center"/>
    </w:pPr>
    <w:rPr>
      <w:rFonts w:ascii="Times New Roman" w:hAnsi="Times New Roman" w:eastAsia="Times New Roman" w:cs="Times New Roman"/>
      <w:sz w:val="21"/>
      <w:szCs w:val="28"/>
      <w:lang w:val="en-US" w:eastAsia="zh-CN" w:bidi="ar-SA"/>
    </w:rPr>
  </w:style>
  <w:style w:type="paragraph" w:customStyle="1" w:styleId="47">
    <w:name w:val="闻政摘要标题"/>
    <w:basedOn w:val="1"/>
    <w:qFormat/>
    <w:uiPriority w:val="2"/>
    <w:pPr>
      <w:spacing w:before="480" w:after="360"/>
      <w:jc w:val="center"/>
      <w:outlineLvl w:val="0"/>
    </w:pPr>
    <w:rPr>
      <w:rFonts w:ascii="Times New Roman" w:hAnsi="Times New Roman" w:eastAsia="黑体" w:cs="Times New Roman"/>
      <w:b/>
      <w:snapToGrid w:val="0"/>
      <w:sz w:val="32"/>
      <w:szCs w:val="24"/>
    </w:rPr>
  </w:style>
  <w:style w:type="paragraph" w:customStyle="1" w:styleId="48">
    <w:name w:val="闻政图（表）注"/>
    <w:basedOn w:val="1"/>
    <w:link w:val="49"/>
    <w:qFormat/>
    <w:uiPriority w:val="5"/>
    <w:pPr>
      <w:spacing w:before="120"/>
    </w:pPr>
    <w:rPr>
      <w:rFonts w:ascii="Times New Roman" w:hAnsi="Times New Roman" w:eastAsia="仿宋_GB2312" w:cs="Arial"/>
      <w:kern w:val="0"/>
    </w:rPr>
  </w:style>
  <w:style w:type="character" w:customStyle="1" w:styleId="49">
    <w:name w:val="闻政图（表）注 Char"/>
    <w:link w:val="48"/>
    <w:qFormat/>
    <w:uiPriority w:val="5"/>
    <w:rPr>
      <w:rFonts w:ascii="Times New Roman" w:hAnsi="Times New Roman" w:eastAsia="仿宋_GB2312" w:cs="Arial"/>
      <w:kern w:val="0"/>
    </w:rPr>
  </w:style>
  <w:style w:type="paragraph" w:customStyle="1" w:styleId="50">
    <w:name w:val="闻政图表名"/>
    <w:basedOn w:val="1"/>
    <w:link w:val="51"/>
    <w:qFormat/>
    <w:uiPriority w:val="4"/>
    <w:pPr>
      <w:spacing w:before="60" w:after="60"/>
      <w:jc w:val="center"/>
    </w:pPr>
    <w:rPr>
      <w:rFonts w:ascii="Times New Roman" w:hAnsi="Times New Roman" w:eastAsia="仿宋_GB2312" w:cs="Times New Roman"/>
      <w:b/>
      <w:kern w:val="0"/>
      <w:sz w:val="24"/>
      <w:szCs w:val="28"/>
    </w:rPr>
  </w:style>
  <w:style w:type="character" w:customStyle="1" w:styleId="51">
    <w:name w:val="闻政图表名 字符"/>
    <w:link w:val="50"/>
    <w:qFormat/>
    <w:uiPriority w:val="4"/>
    <w:rPr>
      <w:rFonts w:ascii="Times New Roman" w:hAnsi="Times New Roman" w:eastAsia="仿宋_GB2312" w:cs="Times New Roman"/>
      <w:b/>
      <w:kern w:val="0"/>
      <w:sz w:val="24"/>
      <w:szCs w:val="28"/>
    </w:rPr>
  </w:style>
  <w:style w:type="paragraph" w:customStyle="1" w:styleId="52">
    <w:name w:val="闻政备注类"/>
    <w:basedOn w:val="4"/>
    <w:qFormat/>
    <w:uiPriority w:val="5"/>
    <w:pPr>
      <w:spacing w:line="240" w:lineRule="auto"/>
      <w:jc w:val="left"/>
    </w:pPr>
    <w:rPr>
      <w:rFonts w:cs="宋体"/>
      <w:sz w:val="21"/>
    </w:rPr>
  </w:style>
  <w:style w:type="paragraph" w:customStyle="1" w:styleId="53">
    <w:name w:val="闻政附件标题"/>
    <w:basedOn w:val="4"/>
    <w:qFormat/>
    <w:uiPriority w:val="5"/>
    <w:pPr>
      <w:numPr>
        <w:ilvl w:val="5"/>
        <w:numId w:val="1"/>
      </w:numPr>
      <w:spacing w:before="120" w:after="60" w:line="240" w:lineRule="auto"/>
      <w:ind w:firstLineChars="0"/>
      <w:outlineLvl w:val="0"/>
    </w:pPr>
    <w:rPr>
      <w:rFonts w:eastAsia="黑体"/>
      <w:b/>
      <w:sz w:val="32"/>
    </w:rPr>
  </w:style>
  <w:style w:type="paragraph" w:customStyle="1" w:styleId="54">
    <w:name w:val="闻政附件正文"/>
    <w:basedOn w:val="4"/>
    <w:qFormat/>
    <w:uiPriority w:val="99"/>
    <w:rPr>
      <w:sz w:val="24"/>
    </w:rPr>
  </w:style>
  <w:style w:type="paragraph" w:customStyle="1" w:styleId="55">
    <w:name w:val="闻政附件报告名"/>
    <w:basedOn w:val="4"/>
    <w:qFormat/>
    <w:uiPriority w:val="9"/>
    <w:pPr>
      <w:spacing w:before="120" w:after="60"/>
      <w:ind w:firstLine="0" w:firstLineChars="0"/>
      <w:jc w:val="center"/>
    </w:pPr>
    <w:rPr>
      <w:b/>
    </w:rPr>
  </w:style>
  <w:style w:type="paragraph" w:customStyle="1" w:styleId="56">
    <w:name w:val="闻政附件一级标题"/>
    <w:basedOn w:val="55"/>
    <w:next w:val="54"/>
    <w:qFormat/>
    <w:uiPriority w:val="6"/>
    <w:pPr>
      <w:ind w:firstLine="200" w:firstLineChars="200"/>
      <w:jc w:val="left"/>
    </w:pPr>
    <w:rPr>
      <w:rFonts w:cs="宋体"/>
    </w:rPr>
  </w:style>
  <w:style w:type="paragraph" w:customStyle="1" w:styleId="57">
    <w:name w:val="闻政附件二级标题"/>
    <w:basedOn w:val="56"/>
    <w:qFormat/>
    <w:uiPriority w:val="8"/>
    <w:rPr>
      <w:rFonts w:ascii="宋体" w:hAnsi="宋体" w:eastAsia="宋体"/>
    </w:rPr>
  </w:style>
  <w:style w:type="paragraph" w:customStyle="1" w:styleId="58">
    <w:name w:val="闻政附件三级标题"/>
    <w:basedOn w:val="57"/>
    <w:qFormat/>
    <w:uiPriority w:val="8"/>
    <w:rPr>
      <w:rFonts w:ascii="Times New Roman" w:hAnsi="Times New Roman" w:eastAsia="仿宋_GB2312"/>
    </w:rPr>
  </w:style>
  <w:style w:type="paragraph" w:customStyle="1" w:styleId="59">
    <w:name w:val="闻政附件四级标题"/>
    <w:basedOn w:val="58"/>
    <w:qFormat/>
    <w:uiPriority w:val="9"/>
    <w:pPr>
      <w:spacing w:before="0" w:after="0"/>
    </w:pPr>
  </w:style>
  <w:style w:type="paragraph" w:customStyle="1" w:styleId="60">
    <w:name w:val="闻政脚注"/>
    <w:basedOn w:val="4"/>
    <w:qFormat/>
    <w:uiPriority w:val="9"/>
    <w:pPr>
      <w:spacing w:line="400" w:lineRule="exact"/>
      <w:ind w:firstLine="0" w:firstLineChars="0"/>
    </w:pPr>
    <w:rPr>
      <w:sz w:val="18"/>
    </w:rPr>
  </w:style>
  <w:style w:type="paragraph" w:customStyle="1" w:styleId="61">
    <w:name w:val="闻政目录标题"/>
    <w:basedOn w:val="43"/>
    <w:qFormat/>
    <w:uiPriority w:val="1"/>
  </w:style>
  <w:style w:type="table" w:customStyle="1" w:styleId="62">
    <w:name w:val="网格型浅色1"/>
    <w:basedOn w:val="2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63">
    <w:name w:val="无格式表格 11"/>
    <w:basedOn w:val="2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64">
    <w:name w:val="闻政表文字"/>
    <w:basedOn w:val="4"/>
    <w:link w:val="65"/>
    <w:qFormat/>
    <w:uiPriority w:val="5"/>
    <w:pPr>
      <w:widowControl/>
      <w:spacing w:line="320" w:lineRule="exact"/>
      <w:ind w:firstLine="0" w:firstLineChars="0"/>
      <w:jc w:val="center"/>
    </w:pPr>
    <w:rPr>
      <w:rFonts w:cs="宋体"/>
      <w:bCs/>
      <w:color w:val="000000"/>
      <w:sz w:val="22"/>
      <w:szCs w:val="22"/>
    </w:rPr>
  </w:style>
  <w:style w:type="character" w:customStyle="1" w:styleId="65">
    <w:name w:val="闻政表文字 字符"/>
    <w:basedOn w:val="30"/>
    <w:link w:val="64"/>
    <w:qFormat/>
    <w:uiPriority w:val="5"/>
    <w:rPr>
      <w:rFonts w:ascii="Times New Roman" w:hAnsi="Times New Roman" w:eastAsia="仿宋_GB2312" w:cs="宋体"/>
      <w:bCs/>
      <w:color w:val="000000"/>
      <w:kern w:val="0"/>
      <w:sz w:val="22"/>
      <w:szCs w:val="22"/>
      <w:lang w:val="zh-CN" w:eastAsia="zh-CN"/>
    </w:rPr>
  </w:style>
  <w:style w:type="paragraph" w:customStyle="1" w:styleId="66">
    <w:name w:val="正文-闻政"/>
    <w:link w:val="67"/>
    <w:qFormat/>
    <w:uiPriority w:val="0"/>
    <w:pPr>
      <w:spacing w:line="500" w:lineRule="exact"/>
      <w:ind w:firstLine="200" w:firstLineChars="200"/>
      <w:jc w:val="both"/>
    </w:pPr>
    <w:rPr>
      <w:rFonts w:ascii="Times New Roman" w:hAnsi="Times New Roman" w:eastAsia="仿宋_GB2312" w:cs="Times New Roman"/>
      <w:kern w:val="2"/>
      <w:sz w:val="28"/>
      <w:szCs w:val="22"/>
      <w:lang w:val="en-US" w:eastAsia="zh-CN" w:bidi="ar-SA"/>
    </w:rPr>
  </w:style>
  <w:style w:type="character" w:customStyle="1" w:styleId="67">
    <w:name w:val="正文-闻政 Char"/>
    <w:link w:val="66"/>
    <w:qFormat/>
    <w:uiPriority w:val="0"/>
    <w:rPr>
      <w:rFonts w:ascii="Times New Roman" w:hAnsi="Times New Roman" w:eastAsia="仿宋_GB2312" w:cs="Times New Roman"/>
      <w:kern w:val="2"/>
      <w:sz w:val="28"/>
      <w:szCs w:val="22"/>
      <w:lang w:val="en-US" w:eastAsia="zh-CN" w:bidi="ar-SA"/>
    </w:rPr>
  </w:style>
  <w:style w:type="paragraph" w:customStyle="1" w:styleId="68">
    <w:name w:val="闻政表"/>
    <w:basedOn w:val="1"/>
    <w:link w:val="69"/>
    <w:qFormat/>
    <w:uiPriority w:val="0"/>
    <w:pPr>
      <w:spacing w:before="60" w:after="60"/>
      <w:jc w:val="center"/>
    </w:pPr>
    <w:rPr>
      <w:rFonts w:eastAsia="仿宋_GB2312"/>
      <w:b/>
      <w:sz w:val="24"/>
      <w:szCs w:val="28"/>
    </w:rPr>
  </w:style>
  <w:style w:type="character" w:customStyle="1" w:styleId="69">
    <w:name w:val="闻政表 Char"/>
    <w:link w:val="68"/>
    <w:qFormat/>
    <w:uiPriority w:val="0"/>
    <w:rPr>
      <w:rFonts w:eastAsia="仿宋_GB2312"/>
      <w:b/>
      <w:kern w:val="2"/>
      <w:sz w:val="24"/>
      <w:szCs w:val="28"/>
    </w:rPr>
  </w:style>
  <w:style w:type="paragraph" w:styleId="70">
    <w:name w:val="List Paragraph"/>
    <w:basedOn w:val="1"/>
    <w:qFormat/>
    <w:uiPriority w:val="99"/>
    <w:pPr>
      <w:ind w:firstLine="420" w:firstLineChars="200"/>
    </w:pPr>
  </w:style>
  <w:style w:type="paragraph" w:customStyle="1" w:styleId="71">
    <w:name w:val="Char1"/>
    <w:basedOn w:val="1"/>
    <w:qFormat/>
    <w:uiPriority w:val="0"/>
    <w:pPr>
      <w:widowControl/>
      <w:spacing w:after="160" w:line="240" w:lineRule="exact"/>
      <w:jc w:val="left"/>
    </w:pPr>
    <w:rPr>
      <w:rFonts w:ascii="Times New Roman" w:hAnsi="Times New Roman" w:eastAsia="宋体" w:cs="Times New Roman"/>
      <w:sz w:val="32"/>
      <w:szCs w:val="20"/>
    </w:rPr>
  </w:style>
  <w:style w:type="paragraph" w:customStyle="1" w:styleId="72">
    <w:name w:val="p0"/>
    <w:basedOn w:val="1"/>
    <w:qFormat/>
    <w:uiPriority w:val="0"/>
    <w:pPr>
      <w:widowControl/>
    </w:pPr>
    <w:rPr>
      <w:kern w:val="0"/>
      <w:szCs w:val="21"/>
    </w:rPr>
  </w:style>
  <w:style w:type="paragraph" w:customStyle="1" w:styleId="73">
    <w:name w:val="正文文本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rPr>
  </w:style>
  <w:style w:type="paragraph" w:customStyle="1" w:styleId="74">
    <w:name w:val="WPSOffice手动目录 1"/>
    <w:uiPriority w:val="0"/>
    <w:pPr>
      <w:ind w:leftChars="0"/>
    </w:pPr>
    <w:rPr>
      <w:rFonts w:ascii="Times New Roman" w:hAnsi="Times New Roman" w:eastAsia="宋体" w:cs="Times New Roman"/>
      <w:sz w:val="20"/>
      <w:szCs w:val="20"/>
    </w:rPr>
  </w:style>
  <w:style w:type="paragraph" w:customStyle="1" w:styleId="7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04-&#38395;&#25919;-&#26684;&#24335;&#27169;&#26495;-20190219-&#26356;&#26032;-v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A1EE6-D8DB-44CF-9BD8-24BCA48C5721}">
  <ds:schemaRefs/>
</ds:datastoreItem>
</file>

<file path=docProps/app.xml><?xml version="1.0" encoding="utf-8"?>
<Properties xmlns="http://schemas.openxmlformats.org/officeDocument/2006/extended-properties" xmlns:vt="http://schemas.openxmlformats.org/officeDocument/2006/docPropsVTypes">
  <Template>04-闻政-格式模板-20190219-更新-v3</Template>
  <Pages>2</Pages>
  <Words>52</Words>
  <Characters>302</Characters>
  <Lines>2</Lines>
  <Paragraphs>1</Paragraphs>
  <TotalTime>7</TotalTime>
  <ScaleCrop>false</ScaleCrop>
  <LinksUpToDate>false</LinksUpToDate>
  <CharactersWithSpaces>353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2019-09-23T05:19:00Z</dcterms:created>
  <dc:creator>张恩华</dc:creator>
  <cp:lastModifiedBy>王倩</cp:lastModifiedBy>
  <dcterms:modified xsi:type="dcterms:W3CDTF">2021-07-26T03:21:26Z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49E1A21F92834203A8C4597C8B232FE2</vt:lpwstr>
  </property>
</Properties>
</file>