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0" w:leftChars="0" w:firstLine="0" w:firstLineChars="0"/>
        <w:jc w:val="center"/>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bookmarkStart w:id="0" w:name="_Toc18840"/>
      <w:bookmarkStart w:id="1" w:name="_Toc18065"/>
    </w:p>
    <w:p>
      <w:pPr>
        <w:spacing w:line="590" w:lineRule="exact"/>
        <w:ind w:left="0" w:leftChars="0" w:firstLine="0" w:firstLineChars="0"/>
        <w:jc w:val="center"/>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p>
    <w:p>
      <w:pPr>
        <w:spacing w:line="590" w:lineRule="exact"/>
        <w:ind w:left="0" w:leftChars="0" w:firstLine="0" w:firstLineChars="0"/>
        <w:jc w:val="center"/>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p>
    <w:p>
      <w:pPr>
        <w:spacing w:line="590" w:lineRule="exact"/>
        <w:ind w:left="0" w:leftChars="0" w:firstLine="0" w:firstLineChars="0"/>
        <w:jc w:val="center"/>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pPr>
      <w:r>
        <w:rPr>
          <w:rFonts w:hint="eastAsia" w:ascii="方正小标宋_GBK" w:eastAsia="方正小标宋_GBK"/>
          <w:color w:val="000000" w:themeColor="text1"/>
          <w:spacing w:val="-4"/>
          <w:sz w:val="44"/>
          <w:szCs w:val="44"/>
          <w:highlight w:val="none"/>
          <w:lang w:eastAsia="zh-CN"/>
          <w14:textFill>
            <w14:solidFill>
              <w14:schemeClr w14:val="tx1"/>
            </w14:solidFill>
          </w14:textFill>
        </w:rPr>
        <w:t>青岛市商务局招商引资专项资金</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r>
        <w:rPr>
          <w:rFonts w:hint="eastAsia" w:ascii="方正小标宋_GBK" w:eastAsia="方正小标宋_GBK"/>
          <w:color w:val="000000" w:themeColor="text1"/>
          <w:spacing w:val="-4"/>
          <w:sz w:val="44"/>
          <w:szCs w:val="44"/>
          <w:highlight w:val="none"/>
          <w:lang w:eastAsia="zh-CN"/>
          <w14:textFill>
            <w14:solidFill>
              <w14:schemeClr w14:val="tx1"/>
            </w14:solidFill>
          </w14:textFill>
        </w:rPr>
        <w:t>政策绩效评价报告</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文星简黑体" w:eastAsia="文星简黑体"/>
          <w:sz w:val="52"/>
          <w:szCs w:val="52"/>
          <w:highlight w:val="none"/>
        </w:rPr>
      </w:pPr>
      <w:r>
        <w:rPr>
          <w:rFonts w:hint="eastAsia" w:ascii="方正小标宋_GBK" w:eastAsia="方正小标宋_GBK"/>
          <w:color w:val="000000" w:themeColor="text1"/>
          <w:spacing w:val="-4"/>
          <w:sz w:val="44"/>
          <w:szCs w:val="44"/>
          <w:highlight w:val="none"/>
          <w14:textFill>
            <w14:solidFill>
              <w14:schemeClr w14:val="tx1"/>
            </w14:solidFill>
          </w14:textFill>
        </w:rPr>
        <w:t>（201</w:t>
      </w:r>
      <w:r>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t>7-2019</w:t>
      </w:r>
      <w:r>
        <w:rPr>
          <w:rFonts w:hint="eastAsia" w:ascii="方正小标宋_GBK" w:eastAsia="方正小标宋_GBK"/>
          <w:color w:val="000000" w:themeColor="text1"/>
          <w:spacing w:val="-4"/>
          <w:sz w:val="44"/>
          <w:szCs w:val="44"/>
          <w:highlight w:val="none"/>
          <w14:textFill>
            <w14:solidFill>
              <w14:schemeClr w14:val="tx1"/>
            </w14:solidFill>
          </w14:textFill>
        </w:rPr>
        <w:t>年度）</w:t>
      </w:r>
    </w:p>
    <w:p>
      <w:pPr>
        <w:ind w:left="1040" w:hanging="1040"/>
        <w:jc w:val="center"/>
        <w:rPr>
          <w:rFonts w:hint="eastAsia" w:ascii="文星简黑体" w:eastAsia="文星简黑体"/>
          <w:sz w:val="52"/>
          <w:szCs w:val="52"/>
          <w:highlight w:val="none"/>
        </w:rPr>
      </w:pPr>
    </w:p>
    <w:p>
      <w:pPr>
        <w:pStyle w:val="2"/>
        <w:rPr>
          <w:rFonts w:hint="eastAsia" w:ascii="文星简黑体" w:eastAsia="文星简黑体"/>
          <w:sz w:val="52"/>
          <w:szCs w:val="52"/>
          <w:highlight w:val="none"/>
        </w:rPr>
      </w:pPr>
    </w:p>
    <w:p>
      <w:pPr>
        <w:rPr>
          <w:rFonts w:hint="eastAsia" w:ascii="文星简黑体" w:eastAsia="文星简黑体"/>
          <w:sz w:val="52"/>
          <w:szCs w:val="52"/>
          <w:highlight w:val="none"/>
        </w:rPr>
      </w:pPr>
    </w:p>
    <w:p>
      <w:pPr>
        <w:pStyle w:val="2"/>
        <w:rPr>
          <w:rFonts w:hint="eastAsia" w:ascii="文星简黑体" w:eastAsia="文星简黑体"/>
          <w:sz w:val="52"/>
          <w:szCs w:val="52"/>
          <w:highlight w:val="none"/>
        </w:rPr>
      </w:pPr>
    </w:p>
    <w:p>
      <w:pPr>
        <w:rPr>
          <w:rFonts w:hint="eastAsia" w:ascii="文星简黑体" w:eastAsia="文星简黑体"/>
          <w:sz w:val="52"/>
          <w:szCs w:val="52"/>
          <w:highlight w:val="none"/>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ind w:left="1280" w:leftChars="400" w:firstLine="0" w:firstLineChars="0"/>
        <w:textAlignment w:val="auto"/>
        <w:rPr>
          <w:rFonts w:hint="eastAsia"/>
          <w:color w:val="000000" w:themeColor="text1"/>
          <w:sz w:val="32"/>
          <w:szCs w:val="32"/>
          <w:highlight w:val="none"/>
          <w:lang w:eastAsia="zh-CN"/>
          <w14:textFill>
            <w14:solidFill>
              <w14:schemeClr w14:val="tx1"/>
            </w14:solidFill>
          </w14:textFill>
        </w:rPr>
      </w:pPr>
      <w:r>
        <w:rPr>
          <w:rFonts w:hint="eastAsia" w:ascii="黑体" w:hAnsi="黑体" w:eastAsia="黑体" w:cs="文星简黑体"/>
          <w:sz w:val="32"/>
          <w:szCs w:val="32"/>
          <w:highlight w:val="none"/>
          <w:lang w:val="en-US" w:eastAsia="zh-CN"/>
        </w:rPr>
        <w:t>评价单位</w:t>
      </w:r>
      <w:r>
        <w:rPr>
          <w:rFonts w:hint="eastAsia" w:ascii="黑体" w:hAnsi="黑体" w:eastAsia="黑体" w:cs="文星简黑体"/>
          <w:sz w:val="32"/>
          <w:szCs w:val="32"/>
          <w:highlight w:val="none"/>
        </w:rPr>
        <w:t>：</w:t>
      </w:r>
      <w:r>
        <w:rPr>
          <w:rFonts w:hint="eastAsia" w:eastAsia="宋体"/>
          <w:color w:val="000000" w:themeColor="text1"/>
          <w:sz w:val="32"/>
          <w:szCs w:val="32"/>
          <w:highlight w:val="none"/>
          <w:lang w:eastAsia="zh-CN"/>
          <w14:textFill>
            <w14:solidFill>
              <w14:schemeClr w14:val="tx1"/>
            </w14:solidFill>
          </w14:textFill>
        </w:rPr>
        <w:t>山东德睿融投资咨询有限公司</w:t>
      </w:r>
    </w:p>
    <w:p>
      <w:pPr>
        <w:keepNext w:val="0"/>
        <w:keepLines w:val="0"/>
        <w:pageBreakBefore w:val="0"/>
        <w:widowControl w:val="0"/>
        <w:kinsoku/>
        <w:wordWrap/>
        <w:overflowPunct/>
        <w:topLinePunct w:val="0"/>
        <w:autoSpaceDE/>
        <w:autoSpaceDN/>
        <w:bidi w:val="0"/>
        <w:adjustRightInd/>
        <w:snapToGrid/>
        <w:ind w:left="1280" w:leftChars="400" w:firstLine="0" w:firstLineChars="0"/>
        <w:textAlignment w:val="auto"/>
        <w:rPr>
          <w:rFonts w:hint="eastAsia" w:eastAsia="宋体"/>
          <w:color w:val="000000" w:themeColor="text1"/>
          <w:sz w:val="32"/>
          <w:szCs w:val="32"/>
          <w:highlight w:val="none"/>
          <w:lang w:val="en-US" w:eastAsia="zh-CN"/>
          <w14:textFill>
            <w14:solidFill>
              <w14:schemeClr w14:val="tx1"/>
            </w14:solidFill>
          </w14:textFill>
        </w:rPr>
      </w:pPr>
      <w:r>
        <w:rPr>
          <w:rFonts w:hint="eastAsia" w:ascii="黑体" w:hAnsi="黑体" w:eastAsia="黑体" w:cs="文星简黑体"/>
          <w:sz w:val="32"/>
          <w:szCs w:val="32"/>
          <w:highlight w:val="none"/>
        </w:rPr>
        <w:t>被评价单位：</w:t>
      </w:r>
      <w:r>
        <w:rPr>
          <w:rFonts w:hint="eastAsia" w:eastAsia="宋体"/>
          <w:color w:val="000000" w:themeColor="text1"/>
          <w:sz w:val="32"/>
          <w:szCs w:val="32"/>
          <w:highlight w:val="none"/>
          <w:lang w:eastAsia="zh-CN"/>
          <w14:textFill>
            <w14:solidFill>
              <w14:schemeClr w14:val="tx1"/>
            </w14:solidFill>
          </w14:textFill>
        </w:rPr>
        <w:t>青岛市</w:t>
      </w:r>
      <w:r>
        <w:rPr>
          <w:rFonts w:hint="eastAsia" w:eastAsia="宋体"/>
          <w:color w:val="000000" w:themeColor="text1"/>
          <w:sz w:val="32"/>
          <w:szCs w:val="32"/>
          <w:highlight w:val="none"/>
          <w:lang w:val="en-US" w:eastAsia="zh-CN"/>
          <w14:textFill>
            <w14:solidFill>
              <w14:schemeClr w14:val="tx1"/>
            </w14:solidFill>
          </w14:textFill>
        </w:rPr>
        <w:t>商务局</w:t>
      </w:r>
    </w:p>
    <w:p>
      <w:pPr>
        <w:keepNext w:val="0"/>
        <w:keepLines w:val="0"/>
        <w:pageBreakBefore w:val="0"/>
        <w:widowControl w:val="0"/>
        <w:kinsoku/>
        <w:wordWrap/>
        <w:overflowPunct/>
        <w:topLinePunct w:val="0"/>
        <w:autoSpaceDE/>
        <w:autoSpaceDN/>
        <w:bidi w:val="0"/>
        <w:adjustRightInd/>
        <w:snapToGrid/>
        <w:ind w:left="1280" w:leftChars="400" w:firstLine="1920" w:firstLineChars="600"/>
        <w:textAlignment w:val="auto"/>
        <w:rPr>
          <w:rFonts w:hint="default" w:eastAsia="宋体"/>
          <w:color w:val="000000" w:themeColor="text1"/>
          <w:sz w:val="32"/>
          <w:szCs w:val="32"/>
          <w:highlight w:val="none"/>
          <w:lang w:val="en-US" w:eastAsia="zh-CN"/>
          <w14:textFill>
            <w14:solidFill>
              <w14:schemeClr w14:val="tx1"/>
            </w14:solidFill>
          </w14:textFill>
        </w:rPr>
      </w:pPr>
      <w:r>
        <w:rPr>
          <w:rFonts w:hint="eastAsia" w:eastAsia="宋体"/>
          <w:color w:val="000000" w:themeColor="text1"/>
          <w:sz w:val="32"/>
          <w:szCs w:val="32"/>
          <w:highlight w:val="none"/>
          <w:lang w:eastAsia="zh-CN"/>
          <w14:textFill>
            <w14:solidFill>
              <w14:schemeClr w14:val="tx1"/>
            </w14:solidFill>
          </w14:textFill>
        </w:rPr>
        <w:t>青岛市</w:t>
      </w:r>
      <w:r>
        <w:rPr>
          <w:rFonts w:hint="eastAsia" w:eastAsia="宋体"/>
          <w:color w:val="000000" w:themeColor="text1"/>
          <w:sz w:val="32"/>
          <w:szCs w:val="32"/>
          <w:highlight w:val="none"/>
          <w:lang w:val="en-US" w:eastAsia="zh-CN"/>
          <w14:textFill>
            <w14:solidFill>
              <w14:schemeClr w14:val="tx1"/>
            </w14:solidFill>
          </w14:textFill>
        </w:rPr>
        <w:t>地方金融监督管理局</w:t>
      </w:r>
    </w:p>
    <w:p>
      <w:pPr>
        <w:keepNext w:val="0"/>
        <w:keepLines w:val="0"/>
        <w:pageBreakBefore w:val="0"/>
        <w:widowControl w:val="0"/>
        <w:kinsoku/>
        <w:wordWrap/>
        <w:overflowPunct/>
        <w:topLinePunct w:val="0"/>
        <w:autoSpaceDE/>
        <w:autoSpaceDN/>
        <w:bidi w:val="0"/>
        <w:adjustRightInd/>
        <w:snapToGrid/>
        <w:ind w:left="1280" w:leftChars="400" w:firstLine="1920" w:firstLineChars="600"/>
        <w:textAlignment w:val="auto"/>
        <w:rPr>
          <w:rFonts w:hint="eastAsia" w:eastAsia="宋体"/>
          <w:color w:val="000000" w:themeColor="text1"/>
          <w:sz w:val="32"/>
          <w:szCs w:val="32"/>
          <w:highlight w:val="none"/>
          <w:lang w:val="en-US" w:eastAsia="zh-CN"/>
          <w14:textFill>
            <w14:solidFill>
              <w14:schemeClr w14:val="tx1"/>
            </w14:solidFill>
          </w14:textFill>
        </w:rPr>
      </w:pPr>
      <w:r>
        <w:rPr>
          <w:rFonts w:hint="eastAsia" w:eastAsia="宋体"/>
          <w:color w:val="000000" w:themeColor="text1"/>
          <w:sz w:val="32"/>
          <w:szCs w:val="32"/>
          <w:highlight w:val="none"/>
          <w:lang w:val="en-US" w:eastAsia="zh-CN"/>
          <w14:textFill>
            <w14:solidFill>
              <w14:schemeClr w14:val="tx1"/>
            </w14:solidFill>
          </w14:textFill>
        </w:rPr>
        <w:t>各资金使用单位</w:t>
      </w:r>
    </w:p>
    <w:p>
      <w:pPr>
        <w:spacing w:line="590" w:lineRule="exact"/>
        <w:ind w:left="1280" w:leftChars="400" w:firstLine="0" w:firstLineChars="0"/>
        <w:rPr>
          <w:rFonts w:hint="eastAsia" w:eastAsia="宋体"/>
          <w:color w:val="000000" w:themeColor="text1"/>
          <w:sz w:val="32"/>
          <w:szCs w:val="32"/>
          <w:highlight w:val="none"/>
          <w:lang w:eastAsia="zh-CN"/>
          <w14:textFill>
            <w14:solidFill>
              <w14:schemeClr w14:val="tx1"/>
            </w14:solidFill>
          </w14:textFill>
        </w:rPr>
      </w:pPr>
      <w:r>
        <w:rPr>
          <w:rFonts w:hint="eastAsia" w:ascii="黑体" w:hAnsi="黑体" w:eastAsia="黑体" w:cs="文星简黑体"/>
          <w:sz w:val="32"/>
          <w:szCs w:val="32"/>
          <w:highlight w:val="none"/>
          <w:lang w:val="en-US" w:eastAsia="zh-CN"/>
        </w:rPr>
        <w:t>资金主管部门：</w:t>
      </w:r>
      <w:r>
        <w:rPr>
          <w:rFonts w:hint="eastAsia" w:eastAsia="宋体"/>
          <w:color w:val="000000" w:themeColor="text1"/>
          <w:sz w:val="32"/>
          <w:szCs w:val="32"/>
          <w:highlight w:val="none"/>
          <w:lang w:val="en-US" w:eastAsia="zh-CN"/>
          <w14:textFill>
            <w14:solidFill>
              <w14:schemeClr w14:val="tx1"/>
            </w14:solidFill>
          </w14:textFill>
        </w:rPr>
        <w:t>青岛市商务局</w:t>
      </w:r>
    </w:p>
    <w:p>
      <w:pPr>
        <w:pStyle w:val="2"/>
        <w:rPr>
          <w:rFonts w:ascii="仿宋" w:hAnsi="仿宋" w:eastAsia="仿宋"/>
          <w:color w:val="000000" w:themeColor="text1"/>
          <w:spacing w:val="-4"/>
          <w:sz w:val="32"/>
          <w:highlight w:val="none"/>
          <w14:textFill>
            <w14:solidFill>
              <w14:schemeClr w14:val="tx1"/>
            </w14:solidFill>
          </w14:textFill>
        </w:rPr>
      </w:pPr>
    </w:p>
    <w:p/>
    <w:p>
      <w:pPr>
        <w:spacing w:before="120" w:after="120"/>
        <w:ind w:left="0" w:leftChars="0" w:firstLine="0" w:firstLineChars="0"/>
        <w:jc w:val="center"/>
        <w:rPr>
          <w:rFonts w:hint="default" w:ascii="黑体" w:hAnsi="黑体" w:eastAsia="黑体" w:cs="文星简黑体"/>
          <w:spacing w:val="34"/>
          <w:sz w:val="32"/>
          <w:szCs w:val="32"/>
          <w:highlight w:val="none"/>
          <w:lang w:val="en-US" w:eastAsia="zh-CN"/>
        </w:rPr>
      </w:pPr>
      <w:r>
        <w:rPr>
          <w:rFonts w:hint="eastAsia" w:ascii="黑体" w:hAnsi="黑体" w:eastAsia="黑体" w:cs="文星简黑体"/>
          <w:spacing w:val="34"/>
          <w:sz w:val="32"/>
          <w:szCs w:val="32"/>
          <w:highlight w:val="none"/>
          <w:lang w:val="en-US" w:eastAsia="zh-CN"/>
        </w:rPr>
        <w:t>2020年9月</w:t>
      </w:r>
    </w:p>
    <w:p>
      <w:pPr>
        <w:pStyle w:val="3"/>
        <w:bidi w:val="0"/>
        <w:ind w:left="0" w:leftChars="0" w:firstLine="0" w:firstLineChars="0"/>
        <w:rPr>
          <w:rFonts w:hint="eastAsia"/>
          <w:color w:val="000000" w:themeColor="text1"/>
          <w:highlight w:val="none"/>
          <w14:textFill>
            <w14:solidFill>
              <w14:schemeClr w14:val="tx1"/>
            </w14:solidFill>
          </w14:textFill>
        </w:rPr>
        <w:sectPr>
          <w:pgSz w:w="11906" w:h="16838"/>
          <w:pgMar w:top="1440" w:right="1587" w:bottom="1440" w:left="1587" w:header="737" w:footer="850" w:gutter="0"/>
          <w:pgNumType w:fmt="decimal" w:start="1"/>
          <w:cols w:space="720" w:num="1"/>
          <w:docGrid w:type="lines" w:linePitch="410" w:charSpace="0"/>
        </w:sectPr>
      </w:pPr>
    </w:p>
    <w:p>
      <w:pPr>
        <w:pStyle w:val="3"/>
        <w:bidi w:val="0"/>
        <w:rPr>
          <w:rFonts w:hint="eastAsia"/>
          <w:lang w:eastAsia="zh-CN"/>
        </w:rPr>
      </w:pPr>
      <w:r>
        <w:rPr>
          <w:rFonts w:hint="eastAsia"/>
        </w:rPr>
        <w:t>一、</w:t>
      </w:r>
      <w:r>
        <w:rPr>
          <w:rFonts w:hint="eastAsia"/>
          <w:lang w:eastAsia="zh-CN"/>
        </w:rPr>
        <w:t>政策背景与概况</w:t>
      </w:r>
      <w:bookmarkEnd w:id="0"/>
      <w:bookmarkEnd w:id="1"/>
    </w:p>
    <w:p>
      <w:pPr>
        <w:pStyle w:val="4"/>
        <w:bidi w:val="0"/>
        <w:rPr>
          <w:rFonts w:hint="eastAsia"/>
        </w:rPr>
      </w:pPr>
      <w:bookmarkStart w:id="2" w:name="_Toc34756640"/>
      <w:bookmarkStart w:id="3" w:name="_Toc27432"/>
      <w:bookmarkStart w:id="4" w:name="_Toc30376"/>
      <w:bookmarkStart w:id="5" w:name="_Toc23678"/>
      <w:bookmarkStart w:id="6" w:name="_Toc28254"/>
      <w:bookmarkStart w:id="7" w:name="_Toc26466"/>
      <w:bookmarkStart w:id="8" w:name="_Toc23442"/>
      <w:r>
        <w:rPr>
          <w:rFonts w:hint="eastAsia"/>
        </w:rPr>
        <w:t>（一）</w:t>
      </w:r>
      <w:bookmarkEnd w:id="2"/>
      <w:r>
        <w:rPr>
          <w:rFonts w:hint="eastAsia"/>
          <w:lang w:eastAsia="zh-CN"/>
        </w:rPr>
        <w:t>政策</w:t>
      </w:r>
      <w:r>
        <w:rPr>
          <w:rFonts w:hint="eastAsia"/>
        </w:rPr>
        <w:t>背景</w:t>
      </w:r>
      <w:bookmarkEnd w:id="3"/>
      <w:bookmarkEnd w:id="4"/>
      <w:bookmarkEnd w:id="5"/>
      <w:bookmarkEnd w:id="6"/>
      <w:bookmarkEnd w:id="7"/>
      <w:bookmarkEnd w:id="8"/>
    </w:p>
    <w:p>
      <w:pPr>
        <w:bidi w:val="0"/>
        <w:rPr>
          <w:rFonts w:hint="eastAsia"/>
        </w:rPr>
      </w:pPr>
      <w:r>
        <w:rPr>
          <w:rFonts w:hint="eastAsia"/>
          <w:lang w:eastAsia="zh-CN"/>
        </w:rPr>
        <w:t>深入</w:t>
      </w:r>
      <w:r>
        <w:rPr>
          <w:rFonts w:hint="eastAsia"/>
        </w:rPr>
        <w:t>贯彻习近平总书记</w:t>
      </w:r>
      <w:bookmarkStart w:id="207" w:name="_GoBack"/>
      <w:bookmarkEnd w:id="207"/>
      <w:r>
        <w:rPr>
          <w:rFonts w:hint="eastAsia"/>
          <w:lang w:eastAsia="zh-CN"/>
        </w:rPr>
        <w:t>视察山东视察青岛的</w:t>
      </w:r>
      <w:r>
        <w:rPr>
          <w:rFonts w:hint="eastAsia"/>
        </w:rPr>
        <w:t>重要讲话精神，努力实现</w:t>
      </w:r>
      <w:r>
        <w:rPr>
          <w:rFonts w:hint="eastAsia"/>
          <w:lang w:eastAsia="zh-CN"/>
        </w:rPr>
        <w:t>招商引资</w:t>
      </w:r>
      <w:r>
        <w:rPr>
          <w:rFonts w:hint="eastAsia"/>
        </w:rPr>
        <w:t>工作</w:t>
      </w:r>
      <w:r>
        <w:rPr>
          <w:rFonts w:hint="eastAsia"/>
          <w:lang w:eastAsia="zh-CN"/>
        </w:rPr>
        <w:t>方式方法的</w:t>
      </w:r>
      <w:r>
        <w:rPr>
          <w:rFonts w:hint="eastAsia"/>
        </w:rPr>
        <w:t>重大转变。</w:t>
      </w:r>
      <w:r>
        <w:rPr>
          <w:rFonts w:hint="eastAsia"/>
          <w:lang w:val="en-US" w:eastAsia="zh-CN"/>
        </w:rPr>
        <w:t>结合上合峰会</w:t>
      </w:r>
      <w:r>
        <w:rPr>
          <w:rFonts w:hint="eastAsia"/>
        </w:rPr>
        <w:t>“办好一次会</w:t>
      </w:r>
      <w:r>
        <w:rPr>
          <w:rFonts w:hint="eastAsia"/>
          <w:lang w:eastAsia="zh-CN"/>
        </w:rPr>
        <w:t>，</w:t>
      </w:r>
      <w:r>
        <w:rPr>
          <w:rFonts w:hint="eastAsia"/>
        </w:rPr>
        <w:t>搞活一座城”的有益经验</w:t>
      </w:r>
      <w:r>
        <w:rPr>
          <w:rFonts w:hint="eastAsia"/>
          <w:lang w:eastAsia="zh-CN"/>
        </w:rPr>
        <w:t>，</w:t>
      </w:r>
      <w:r>
        <w:rPr>
          <w:rFonts w:hint="eastAsia"/>
        </w:rPr>
        <w:t>通过扎实创新举措</w:t>
      </w:r>
      <w:r>
        <w:rPr>
          <w:rFonts w:hint="eastAsia"/>
          <w:lang w:eastAsia="zh-CN"/>
        </w:rPr>
        <w:t>，</w:t>
      </w:r>
      <w:r>
        <w:rPr>
          <w:rFonts w:hint="eastAsia"/>
        </w:rPr>
        <w:t>把</w:t>
      </w:r>
      <w:r>
        <w:rPr>
          <w:rFonts w:hint="eastAsia"/>
          <w:lang w:eastAsia="zh-CN"/>
        </w:rPr>
        <w:t>青岛</w:t>
      </w:r>
      <w:r>
        <w:rPr>
          <w:rFonts w:hint="eastAsia"/>
        </w:rPr>
        <w:t>建设得更加富有活力、更加独具魅力。</w:t>
      </w:r>
      <w:r>
        <w:rPr>
          <w:rFonts w:hint="eastAsia"/>
          <w:lang w:eastAsia="zh-CN"/>
        </w:rPr>
        <w:t>要</w:t>
      </w:r>
      <w:r>
        <w:rPr>
          <w:rFonts w:hint="eastAsia"/>
        </w:rPr>
        <w:t>紧紧抓住对外合作的良机</w:t>
      </w:r>
      <w:r>
        <w:rPr>
          <w:rFonts w:hint="eastAsia"/>
          <w:lang w:eastAsia="zh-CN"/>
        </w:rPr>
        <w:t>，</w:t>
      </w:r>
      <w:r>
        <w:rPr>
          <w:rFonts w:hint="eastAsia"/>
        </w:rPr>
        <w:t>主动融入国家开放大局</w:t>
      </w:r>
      <w:r>
        <w:rPr>
          <w:rFonts w:hint="eastAsia"/>
          <w:lang w:eastAsia="zh-CN"/>
        </w:rPr>
        <w:t>，</w:t>
      </w:r>
      <w:r>
        <w:rPr>
          <w:rFonts w:hint="eastAsia"/>
        </w:rPr>
        <w:t>扩大高质量招商引资</w:t>
      </w:r>
      <w:r>
        <w:rPr>
          <w:rFonts w:hint="eastAsia"/>
          <w:lang w:eastAsia="zh-CN"/>
        </w:rPr>
        <w:t>，</w:t>
      </w:r>
      <w:r>
        <w:rPr>
          <w:rFonts w:hint="eastAsia"/>
        </w:rPr>
        <w:t>深度融入“一带一路”建设</w:t>
      </w:r>
      <w:r>
        <w:rPr>
          <w:rFonts w:hint="eastAsia"/>
          <w:lang w:eastAsia="zh-CN"/>
        </w:rPr>
        <w:t>，</w:t>
      </w:r>
      <w:r>
        <w:rPr>
          <w:rFonts w:hint="eastAsia"/>
        </w:rPr>
        <w:t>加快建设中国—上海合作组织地方经贸合作示范区</w:t>
      </w:r>
      <w:r>
        <w:rPr>
          <w:rFonts w:hint="eastAsia"/>
          <w:lang w:eastAsia="zh-CN"/>
        </w:rPr>
        <w:t>，</w:t>
      </w:r>
      <w:r>
        <w:rPr>
          <w:rFonts w:hint="eastAsia"/>
        </w:rPr>
        <w:t>努力打造对外开放新高地。</w:t>
      </w:r>
    </w:p>
    <w:p>
      <w:pPr>
        <w:pStyle w:val="4"/>
        <w:bidi w:val="0"/>
        <w:rPr>
          <w:rFonts w:hint="eastAsia"/>
          <w:color w:val="000000" w:themeColor="text1"/>
          <w:highlight w:val="none"/>
          <w:lang w:val="en-US" w:eastAsia="zh-CN"/>
          <w14:textFill>
            <w14:solidFill>
              <w14:schemeClr w14:val="tx1"/>
            </w14:solidFill>
          </w14:textFill>
        </w:rPr>
      </w:pPr>
      <w:bookmarkStart w:id="9" w:name="_Toc7765"/>
      <w:bookmarkStart w:id="10" w:name="_Toc5679"/>
      <w:bookmarkStart w:id="11" w:name="_Toc11921"/>
      <w:bookmarkStart w:id="12" w:name="_Toc24845"/>
      <w:bookmarkStart w:id="13" w:name="_Toc21847"/>
      <w:bookmarkStart w:id="14" w:name="_Toc12566"/>
      <w:r>
        <w:rPr>
          <w:rFonts w:hint="eastAsia"/>
          <w:color w:val="000000" w:themeColor="text1"/>
          <w:highlight w:val="none"/>
          <w:lang w:val="en-US" w:eastAsia="zh-CN"/>
          <w14:textFill>
            <w14:solidFill>
              <w14:schemeClr w14:val="tx1"/>
            </w14:solidFill>
          </w14:textFill>
        </w:rPr>
        <w:t>（二）政策概况</w:t>
      </w:r>
      <w:bookmarkEnd w:id="9"/>
      <w:bookmarkEnd w:id="10"/>
      <w:bookmarkEnd w:id="11"/>
      <w:bookmarkEnd w:id="12"/>
      <w:bookmarkEnd w:id="13"/>
      <w:bookmarkEnd w:id="14"/>
    </w:p>
    <w:p>
      <w:pPr>
        <w:bidi w:val="0"/>
        <w:rPr>
          <w:rFonts w:hint="eastAsia"/>
          <w:lang w:val="en-US" w:eastAsia="zh-CN"/>
        </w:rPr>
      </w:pPr>
      <w:r>
        <w:rPr>
          <w:rFonts w:hint="eastAsia"/>
          <w:lang w:val="en-US" w:eastAsia="zh-CN"/>
        </w:rPr>
        <w:t>青岛市深入贯彻落实习近平总书记和山东省委的重要指示精神，加快推进供给侧结构性改革和新旧动能转换，贯彻落实《青岛市加快实施现代产业精准招商行动计划》，实现现代产业精准招商。</w:t>
      </w:r>
    </w:p>
    <w:p>
      <w:pPr>
        <w:bidi w:val="0"/>
        <w:rPr>
          <w:rFonts w:hint="eastAsia"/>
          <w:lang w:val="en-US" w:eastAsia="zh-CN"/>
        </w:rPr>
      </w:pPr>
      <w:r>
        <w:rPr>
          <w:rFonts w:hint="eastAsia"/>
          <w:lang w:val="en-US" w:eastAsia="zh-CN"/>
        </w:rPr>
        <w:t>青岛市招促办</w:t>
      </w:r>
      <w:r>
        <w:rPr>
          <w:rFonts w:hint="eastAsia"/>
          <w:lang w:val="zh-CN" w:eastAsia="zh-CN"/>
        </w:rPr>
        <w:t>根据《青岛市人民政府关于印发青岛市加快实施现代产业精准招商行动计划的通知》（青政字〔</w:t>
      </w:r>
      <w:r>
        <w:rPr>
          <w:rFonts w:hint="eastAsia"/>
          <w:lang w:val="en-US" w:eastAsia="zh-CN"/>
        </w:rPr>
        <w:t>2017</w:t>
      </w:r>
      <w:r>
        <w:rPr>
          <w:rFonts w:hint="eastAsia"/>
          <w:lang w:val="zh-CN" w:eastAsia="zh-CN"/>
        </w:rPr>
        <w:t>〕</w:t>
      </w:r>
      <w:r>
        <w:rPr>
          <w:rFonts w:hint="eastAsia"/>
          <w:lang w:val="en-US" w:eastAsia="zh-CN"/>
        </w:rPr>
        <w:t>51号）和</w:t>
      </w:r>
      <w:r>
        <w:rPr>
          <w:rFonts w:hint="eastAsia"/>
          <w:lang w:val="zh-CN" w:eastAsia="zh-CN"/>
        </w:rPr>
        <w:t>《关于印发青岛市实施现代产业精准招商政策措施的通知》（青招促字〔</w:t>
      </w:r>
      <w:r>
        <w:rPr>
          <w:rFonts w:hint="eastAsia"/>
          <w:lang w:val="en-US" w:eastAsia="zh-CN"/>
        </w:rPr>
        <w:t>2017</w:t>
      </w:r>
      <w:r>
        <w:rPr>
          <w:rFonts w:hint="eastAsia"/>
          <w:lang w:val="zh-CN" w:eastAsia="zh-CN"/>
        </w:rPr>
        <w:t>〕</w:t>
      </w:r>
      <w:r>
        <w:rPr>
          <w:rFonts w:hint="eastAsia"/>
          <w:lang w:val="en-US" w:eastAsia="zh-CN"/>
        </w:rPr>
        <w:t>2号）、</w:t>
      </w:r>
      <w:r>
        <w:rPr>
          <w:rFonts w:hint="eastAsia"/>
          <w:lang w:val="zh-CN" w:eastAsia="zh-CN"/>
        </w:rPr>
        <w:t>《青岛市扩大对外开放专项资金管理办法》</w:t>
      </w:r>
      <w:r>
        <w:rPr>
          <w:rFonts w:hint="eastAsia"/>
          <w:lang w:val="en-US" w:eastAsia="zh-CN"/>
        </w:rPr>
        <w:t>（</w:t>
      </w:r>
      <w:r>
        <w:rPr>
          <w:rFonts w:hint="eastAsia"/>
          <w:lang w:val="zh-CN" w:eastAsia="zh-CN"/>
        </w:rPr>
        <w:t>青财企〔201</w:t>
      </w:r>
      <w:r>
        <w:rPr>
          <w:rFonts w:hint="eastAsia"/>
          <w:lang w:val="en-US" w:eastAsia="zh-CN"/>
        </w:rPr>
        <w:t>8</w:t>
      </w:r>
      <w:r>
        <w:rPr>
          <w:rFonts w:hint="eastAsia"/>
          <w:lang w:val="zh-CN" w:eastAsia="zh-CN"/>
        </w:rPr>
        <w:t>〕</w:t>
      </w:r>
      <w:r>
        <w:rPr>
          <w:rFonts w:hint="eastAsia"/>
          <w:lang w:val="en-US" w:eastAsia="zh-CN"/>
        </w:rPr>
        <w:t>3</w:t>
      </w:r>
      <w:r>
        <w:rPr>
          <w:rFonts w:hint="eastAsia"/>
          <w:lang w:val="zh-CN" w:eastAsia="zh-CN"/>
        </w:rPr>
        <w:t>号</w:t>
      </w:r>
      <w:r>
        <w:rPr>
          <w:rFonts w:hint="eastAsia"/>
          <w:lang w:val="en-US" w:eastAsia="zh-CN"/>
        </w:rPr>
        <w:t>）</w:t>
      </w:r>
      <w:r>
        <w:rPr>
          <w:rFonts w:hint="eastAsia"/>
          <w:lang w:val="zh-CN" w:eastAsia="zh-CN"/>
        </w:rPr>
        <w:t>制定《青岛市专业招商团队和市直部门招商引资绩效考核办法》，并组建了</w:t>
      </w:r>
      <w:r>
        <w:rPr>
          <w:rFonts w:hint="eastAsia"/>
          <w:lang w:val="en-US" w:eastAsia="zh-CN"/>
        </w:rPr>
        <w:t>30个由市直部门牵头成立的定向招商团队，2018年编制了《青岛市现代产业精准招商30个专业团队2018年度</w:t>
      </w:r>
      <w:r>
        <w:rPr>
          <w:rFonts w:hint="default"/>
          <w:lang w:val="en-US" w:eastAsia="zh-CN"/>
        </w:rPr>
        <w:t>工作方案汇编</w:t>
      </w:r>
      <w:r>
        <w:rPr>
          <w:rFonts w:hint="eastAsia"/>
          <w:lang w:val="en-US" w:eastAsia="zh-CN"/>
        </w:rPr>
        <w:t>》。</w:t>
      </w:r>
    </w:p>
    <w:p>
      <w:pPr>
        <w:pStyle w:val="4"/>
        <w:bidi w:val="0"/>
        <w:rPr>
          <w:rFonts w:hint="eastAsia"/>
          <w:lang w:val="en-US" w:eastAsia="zh-CN"/>
        </w:rPr>
      </w:pPr>
      <w:r>
        <w:rPr>
          <w:rFonts w:hint="eastAsia"/>
          <w:lang w:val="en-US" w:eastAsia="zh-CN"/>
        </w:rPr>
        <w:t>（三）政策资金情况</w:t>
      </w:r>
    </w:p>
    <w:p>
      <w:pPr>
        <w:bidi w:val="0"/>
        <w:rPr>
          <w:rFonts w:hint="eastAsia"/>
          <w:lang w:val="en-US" w:eastAsia="zh-CN"/>
        </w:rPr>
      </w:pPr>
      <w:r>
        <w:rPr>
          <w:rFonts w:hint="eastAsia"/>
        </w:rPr>
        <w:t>本</w:t>
      </w:r>
      <w:r>
        <w:rPr>
          <w:rFonts w:hint="eastAsia"/>
          <w:lang w:val="en-US" w:eastAsia="zh-CN"/>
        </w:rPr>
        <w:t>政策</w:t>
      </w:r>
      <w:r>
        <w:rPr>
          <w:rFonts w:hint="eastAsia"/>
        </w:rPr>
        <w:t>预算部门为市商务局，</w:t>
      </w:r>
      <w:r>
        <w:rPr>
          <w:rFonts w:hint="eastAsia"/>
          <w:lang w:val="en-US" w:eastAsia="zh-CN"/>
        </w:rPr>
        <w:t>资金预算和使用年度包括2017-2019年，资金合计9684万元，涉及商务局招商活动经费2000万元，促进对外开放资金7684万元。</w:t>
      </w:r>
    </w:p>
    <w:p>
      <w:pPr>
        <w:keepNext w:val="0"/>
        <w:keepLines w:val="0"/>
        <w:pageBreakBefore w:val="0"/>
        <w:widowControl w:val="0"/>
        <w:kinsoku/>
        <w:wordWrap/>
        <w:overflowPunct/>
        <w:topLinePunct w:val="0"/>
        <w:autoSpaceDE/>
        <w:autoSpaceDN/>
        <w:bidi w:val="0"/>
        <w:adjustRightInd/>
        <w:snapToGrid/>
        <w:spacing w:before="207" w:beforeLines="50" w:line="240" w:lineRule="auto"/>
        <w:ind w:left="0" w:leftChars="0" w:firstLine="0" w:firstLineChars="0"/>
        <w:jc w:val="center"/>
        <w:textAlignment w:val="auto"/>
        <w:rPr>
          <w:rFonts w:hint="eastAsia" w:ascii="方正小标宋_GBK" w:hAnsi="方正小标宋_GBK" w:eastAsia="方正小标宋_GBK" w:cs="方正小标宋_GBK"/>
          <w:color w:val="auto"/>
          <w:kern w:val="2"/>
          <w:sz w:val="24"/>
          <w:szCs w:val="24"/>
          <w:highlight w:val="none"/>
          <w:lang w:val="en-US" w:eastAsia="zh-CN" w:bidi="ar-SA"/>
        </w:rPr>
      </w:pPr>
      <w:r>
        <w:rPr>
          <w:rFonts w:hint="eastAsia" w:ascii="方正小标宋_GBK" w:hAnsi="方正小标宋_GBK" w:eastAsia="方正小标宋_GBK" w:cs="方正小标宋_GBK"/>
          <w:color w:val="auto"/>
          <w:kern w:val="2"/>
          <w:sz w:val="24"/>
          <w:szCs w:val="24"/>
          <w:highlight w:val="none"/>
          <w:lang w:val="en-US" w:eastAsia="zh-CN" w:bidi="ar-SA"/>
        </w:rPr>
        <w:t>表1  2017-2019年青岛市商务局招商引资经费情况一览表</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257"/>
        <w:gridCol w:w="1539"/>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noWrap w:val="0"/>
            <w:vAlign w:val="center"/>
          </w:tcPr>
          <w:p>
            <w:pPr>
              <w:spacing w:line="240" w:lineRule="auto"/>
              <w:ind w:firstLine="0" w:firstLineChars="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年份</w:t>
            </w:r>
          </w:p>
        </w:tc>
        <w:tc>
          <w:tcPr>
            <w:tcW w:w="1262" w:type="pct"/>
            <w:noWrap w:val="0"/>
            <w:vAlign w:val="center"/>
          </w:tcPr>
          <w:p>
            <w:pPr>
              <w:spacing w:line="240" w:lineRule="auto"/>
              <w:ind w:firstLine="0" w:firstLineChars="0"/>
              <w:jc w:val="cente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经费使用部门</w:t>
            </w:r>
          </w:p>
        </w:tc>
        <w:tc>
          <w:tcPr>
            <w:tcW w:w="860" w:type="pct"/>
            <w:noWrap w:val="0"/>
            <w:vAlign w:val="center"/>
          </w:tcPr>
          <w:p>
            <w:pPr>
              <w:spacing w:line="240" w:lineRule="auto"/>
              <w:ind w:firstLine="0" w:firstLineChars="0"/>
              <w:jc w:val="center"/>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经费安排（单位：万元）</w:t>
            </w:r>
          </w:p>
        </w:tc>
        <w:tc>
          <w:tcPr>
            <w:tcW w:w="2400"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restar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2017年</w:t>
            </w:r>
          </w:p>
        </w:tc>
        <w:tc>
          <w:tcPr>
            <w:tcW w:w="1262" w:type="pc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黑体" w:hAnsi="黑体" w:eastAsia="黑体" w:cs="黑体"/>
                <w:color w:val="auto"/>
                <w:sz w:val="21"/>
                <w:szCs w:val="21"/>
                <w:highlight w:val="none"/>
                <w:lang w:val="en-US" w:eastAsia="zh-CN"/>
              </w:rPr>
              <w:t>合计</w:t>
            </w:r>
          </w:p>
        </w:tc>
        <w:tc>
          <w:tcPr>
            <w:tcW w:w="860" w:type="pct"/>
            <w:noWrap w:val="0"/>
            <w:vAlign w:val="center"/>
          </w:tcPr>
          <w:p>
            <w:pPr>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cs="仿宋"/>
                <w:b/>
                <w:bCs/>
                <w:color w:val="auto"/>
                <w:sz w:val="21"/>
                <w:szCs w:val="21"/>
                <w:highlight w:val="none"/>
                <w:lang w:val="en-US" w:eastAsia="zh-CN"/>
              </w:rPr>
              <w:t>2000</w:t>
            </w:r>
          </w:p>
        </w:tc>
        <w:tc>
          <w:tcPr>
            <w:tcW w:w="2400"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p>
        </w:tc>
        <w:tc>
          <w:tcPr>
            <w:tcW w:w="1262" w:type="pct"/>
            <w:noWrap w:val="0"/>
            <w:vAlign w:val="center"/>
          </w:tcPr>
          <w:p>
            <w:pPr>
              <w:spacing w:line="24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一、青岛市商务局</w:t>
            </w:r>
          </w:p>
        </w:tc>
        <w:tc>
          <w:tcPr>
            <w:tcW w:w="860" w:type="pc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1320</w:t>
            </w:r>
          </w:p>
        </w:tc>
        <w:tc>
          <w:tcPr>
            <w:tcW w:w="2400" w:type="pct"/>
            <w:noWrap w:val="0"/>
            <w:vAlign w:val="center"/>
          </w:tcPr>
          <w:p>
            <w:pPr>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国内及总部经济招商工作经费</w:t>
            </w:r>
            <w:r>
              <w:rPr>
                <w:rFonts w:hint="eastAsia" w:ascii="仿宋" w:hAnsi="仿宋" w:eastAsia="仿宋" w:cs="仿宋"/>
                <w:color w:val="auto"/>
                <w:sz w:val="21"/>
                <w:szCs w:val="21"/>
                <w:highlight w:val="none"/>
                <w:lang w:eastAsia="zh-CN"/>
              </w:rPr>
              <w:t>、欧亚经贸合作产业园区促进活动经费</w:t>
            </w:r>
            <w:r>
              <w:rPr>
                <w:rFonts w:hint="eastAsia" w:ascii="仿宋" w:hAnsi="仿宋" w:eastAsia="仿宋" w:cs="仿宋"/>
                <w:color w:val="auto"/>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p>
        </w:tc>
        <w:tc>
          <w:tcPr>
            <w:tcW w:w="1262" w:type="pct"/>
            <w:noWrap w:val="0"/>
            <w:vAlign w:val="center"/>
          </w:tcPr>
          <w:p>
            <w:pPr>
              <w:spacing w:line="240" w:lineRule="auto"/>
              <w:ind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二、发改委等市直部门</w:t>
            </w:r>
          </w:p>
        </w:tc>
        <w:tc>
          <w:tcPr>
            <w:tcW w:w="860" w:type="pc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680</w:t>
            </w:r>
          </w:p>
        </w:tc>
        <w:tc>
          <w:tcPr>
            <w:tcW w:w="2400" w:type="pct"/>
            <w:noWrap w:val="0"/>
            <w:vAlign w:val="center"/>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发改委等23个专业招商团队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restar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2018年</w:t>
            </w:r>
          </w:p>
        </w:tc>
        <w:tc>
          <w:tcPr>
            <w:tcW w:w="1262" w:type="pct"/>
            <w:noWrap w:val="0"/>
            <w:vAlign w:val="center"/>
          </w:tcPr>
          <w:p>
            <w:pPr>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黑体" w:hAnsi="黑体" w:eastAsia="黑体" w:cs="黑体"/>
                <w:color w:val="auto"/>
                <w:sz w:val="21"/>
                <w:szCs w:val="21"/>
                <w:highlight w:val="none"/>
                <w:lang w:val="en-US" w:eastAsia="zh-CN"/>
              </w:rPr>
              <w:t>合计</w:t>
            </w:r>
          </w:p>
        </w:tc>
        <w:tc>
          <w:tcPr>
            <w:tcW w:w="860" w:type="pct"/>
            <w:noWrap w:val="0"/>
            <w:vAlign w:val="center"/>
          </w:tcPr>
          <w:p>
            <w:pPr>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r>
              <w:rPr>
                <w:rFonts w:hint="eastAsia" w:ascii="仿宋" w:hAnsi="仿宋" w:cs="仿宋"/>
                <w:b/>
                <w:bCs/>
                <w:color w:val="auto"/>
                <w:sz w:val="21"/>
                <w:szCs w:val="21"/>
                <w:highlight w:val="none"/>
                <w:lang w:val="en-US" w:eastAsia="zh-CN"/>
              </w:rPr>
              <w:t>500</w:t>
            </w:r>
          </w:p>
        </w:tc>
        <w:tc>
          <w:tcPr>
            <w:tcW w:w="2400" w:type="pct"/>
            <w:noWrap w:val="0"/>
            <w:vAlign w:val="center"/>
          </w:tcPr>
          <w:p>
            <w:pPr>
              <w:spacing w:line="24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p>
        </w:tc>
        <w:tc>
          <w:tcPr>
            <w:tcW w:w="1262"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一、青岛市商务局</w:t>
            </w:r>
          </w:p>
        </w:tc>
        <w:tc>
          <w:tcPr>
            <w:tcW w:w="860" w:type="pc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2450</w:t>
            </w:r>
          </w:p>
        </w:tc>
        <w:tc>
          <w:tcPr>
            <w:tcW w:w="2400" w:type="pct"/>
            <w:noWrap w:val="0"/>
            <w:vAlign w:val="center"/>
          </w:tcPr>
          <w:p>
            <w:pPr>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精准招商重点项目招商经费</w:t>
            </w:r>
            <w:r>
              <w:rPr>
                <w:rFonts w:hint="eastAsia" w:ascii="仿宋" w:hAnsi="仿宋" w:eastAsia="仿宋" w:cs="仿宋"/>
                <w:color w:val="auto"/>
                <w:sz w:val="21"/>
                <w:szCs w:val="21"/>
                <w:highlight w:val="none"/>
                <w:lang w:eastAsia="zh-CN"/>
              </w:rPr>
              <w:t>、重大活动招商经费（欧亚经贸合作产业园区促进</w:t>
            </w:r>
            <w:r>
              <w:rPr>
                <w:rFonts w:hint="eastAsia" w:ascii="仿宋" w:hAnsi="仿宋" w:cs="仿宋"/>
                <w:color w:val="auto"/>
                <w:sz w:val="21"/>
                <w:szCs w:val="21"/>
                <w:highlight w:val="none"/>
                <w:lang w:val="en-US" w:eastAsia="zh-CN"/>
              </w:rPr>
              <w:t>活动</w:t>
            </w:r>
            <w:r>
              <w:rPr>
                <w:rFonts w:hint="eastAsia" w:ascii="仿宋" w:hAnsi="仿宋" w:eastAsia="仿宋" w:cs="仿宋"/>
                <w:color w:val="auto"/>
                <w:sz w:val="21"/>
                <w:szCs w:val="21"/>
                <w:highlight w:val="none"/>
                <w:lang w:eastAsia="zh-CN"/>
              </w:rPr>
              <w:t>、非洲商务及港澳商务推介活动）</w:t>
            </w:r>
            <w:r>
              <w:rPr>
                <w:rFonts w:hint="eastAsia" w:ascii="仿宋" w:hAnsi="仿宋" w:eastAsia="仿宋" w:cs="仿宋"/>
                <w:color w:val="auto"/>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p>
        </w:tc>
        <w:tc>
          <w:tcPr>
            <w:tcW w:w="1262"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二、发改委等市直部门</w:t>
            </w:r>
          </w:p>
        </w:tc>
        <w:tc>
          <w:tcPr>
            <w:tcW w:w="860" w:type="pc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1050</w:t>
            </w:r>
          </w:p>
        </w:tc>
        <w:tc>
          <w:tcPr>
            <w:tcW w:w="2400" w:type="pct"/>
            <w:noWrap w:val="0"/>
            <w:vAlign w:val="center"/>
          </w:tcPr>
          <w:p>
            <w:pPr>
              <w:spacing w:line="240" w:lineRule="auto"/>
              <w:ind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发改委等27个专业招商团队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restart"/>
            <w:noWrap w:val="0"/>
            <w:vAlign w:val="center"/>
          </w:tcPr>
          <w:p>
            <w:pPr>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2019年</w:t>
            </w:r>
          </w:p>
        </w:tc>
        <w:tc>
          <w:tcPr>
            <w:tcW w:w="1262" w:type="pct"/>
            <w:noWrap w:val="0"/>
            <w:vAlign w:val="top"/>
          </w:tcPr>
          <w:p>
            <w:pPr>
              <w:spacing w:line="240" w:lineRule="auto"/>
              <w:ind w:firstLine="0" w:firstLineChars="0"/>
              <w:jc w:val="center"/>
              <w:rPr>
                <w:rFonts w:hint="eastAsia" w:ascii="仿宋" w:hAnsi="仿宋" w:eastAsia="仿宋" w:cs="仿宋"/>
                <w:b/>
                <w:bCs/>
                <w:color w:val="auto"/>
                <w:sz w:val="21"/>
                <w:szCs w:val="21"/>
                <w:highlight w:val="none"/>
              </w:rPr>
            </w:pPr>
            <w:r>
              <w:rPr>
                <w:rFonts w:hint="eastAsia" w:ascii="黑体" w:hAnsi="黑体" w:eastAsia="黑体" w:cs="黑体"/>
                <w:color w:val="auto"/>
                <w:sz w:val="21"/>
                <w:szCs w:val="21"/>
                <w:highlight w:val="none"/>
                <w:lang w:val="en-US" w:eastAsia="zh-CN"/>
              </w:rPr>
              <w:t>合计</w:t>
            </w:r>
          </w:p>
        </w:tc>
        <w:tc>
          <w:tcPr>
            <w:tcW w:w="860" w:type="pct"/>
            <w:noWrap w:val="0"/>
            <w:vAlign w:val="center"/>
          </w:tcPr>
          <w:p>
            <w:pPr>
              <w:spacing w:line="240" w:lineRule="auto"/>
              <w:ind w:firstLine="0" w:firstLineChars="0"/>
              <w:jc w:val="center"/>
              <w:rPr>
                <w:rFonts w:hint="default" w:ascii="仿宋" w:hAnsi="仿宋" w:eastAsia="仿宋" w:cs="仿宋"/>
                <w:b/>
                <w:bCs/>
                <w:color w:val="auto"/>
                <w:sz w:val="21"/>
                <w:szCs w:val="21"/>
                <w:highlight w:val="none"/>
                <w:lang w:val="en-US" w:eastAsia="zh-CN"/>
              </w:rPr>
            </w:pPr>
            <w:r>
              <w:rPr>
                <w:rFonts w:hint="eastAsia" w:ascii="仿宋" w:hAnsi="仿宋" w:cs="仿宋"/>
                <w:b/>
                <w:bCs/>
                <w:color w:val="auto"/>
                <w:sz w:val="21"/>
                <w:szCs w:val="21"/>
                <w:highlight w:val="none"/>
                <w:lang w:val="en-US" w:eastAsia="zh-CN"/>
              </w:rPr>
              <w:t>4184</w:t>
            </w:r>
          </w:p>
        </w:tc>
        <w:tc>
          <w:tcPr>
            <w:tcW w:w="2400"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1262" w:type="pct"/>
            <w:noWrap w:val="0"/>
            <w:vAlign w:val="center"/>
          </w:tcPr>
          <w:p>
            <w:pPr>
              <w:spacing w:line="240" w:lineRule="auto"/>
              <w:ind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eastAsia="zh-CN"/>
              </w:rPr>
              <w:t>青岛</w:t>
            </w:r>
            <w:r>
              <w:rPr>
                <w:rFonts w:hint="eastAsia" w:ascii="仿宋" w:hAnsi="仿宋" w:eastAsia="仿宋" w:cs="仿宋"/>
                <w:color w:val="auto"/>
                <w:sz w:val="21"/>
                <w:szCs w:val="21"/>
                <w:highlight w:val="none"/>
              </w:rPr>
              <w:t>市商务局</w:t>
            </w:r>
          </w:p>
        </w:tc>
        <w:tc>
          <w:tcPr>
            <w:tcW w:w="860" w:type="pct"/>
            <w:noWrap w:val="0"/>
            <w:vAlign w:val="center"/>
          </w:tcPr>
          <w:p>
            <w:pPr>
              <w:spacing w:line="240" w:lineRule="auto"/>
              <w:ind w:left="0" w:leftChars="0"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3344</w:t>
            </w:r>
          </w:p>
        </w:tc>
        <w:tc>
          <w:tcPr>
            <w:tcW w:w="2400" w:type="pct"/>
            <w:noWrap w:val="0"/>
            <w:vAlign w:val="center"/>
          </w:tcPr>
          <w:p>
            <w:pPr>
              <w:spacing w:line="240" w:lineRule="auto"/>
              <w:ind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市级精准招商重点项目招商经费</w:t>
            </w:r>
            <w:r>
              <w:rPr>
                <w:rFonts w:hint="eastAsia" w:ascii="仿宋" w:hAnsi="仿宋" w:eastAsia="仿宋" w:cs="仿宋"/>
                <w:color w:val="auto"/>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Merge w:val="continue"/>
            <w:noWrap w:val="0"/>
            <w:vAlign w:val="center"/>
          </w:tcPr>
          <w:p>
            <w:pPr>
              <w:spacing w:line="240" w:lineRule="auto"/>
              <w:ind w:firstLine="0" w:firstLineChars="0"/>
              <w:rPr>
                <w:rFonts w:hint="eastAsia" w:ascii="仿宋" w:hAnsi="仿宋" w:eastAsia="仿宋" w:cs="仿宋"/>
                <w:color w:val="auto"/>
                <w:sz w:val="21"/>
                <w:szCs w:val="21"/>
                <w:highlight w:val="none"/>
              </w:rPr>
            </w:pPr>
          </w:p>
        </w:tc>
        <w:tc>
          <w:tcPr>
            <w:tcW w:w="1262"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二、发改委等市直部门</w:t>
            </w:r>
          </w:p>
        </w:tc>
        <w:tc>
          <w:tcPr>
            <w:tcW w:w="860"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840</w:t>
            </w:r>
          </w:p>
        </w:tc>
        <w:tc>
          <w:tcPr>
            <w:tcW w:w="2400"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专业招商团队及市直部门招商经费770+70（蓝谷10，邮轮30，机场30）</w:t>
            </w:r>
          </w:p>
        </w:tc>
      </w:tr>
    </w:tbl>
    <w:p>
      <w:pPr>
        <w:pStyle w:val="4"/>
        <w:bidi w:val="0"/>
        <w:rPr>
          <w:rFonts w:hint="default"/>
          <w:lang w:val="en-US" w:eastAsia="zh-CN"/>
        </w:rPr>
      </w:pPr>
      <w:bookmarkStart w:id="15" w:name="_Toc10708"/>
      <w:bookmarkStart w:id="16" w:name="_Toc4605"/>
      <w:bookmarkStart w:id="17" w:name="_Toc20363"/>
      <w:bookmarkStart w:id="18" w:name="_Toc31060"/>
      <w:r>
        <w:rPr>
          <w:rFonts w:hint="eastAsia"/>
          <w:lang w:val="en-US" w:eastAsia="zh-CN"/>
        </w:rPr>
        <w:t>（四）政策流程</w:t>
      </w:r>
      <w:bookmarkEnd w:id="15"/>
      <w:bookmarkEnd w:id="16"/>
      <w:r>
        <w:rPr>
          <w:rFonts w:hint="eastAsia"/>
          <w:lang w:val="en-US" w:eastAsia="zh-CN"/>
        </w:rPr>
        <w:t>设定情况</w:t>
      </w:r>
      <w:bookmarkEnd w:id="17"/>
      <w:bookmarkEnd w:id="18"/>
    </w:p>
    <w:p>
      <w:pPr>
        <w:spacing w:line="560" w:lineRule="exact"/>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为了贯彻落实</w:t>
      </w:r>
      <w:r>
        <w:rPr>
          <w:rFonts w:hint="eastAsia"/>
          <w:color w:val="000000" w:themeColor="text1"/>
          <w:highlight w:val="none"/>
          <w:lang w:val="zh-CN" w:eastAsia="zh-CN"/>
          <w14:textFill>
            <w14:solidFill>
              <w14:schemeClr w14:val="tx1"/>
            </w14:solidFill>
          </w14:textFill>
        </w:rPr>
        <w:t>《国务院关于扩大对外开放积极利用外资若干措施的通知》（国发〔2017〕5号）和省政府《关于新时期积极利用外资若干措施的通知》（鲁政发〔2017〕16号），</w:t>
      </w:r>
      <w:r>
        <w:rPr>
          <w:rFonts w:hint="eastAsia"/>
          <w:color w:val="000000" w:themeColor="text1"/>
          <w:highlight w:val="none"/>
          <w:lang w:val="en-US" w:eastAsia="zh-CN"/>
          <w14:textFill>
            <w14:solidFill>
              <w14:schemeClr w14:val="tx1"/>
            </w14:solidFill>
          </w14:textFill>
        </w:rPr>
        <w:t>青岛</w:t>
      </w:r>
      <w:r>
        <w:rPr>
          <w:rFonts w:hint="eastAsia"/>
          <w:color w:val="000000" w:themeColor="text1"/>
          <w:highlight w:val="none"/>
          <w:lang w:val="zh-CN" w:eastAsia="zh-CN"/>
          <w14:textFill>
            <w14:solidFill>
              <w14:schemeClr w14:val="tx1"/>
            </w14:solidFill>
          </w14:textFill>
        </w:rPr>
        <w:t>市政府印发了《青岛市人民政府关于印发青岛市加快实施现代产业精准招商行动计划的通知》（青政字〔</w:t>
      </w:r>
      <w:r>
        <w:rPr>
          <w:rFonts w:hint="eastAsia"/>
          <w:color w:val="000000" w:themeColor="text1"/>
          <w:highlight w:val="none"/>
          <w:lang w:val="en-US" w:eastAsia="zh-CN"/>
          <w14:textFill>
            <w14:solidFill>
              <w14:schemeClr w14:val="tx1"/>
            </w14:solidFill>
          </w14:textFill>
        </w:rPr>
        <w:t>2017</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51号），</w:t>
      </w:r>
      <w:r>
        <w:rPr>
          <w:rFonts w:hint="eastAsia"/>
          <w:color w:val="000000" w:themeColor="text1"/>
          <w:highlight w:val="none"/>
          <w:lang w:val="zh-CN" w:eastAsia="zh-CN"/>
          <w14:textFill>
            <w14:solidFill>
              <w14:schemeClr w14:val="tx1"/>
            </w14:solidFill>
          </w14:textFill>
        </w:rPr>
        <w:t>中共青岛市委市政府</w:t>
      </w:r>
      <w:r>
        <w:rPr>
          <w:rFonts w:hint="eastAsia"/>
          <w:color w:val="000000" w:themeColor="text1"/>
          <w:highlight w:val="none"/>
          <w:lang w:val="en-US" w:eastAsia="zh-CN"/>
          <w14:textFill>
            <w14:solidFill>
              <w14:schemeClr w14:val="tx1"/>
            </w14:solidFill>
          </w14:textFill>
        </w:rPr>
        <w:t>在市商务局</w:t>
      </w:r>
      <w:r>
        <w:rPr>
          <w:rFonts w:hint="eastAsia"/>
          <w:color w:val="000000" w:themeColor="text1"/>
          <w:highlight w:val="none"/>
          <w:lang w:val="zh-CN" w:eastAsia="zh-CN"/>
          <w14:textFill>
            <w14:solidFill>
              <w14:schemeClr w14:val="tx1"/>
            </w14:solidFill>
          </w14:textFill>
        </w:rPr>
        <w:t>成立</w:t>
      </w:r>
      <w:r>
        <w:rPr>
          <w:rFonts w:hint="eastAsia"/>
          <w:color w:val="000000" w:themeColor="text1"/>
          <w:highlight w:val="none"/>
          <w:lang w:val="en-US" w:eastAsia="zh-CN"/>
          <w14:textFill>
            <w14:solidFill>
              <w14:schemeClr w14:val="tx1"/>
            </w14:solidFill>
          </w14:textFill>
        </w:rPr>
        <w:t>了</w:t>
      </w:r>
      <w:r>
        <w:rPr>
          <w:rFonts w:hint="eastAsia"/>
          <w:color w:val="000000" w:themeColor="text1"/>
          <w:highlight w:val="none"/>
          <w:lang w:val="zh-CN" w:eastAsia="zh-CN"/>
          <w14:textFill>
            <w14:solidFill>
              <w14:schemeClr w14:val="tx1"/>
            </w14:solidFill>
          </w14:textFill>
        </w:rPr>
        <w:t>青岛市招商引资和投资促进工作领导小组办公室，</w:t>
      </w:r>
      <w:r>
        <w:rPr>
          <w:rFonts w:hint="eastAsia"/>
          <w:color w:val="000000" w:themeColor="text1"/>
          <w:highlight w:val="none"/>
          <w:lang w:val="en-US" w:eastAsia="zh-CN"/>
          <w14:textFill>
            <w14:solidFill>
              <w14:schemeClr w14:val="tx1"/>
            </w14:solidFill>
          </w14:textFill>
        </w:rPr>
        <w:t>青岛市商务局招促办</w:t>
      </w:r>
      <w:r>
        <w:rPr>
          <w:rFonts w:hint="eastAsia"/>
          <w:color w:val="000000" w:themeColor="text1"/>
          <w:highlight w:val="none"/>
          <w:lang w:val="zh-CN" w:eastAsia="zh-CN"/>
          <w14:textFill>
            <w14:solidFill>
              <w14:schemeClr w14:val="tx1"/>
            </w14:solidFill>
          </w14:textFill>
        </w:rPr>
        <w:t>根据（青政字〔</w:t>
      </w:r>
      <w:r>
        <w:rPr>
          <w:rFonts w:hint="eastAsia"/>
          <w:color w:val="000000" w:themeColor="text1"/>
          <w:highlight w:val="none"/>
          <w:lang w:val="en-US" w:eastAsia="zh-CN"/>
          <w14:textFill>
            <w14:solidFill>
              <w14:schemeClr w14:val="tx1"/>
            </w14:solidFill>
          </w14:textFill>
        </w:rPr>
        <w:t>2017</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51号）制定了</w:t>
      </w:r>
      <w:r>
        <w:rPr>
          <w:rFonts w:hint="eastAsia"/>
          <w:color w:val="000000" w:themeColor="text1"/>
          <w:highlight w:val="none"/>
          <w:lang w:val="zh-CN" w:eastAsia="zh-CN"/>
          <w14:textFill>
            <w14:solidFill>
              <w14:schemeClr w14:val="tx1"/>
            </w14:solidFill>
          </w14:textFill>
        </w:rPr>
        <w:t>《关于印发青岛市实施现代产业精准招商政策措施的通知》（青招促字〔</w:t>
      </w:r>
      <w:r>
        <w:rPr>
          <w:rFonts w:hint="eastAsia"/>
          <w:color w:val="000000" w:themeColor="text1"/>
          <w:highlight w:val="none"/>
          <w:lang w:val="en-US" w:eastAsia="zh-CN"/>
          <w14:textFill>
            <w14:solidFill>
              <w14:schemeClr w14:val="tx1"/>
            </w14:solidFill>
          </w14:textFill>
        </w:rPr>
        <w:t>2017</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2号）、</w:t>
      </w:r>
      <w:r>
        <w:rPr>
          <w:rFonts w:hint="eastAsia"/>
          <w:color w:val="000000" w:themeColor="text1"/>
          <w:highlight w:val="none"/>
          <w:lang w:val="zh-CN" w:eastAsia="zh-CN"/>
          <w14:textFill>
            <w14:solidFill>
              <w14:schemeClr w14:val="tx1"/>
            </w14:solidFill>
          </w14:textFill>
        </w:rPr>
        <w:t>《青岛市扩大对外开放专项资金管理办法》</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zh-CN" w:eastAsia="zh-CN"/>
          <w14:textFill>
            <w14:solidFill>
              <w14:schemeClr w14:val="tx1"/>
            </w14:solidFill>
          </w14:textFill>
        </w:rPr>
        <w:t>青财企〔201</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lang w:val="zh-CN"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zh-CN" w:eastAsia="zh-CN"/>
          <w14:textFill>
            <w14:solidFill>
              <w14:schemeClr w14:val="tx1"/>
            </w14:solidFill>
          </w14:textFill>
        </w:rPr>
        <w:t>号</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lang w:val="zh-CN" w:eastAsia="zh-CN"/>
          <w14:textFill>
            <w14:solidFill>
              <w14:schemeClr w14:val="tx1"/>
            </w14:solidFill>
          </w14:textFill>
        </w:rPr>
        <w:t>《青岛市专业招商团队和市直部门招商引资绩效考核办法》，并组建了</w:t>
      </w:r>
      <w:r>
        <w:rPr>
          <w:rFonts w:hint="eastAsia"/>
          <w:color w:val="000000" w:themeColor="text1"/>
          <w:highlight w:val="none"/>
          <w:lang w:val="en-US" w:eastAsia="zh-CN"/>
          <w14:textFill>
            <w14:solidFill>
              <w14:schemeClr w14:val="tx1"/>
            </w14:solidFill>
          </w14:textFill>
        </w:rPr>
        <w:t>30个由市直部门牵头成立的定向招商团队，编制了《青岛市现代产业精准招商30个专业团队2018年度</w:t>
      </w:r>
      <w:r>
        <w:rPr>
          <w:rFonts w:hint="default"/>
          <w:color w:val="000000" w:themeColor="text1"/>
          <w:highlight w:val="none"/>
          <w:lang w:val="en-US" w:eastAsia="zh-CN"/>
          <w14:textFill>
            <w14:solidFill>
              <w14:schemeClr w14:val="tx1"/>
            </w14:solidFill>
          </w14:textFill>
        </w:rPr>
        <w:t>工作方案汇编</w:t>
      </w:r>
      <w:r>
        <w:rPr>
          <w:rFonts w:hint="eastAsia"/>
          <w:color w:val="000000" w:themeColor="text1"/>
          <w:highlight w:val="none"/>
          <w:lang w:val="en-US" w:eastAsia="zh-CN"/>
          <w14:textFill>
            <w14:solidFill>
              <w14:schemeClr w14:val="tx1"/>
            </w14:solidFill>
          </w14:textFill>
        </w:rPr>
        <w:t>》。</w:t>
      </w:r>
    </w:p>
    <w:p>
      <w:pPr>
        <w:spacing w:line="560" w:lineRule="exact"/>
        <w:jc w:val="left"/>
        <w:rPr>
          <w:rFonts w:hint="default"/>
          <w:color w:val="0000FF"/>
          <w:highlight w:val="none"/>
          <w:lang w:val="en-US" w:eastAsia="zh-CN"/>
        </w:rPr>
      </w:pPr>
      <w:r>
        <w:rPr>
          <w:rFonts w:hint="eastAsia"/>
          <w:color w:val="000000" w:themeColor="text1"/>
          <w:highlight w:val="none"/>
          <w:lang w:val="zh-CN" w:eastAsia="zh-CN"/>
          <w14:textFill>
            <w14:solidFill>
              <w14:schemeClr w14:val="tx1"/>
            </w14:solidFill>
          </w14:textFill>
        </w:rPr>
        <w:t>市招商引资和投资促进工作领导小组办公室按照上年招商引资指标任务完成情况并结合实际，于年初对定向招商团队及市直部门下达年度招商引资目标任务。</w:t>
      </w:r>
      <w:r>
        <w:rPr>
          <w:rFonts w:hint="eastAsia"/>
          <w:color w:val="000000" w:themeColor="text1"/>
          <w:highlight w:val="none"/>
          <w:lang w:val="en-US" w:eastAsia="zh-CN"/>
          <w14:textFill>
            <w14:solidFill>
              <w14:schemeClr w14:val="tx1"/>
            </w14:solidFill>
          </w14:textFill>
        </w:rPr>
        <w:t>由</w:t>
      </w:r>
      <w:r>
        <w:rPr>
          <w:rFonts w:hint="eastAsia"/>
          <w:color w:val="000000" w:themeColor="text1"/>
          <w:highlight w:val="none"/>
          <w:lang w:val="zh-CN" w:eastAsia="zh-CN"/>
          <w14:textFill>
            <w14:solidFill>
              <w14:schemeClr w14:val="tx1"/>
            </w14:solidFill>
          </w14:textFill>
        </w:rPr>
        <w:t>牵头</w:t>
      </w:r>
      <w:r>
        <w:rPr>
          <w:rFonts w:hint="eastAsia"/>
          <w:color w:val="000000" w:themeColor="text1"/>
          <w:highlight w:val="none"/>
          <w:lang w:val="en-US" w:eastAsia="zh-CN"/>
          <w14:textFill>
            <w14:solidFill>
              <w14:schemeClr w14:val="tx1"/>
            </w14:solidFill>
          </w14:textFill>
        </w:rPr>
        <w:t>部门成立定向招商专业团队，市直其他相关部门、有关经济功能区管委等作为参与单位，明确各单位负责人、联络员和联系方式，建立互通互联的协同工作机制。要求专业团队各成员定期上报招商工作情况，实现对走访工作的动态信息采集，建立重点项目调度工作机制。年底，按照</w:t>
      </w:r>
      <w:r>
        <w:rPr>
          <w:rFonts w:hint="eastAsia"/>
          <w:color w:val="000000" w:themeColor="text1"/>
          <w:highlight w:val="none"/>
          <w:lang w:val="zh-CN" w:eastAsia="zh-CN"/>
          <w14:textFill>
            <w14:solidFill>
              <w14:schemeClr w14:val="tx1"/>
            </w14:solidFill>
          </w14:textFill>
        </w:rPr>
        <w:t>《青岛市专业招商团队和市直部门招商引资绩效考核办法》，市招促办按照下达的年度招商引资目标任务，对</w:t>
      </w:r>
      <w:r>
        <w:rPr>
          <w:rFonts w:hint="eastAsia"/>
          <w:color w:val="000000" w:themeColor="text1"/>
          <w:highlight w:val="none"/>
          <w:lang w:val="en-US" w:eastAsia="zh-CN"/>
          <w14:textFill>
            <w14:solidFill>
              <w14:schemeClr w14:val="tx1"/>
            </w14:solidFill>
          </w14:textFill>
        </w:rPr>
        <w:t>30个</w:t>
      </w:r>
      <w:r>
        <w:rPr>
          <w:rFonts w:hint="eastAsia"/>
          <w:color w:val="000000" w:themeColor="text1"/>
          <w:highlight w:val="none"/>
          <w:lang w:val="zh-CN" w:eastAsia="zh-CN"/>
          <w14:textFill>
            <w14:solidFill>
              <w14:schemeClr w14:val="tx1"/>
            </w14:solidFill>
          </w14:textFill>
        </w:rPr>
        <w:t>定向招商团队及市直部门实施招商引资绩效考核。绩效考核结果，</w:t>
      </w:r>
      <w:r>
        <w:rPr>
          <w:rFonts w:hint="eastAsia"/>
          <w:color w:val="000000" w:themeColor="text1"/>
          <w:highlight w:val="none"/>
          <w:lang w:val="en-US" w:eastAsia="zh-CN"/>
          <w14:textFill>
            <w14:solidFill>
              <w14:schemeClr w14:val="tx1"/>
            </w14:solidFill>
          </w14:textFill>
        </w:rPr>
        <w:t>由</w:t>
      </w:r>
      <w:r>
        <w:rPr>
          <w:rFonts w:hint="eastAsia"/>
          <w:color w:val="000000" w:themeColor="text1"/>
          <w:highlight w:val="none"/>
          <w:lang w:val="zh-CN" w:eastAsia="zh-CN"/>
          <w14:textFill>
            <w14:solidFill>
              <w14:schemeClr w14:val="tx1"/>
            </w14:solidFill>
          </w14:textFill>
        </w:rPr>
        <w:t>市招促办报市政府审定。绩效考核结果作为绩效激励经费核算的重要依据，</w:t>
      </w:r>
      <w:r>
        <w:rPr>
          <w:rFonts w:hint="eastAsia"/>
          <w:color w:val="000000" w:themeColor="text1"/>
          <w:highlight w:val="none"/>
          <w:lang w:val="en-US" w:eastAsia="zh-CN"/>
          <w14:textFill>
            <w14:solidFill>
              <w14:schemeClr w14:val="tx1"/>
            </w14:solidFill>
          </w14:textFill>
        </w:rPr>
        <w:t>绩效考核完成目标任务，予以全市通报表彰；</w:t>
      </w:r>
      <w:r>
        <w:rPr>
          <w:rFonts w:hint="eastAsia"/>
          <w:color w:val="000000" w:themeColor="text1"/>
          <w:highlight w:val="none"/>
          <w:lang w:val="zh-CN" w:eastAsia="zh-CN"/>
          <w14:textFill>
            <w14:solidFill>
              <w14:schemeClr w14:val="tx1"/>
            </w14:solidFill>
          </w14:textFill>
        </w:rPr>
        <w:t>对年度招商经费有结余的</w:t>
      </w:r>
      <w:r>
        <w:rPr>
          <w:rFonts w:hint="eastAsia"/>
          <w:color w:val="000000" w:themeColor="text1"/>
          <w:highlight w:val="none"/>
          <w:lang w:val="en-US" w:eastAsia="zh-CN"/>
          <w14:textFill>
            <w14:solidFill>
              <w14:schemeClr w14:val="tx1"/>
            </w14:solidFill>
          </w14:textFill>
        </w:rPr>
        <w:t>，可转为部门</w:t>
      </w:r>
      <w:r>
        <w:rPr>
          <w:rFonts w:hint="eastAsia"/>
          <w:color w:val="000000" w:themeColor="text1"/>
          <w:highlight w:val="none"/>
          <w:lang w:val="zh-CN" w:eastAsia="zh-CN"/>
          <w14:textFill>
            <w14:solidFill>
              <w14:schemeClr w14:val="tx1"/>
            </w14:solidFill>
          </w14:textFill>
        </w:rPr>
        <w:t>公用经费</w:t>
      </w:r>
      <w:r>
        <w:rPr>
          <w:rFonts w:hint="eastAsia"/>
          <w:color w:val="000000" w:themeColor="text1"/>
          <w:highlight w:val="none"/>
          <w:lang w:val="en-US" w:eastAsia="zh-CN"/>
          <w14:textFill>
            <w14:solidFill>
              <w14:schemeClr w14:val="tx1"/>
            </w14:solidFill>
          </w14:textFill>
        </w:rPr>
        <w:t>统筹</w:t>
      </w:r>
      <w:r>
        <w:rPr>
          <w:rFonts w:hint="eastAsia"/>
          <w:color w:val="000000" w:themeColor="text1"/>
          <w:highlight w:val="none"/>
          <w:lang w:val="zh-CN" w:eastAsia="zh-CN"/>
          <w14:textFill>
            <w14:solidFill>
              <w14:schemeClr w14:val="tx1"/>
            </w14:solidFill>
          </w14:textFill>
        </w:rPr>
        <w:t>使用；对当年招商经费不足的通过绩效激励经费给予奖励补足，按照每超额完成外资目标</w:t>
      </w:r>
      <w:r>
        <w:rPr>
          <w:rFonts w:hint="eastAsia"/>
          <w:color w:val="000000" w:themeColor="text1"/>
          <w:highlight w:val="none"/>
          <w:lang w:val="en-US" w:eastAsia="zh-CN"/>
          <w14:textFill>
            <w14:solidFill>
              <w14:schemeClr w14:val="tx1"/>
            </w14:solidFill>
          </w14:textFill>
        </w:rPr>
        <w:t>1亿美元</w:t>
      </w:r>
      <w:r>
        <w:rPr>
          <w:rFonts w:hint="eastAsia"/>
          <w:color w:val="000000" w:themeColor="text1"/>
          <w:highlight w:val="none"/>
          <w:lang w:val="zh-CN" w:eastAsia="zh-CN"/>
          <w14:textFill>
            <w14:solidFill>
              <w14:schemeClr w14:val="tx1"/>
            </w14:solidFill>
          </w14:textFill>
        </w:rPr>
        <w:t>，安排绩效激励经费</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val="zh-CN" w:eastAsia="zh-CN"/>
          <w14:textFill>
            <w14:solidFill>
              <w14:schemeClr w14:val="tx1"/>
            </w14:solidFill>
          </w14:textFill>
        </w:rPr>
        <w:t>万元，内资目标参照同一标准进行折算。</w:t>
      </w:r>
      <w:r>
        <w:rPr>
          <w:rFonts w:hint="eastAsia"/>
          <w:color w:val="000000" w:themeColor="text1"/>
          <w:highlight w:val="none"/>
          <w:lang w:val="en-US" w:eastAsia="zh-CN"/>
          <w14:textFill>
            <w14:solidFill>
              <w14:schemeClr w14:val="tx1"/>
            </w14:solidFill>
          </w14:textFill>
        </w:rPr>
        <w:t>绩效考核未</w:t>
      </w:r>
      <w:r>
        <w:rPr>
          <w:rFonts w:hint="eastAsia"/>
          <w:color w:val="000000" w:themeColor="text1"/>
          <w:highlight w:val="none"/>
          <w:lang w:val="zh-CN" w:eastAsia="zh-CN"/>
          <w14:textFill>
            <w14:solidFill>
              <w14:schemeClr w14:val="tx1"/>
            </w14:solidFill>
          </w14:textFill>
        </w:rPr>
        <w:t>完成目标任务</w:t>
      </w:r>
      <w:r>
        <w:rPr>
          <w:rFonts w:hint="eastAsia"/>
          <w:color w:val="000000" w:themeColor="text1"/>
          <w:highlight w:val="none"/>
          <w:lang w:val="en-US" w:eastAsia="zh-CN"/>
          <w14:textFill>
            <w14:solidFill>
              <w14:schemeClr w14:val="tx1"/>
            </w14:solidFill>
          </w14:textFill>
        </w:rPr>
        <w:t>，予以全市通报批评；当年</w:t>
      </w:r>
      <w:r>
        <w:rPr>
          <w:rFonts w:hint="eastAsia"/>
          <w:color w:val="000000" w:themeColor="text1"/>
          <w:highlight w:val="none"/>
          <w:lang w:val="zh-CN" w:eastAsia="zh-CN"/>
          <w14:textFill>
            <w14:solidFill>
              <w14:schemeClr w14:val="tx1"/>
            </w14:solidFill>
          </w14:textFill>
        </w:rPr>
        <w:t>基本招商经费有结余</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lang w:val="zh-CN" w:eastAsia="zh-CN"/>
          <w14:textFill>
            <w14:solidFill>
              <w14:schemeClr w14:val="tx1"/>
            </w14:solidFill>
          </w14:textFill>
        </w:rPr>
        <w:t>由市财政按规定收回</w:t>
      </w:r>
      <w:r>
        <w:rPr>
          <w:rFonts w:hint="eastAsia"/>
          <w:color w:val="000000" w:themeColor="text1"/>
          <w:highlight w:val="none"/>
          <w:lang w:val="en-US" w:eastAsia="zh-CN"/>
          <w14:textFill>
            <w14:solidFill>
              <w14:schemeClr w14:val="tx1"/>
            </w14:solidFill>
          </w14:textFill>
        </w:rPr>
        <w:t>。</w:t>
      </w:r>
    </w:p>
    <w:p>
      <w:pPr>
        <w:pStyle w:val="4"/>
        <w:numPr>
          <w:ilvl w:val="0"/>
          <w:numId w:val="0"/>
        </w:numPr>
        <w:bidi w:val="0"/>
        <w:rPr>
          <w:rFonts w:hint="eastAsia"/>
          <w:color w:val="000000" w:themeColor="text1"/>
          <w:highlight w:val="none"/>
          <w:lang w:val="en-US" w:eastAsia="zh-CN"/>
          <w14:textFill>
            <w14:solidFill>
              <w14:schemeClr w14:val="tx1"/>
            </w14:solidFill>
          </w14:textFill>
        </w:rPr>
        <w:sectPr>
          <w:headerReference r:id="rId5" w:type="default"/>
          <w:footerReference r:id="rId6" w:type="default"/>
          <w:pgSz w:w="11906" w:h="16838"/>
          <w:pgMar w:top="1440" w:right="1587" w:bottom="1440" w:left="1587" w:header="737" w:footer="850" w:gutter="0"/>
          <w:pgNumType w:fmt="decimal" w:start="1"/>
          <w:cols w:space="720" w:num="1"/>
          <w:docGrid w:type="lines" w:linePitch="410" w:charSpace="0"/>
        </w:sectPr>
      </w:pPr>
      <w:bookmarkStart w:id="19" w:name="_Toc21495"/>
      <w:bookmarkStart w:id="20" w:name="_Toc14195"/>
      <w:bookmarkStart w:id="21" w:name="_Toc11925"/>
      <w:bookmarkStart w:id="22" w:name="_Toc15563"/>
    </w:p>
    <w:p>
      <w:pPr>
        <w:pStyle w:val="4"/>
        <w:numPr>
          <w:ilvl w:val="0"/>
          <w:numId w:val="0"/>
        </w:num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（五）政策目标任务及完成情况</w:t>
      </w:r>
      <w:bookmarkEnd w:id="19"/>
      <w:bookmarkEnd w:id="20"/>
      <w:bookmarkEnd w:id="21"/>
      <w:bookmarkEnd w:id="22"/>
    </w:p>
    <w:p>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青岛市招商引资政策未制定相应的政策执行应该达到的绩效目标。针对于2017年-2019年招商引资项目应该完成的目标是以签约内资和合同外资为考核目标。现将2017年到2019年青岛市招商引资项目的考核目标及完成情况汇总如下。</w:t>
      </w:r>
    </w:p>
    <w:p>
      <w:pPr>
        <w:pStyle w:val="2"/>
        <w:ind w:left="0" w:leftChars="0" w:firstLine="0" w:firstLineChars="0"/>
        <w:jc w:val="center"/>
        <w:rPr>
          <w:rFonts w:hint="eastAsia" w:ascii="方正小标宋_GBK" w:hAnsi="方正小标宋_GBK" w:eastAsia="方正小标宋_GBK" w:cs="方正小标宋_GBK"/>
          <w:color w:val="000000" w:themeColor="text1"/>
          <w:kern w:val="2"/>
          <w:sz w:val="24"/>
          <w:szCs w:val="24"/>
          <w:highlight w:val="none"/>
          <w:lang w:val="en-US" w:eastAsia="zh-CN" w:bidi="ar-SA"/>
          <w14:textFill>
            <w14:solidFill>
              <w14:schemeClr w14:val="tx1"/>
            </w14:solidFill>
          </w14:textFill>
        </w:rPr>
      </w:pPr>
      <w:r>
        <w:rPr>
          <w:rFonts w:hint="eastAsia" w:ascii="方正小标宋_GBK" w:hAnsi="方正小标宋_GBK" w:eastAsia="方正小标宋_GBK" w:cs="方正小标宋_GBK"/>
          <w:color w:val="000000" w:themeColor="text1"/>
          <w:kern w:val="2"/>
          <w:sz w:val="24"/>
          <w:szCs w:val="24"/>
          <w:highlight w:val="none"/>
          <w:lang w:val="en-US" w:eastAsia="zh-CN" w:bidi="ar-SA"/>
          <w14:textFill>
            <w14:solidFill>
              <w14:schemeClr w14:val="tx1"/>
            </w14:solidFill>
          </w14:textFill>
        </w:rPr>
        <w:t>表2  青岛市2017-2019年招商引资项目绩效目标及完成情况汇总表</w:t>
      </w:r>
    </w:p>
    <w:tbl>
      <w:tblPr>
        <w:tblStyle w:val="11"/>
        <w:tblpPr w:leftFromText="180" w:rightFromText="180" w:vertAnchor="text" w:horzAnchor="page" w:tblpXSpec="center" w:tblpY="147"/>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877"/>
        <w:gridCol w:w="2877"/>
        <w:gridCol w:w="3189"/>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b w:val="0"/>
                <w:bCs w:val="0"/>
                <w:color w:val="000000" w:themeColor="text1"/>
                <w:sz w:val="18"/>
                <w:szCs w:val="18"/>
                <w:highlight w:val="none"/>
                <w:vertAlign w:val="baseline"/>
                <w:lang w:val="en-US" w:eastAsia="zh-CN"/>
                <w14:textFill>
                  <w14:solidFill>
                    <w14:schemeClr w14:val="tx1"/>
                  </w14:solidFill>
                </w14:textFill>
              </w:rPr>
            </w:pPr>
            <w:r>
              <w:rPr>
                <w:rFonts w:hint="eastAsia"/>
                <w:b w:val="0"/>
                <w:bCs w:val="0"/>
                <w:color w:val="000000" w:themeColor="text1"/>
                <w:sz w:val="18"/>
                <w:szCs w:val="18"/>
                <w:highlight w:val="none"/>
                <w:vertAlign w:val="baseline"/>
                <w:lang w:val="en-US" w:eastAsia="zh-CN"/>
                <w14:textFill>
                  <w14:solidFill>
                    <w14:schemeClr w14:val="tx1"/>
                  </w14:solidFill>
                </w14:textFill>
              </w:rPr>
              <w:t>年份</w:t>
            </w:r>
          </w:p>
        </w:tc>
        <w:tc>
          <w:tcPr>
            <w:tcW w:w="101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default"/>
                <w:b w:val="0"/>
                <w:bCs w:val="0"/>
                <w:color w:val="000000" w:themeColor="text1"/>
                <w:sz w:val="18"/>
                <w:szCs w:val="18"/>
                <w:highlight w:val="none"/>
                <w:vertAlign w:val="baseline"/>
                <w:lang w:val="en-US" w:eastAsia="zh-CN"/>
                <w14:textFill>
                  <w14:solidFill>
                    <w14:schemeClr w14:val="tx1"/>
                  </w14:solidFill>
                </w14:textFill>
              </w:rPr>
            </w:pPr>
            <w:r>
              <w:rPr>
                <w:rFonts w:hint="eastAsia" w:ascii="黑体" w:hAnsi="宋体" w:eastAsia="黑体" w:cs="黑体"/>
                <w:b w:val="0"/>
                <w:bCs w:val="0"/>
                <w:i w:val="0"/>
                <w:color w:val="000000" w:themeColor="text1"/>
                <w:kern w:val="0"/>
                <w:sz w:val="18"/>
                <w:szCs w:val="18"/>
                <w:highlight w:val="none"/>
                <w:u w:val="none"/>
                <w:lang w:val="en-US" w:eastAsia="zh-CN" w:bidi="ar"/>
                <w14:textFill>
                  <w14:solidFill>
                    <w14:schemeClr w14:val="tx1"/>
                  </w14:solidFill>
                </w14:textFill>
              </w:rPr>
              <w:t>内资目标（亿元）</w:t>
            </w:r>
          </w:p>
        </w:tc>
        <w:tc>
          <w:tcPr>
            <w:tcW w:w="101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default"/>
                <w:b w:val="0"/>
                <w:bCs w:val="0"/>
                <w:color w:val="000000" w:themeColor="text1"/>
                <w:sz w:val="18"/>
                <w:szCs w:val="18"/>
                <w:highlight w:val="none"/>
                <w:vertAlign w:val="baseline"/>
                <w:lang w:val="en-US" w:eastAsia="zh-CN"/>
                <w14:textFill>
                  <w14:solidFill>
                    <w14:schemeClr w14:val="tx1"/>
                  </w14:solidFill>
                </w14:textFill>
              </w:rPr>
            </w:pPr>
            <w:r>
              <w:rPr>
                <w:rFonts w:hint="eastAsia" w:ascii="黑体" w:hAnsi="宋体" w:eastAsia="黑体" w:cs="黑体"/>
                <w:b w:val="0"/>
                <w:bCs w:val="0"/>
                <w:i w:val="0"/>
                <w:color w:val="000000" w:themeColor="text1"/>
                <w:kern w:val="0"/>
                <w:sz w:val="18"/>
                <w:szCs w:val="18"/>
                <w:highlight w:val="none"/>
                <w:u w:val="none"/>
                <w:lang w:val="en-US" w:eastAsia="zh-CN" w:bidi="ar"/>
                <w14:textFill>
                  <w14:solidFill>
                    <w14:schemeClr w14:val="tx1"/>
                  </w14:solidFill>
                </w14:textFill>
              </w:rPr>
              <w:t>内资完成（亿元）</w:t>
            </w:r>
          </w:p>
        </w:tc>
        <w:tc>
          <w:tcPr>
            <w:tcW w:w="112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default"/>
                <w:b w:val="0"/>
                <w:bCs w:val="0"/>
                <w:color w:val="000000" w:themeColor="text1"/>
                <w:sz w:val="18"/>
                <w:szCs w:val="18"/>
                <w:highlight w:val="none"/>
                <w:vertAlign w:val="baseline"/>
                <w:lang w:val="en-US" w:eastAsia="zh-CN"/>
                <w14:textFill>
                  <w14:solidFill>
                    <w14:schemeClr w14:val="tx1"/>
                  </w14:solidFill>
                </w14:textFill>
              </w:rPr>
            </w:pPr>
            <w:r>
              <w:rPr>
                <w:rFonts w:hint="eastAsia" w:ascii="黑体" w:hAnsi="宋体" w:eastAsia="黑体" w:cs="黑体"/>
                <w:b w:val="0"/>
                <w:bCs w:val="0"/>
                <w:i w:val="0"/>
                <w:color w:val="000000" w:themeColor="text1"/>
                <w:kern w:val="0"/>
                <w:sz w:val="18"/>
                <w:szCs w:val="18"/>
                <w:highlight w:val="none"/>
                <w:u w:val="none"/>
                <w:lang w:val="en-US" w:eastAsia="zh-CN" w:bidi="ar"/>
                <w14:textFill>
                  <w14:solidFill>
                    <w14:schemeClr w14:val="tx1"/>
                  </w14:solidFill>
                </w14:textFill>
              </w:rPr>
              <w:t>外资目标（万美元）</w:t>
            </w:r>
          </w:p>
        </w:tc>
        <w:tc>
          <w:tcPr>
            <w:tcW w:w="112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default"/>
                <w:b w:val="0"/>
                <w:bCs w:val="0"/>
                <w:color w:val="000000" w:themeColor="text1"/>
                <w:sz w:val="18"/>
                <w:szCs w:val="18"/>
                <w:highlight w:val="none"/>
                <w:vertAlign w:val="baseline"/>
                <w:lang w:val="en-US" w:eastAsia="zh-CN"/>
                <w14:textFill>
                  <w14:solidFill>
                    <w14:schemeClr w14:val="tx1"/>
                  </w14:solidFill>
                </w14:textFill>
              </w:rPr>
            </w:pPr>
            <w:r>
              <w:rPr>
                <w:rFonts w:hint="eastAsia" w:ascii="黑体" w:hAnsi="宋体" w:eastAsia="黑体" w:cs="黑体"/>
                <w:b w:val="0"/>
                <w:bCs w:val="0"/>
                <w:i w:val="0"/>
                <w:color w:val="000000" w:themeColor="text1"/>
                <w:kern w:val="0"/>
                <w:sz w:val="18"/>
                <w:szCs w:val="18"/>
                <w:highlight w:val="none"/>
                <w:u w:val="none"/>
                <w:lang w:val="en-US" w:eastAsia="zh-CN" w:bidi="ar"/>
                <w14:textFill>
                  <w14:solidFill>
                    <w14:schemeClr w14:val="tx1"/>
                  </w14:solidFill>
                </w14:textFill>
              </w:rPr>
              <w:t>外资完成（万美元）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2017</w:t>
            </w:r>
          </w:p>
        </w:tc>
        <w:tc>
          <w:tcPr>
            <w:tcW w:w="101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无</w:t>
            </w:r>
          </w:p>
        </w:tc>
        <w:tc>
          <w:tcPr>
            <w:tcW w:w="101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无</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300000</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362638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2018</w:t>
            </w:r>
          </w:p>
        </w:tc>
        <w:tc>
          <w:tcPr>
            <w:tcW w:w="101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1100</w:t>
            </w:r>
          </w:p>
        </w:tc>
        <w:tc>
          <w:tcPr>
            <w:tcW w:w="1015" w:type="pct"/>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1345.01</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320000</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409963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pct"/>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2019</w:t>
            </w:r>
          </w:p>
        </w:tc>
        <w:tc>
          <w:tcPr>
            <w:tcW w:w="101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940</w:t>
            </w:r>
          </w:p>
        </w:tc>
        <w:tc>
          <w:tcPr>
            <w:tcW w:w="101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1100</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352000</w:t>
            </w:r>
          </w:p>
        </w:tc>
        <w:tc>
          <w:tcPr>
            <w:tcW w:w="112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bidi="ar"/>
                <w14:textFill>
                  <w14:solidFill>
                    <w14:schemeClr w14:val="tx1"/>
                  </w14:solidFill>
                </w14:textFill>
              </w:rPr>
              <w:t>478363</w:t>
            </w:r>
          </w:p>
        </w:tc>
      </w:tr>
    </w:tbl>
    <w:p>
      <w:pPr>
        <w:pStyle w:val="2"/>
        <w:ind w:left="0" w:leftChars="0" w:firstLine="0" w:firstLineChars="0"/>
        <w:rPr>
          <w:rFonts w:hint="default"/>
          <w:color w:val="000000" w:themeColor="text1"/>
          <w:highlight w:val="none"/>
          <w:lang w:val="en-US" w:eastAsia="zh-CN"/>
          <w14:textFill>
            <w14:solidFill>
              <w14:schemeClr w14:val="tx1"/>
            </w14:solidFill>
          </w14:textFill>
        </w:rPr>
        <w:sectPr>
          <w:pgSz w:w="16838" w:h="11906" w:orient="landscape"/>
          <w:pgMar w:top="1587" w:right="1440" w:bottom="1587" w:left="1440" w:header="737" w:footer="850" w:gutter="0"/>
          <w:pgNumType w:fmt="decimal"/>
          <w:cols w:space="720" w:num="1"/>
          <w:docGrid w:type="lines" w:linePitch="410" w:charSpace="0"/>
        </w:sectPr>
      </w:pPr>
    </w:p>
    <w:p>
      <w:pPr>
        <w:pStyle w:val="3"/>
        <w:bidi w:val="0"/>
        <w:rPr>
          <w:color w:val="000000" w:themeColor="text1"/>
          <w:highlight w:val="none"/>
          <w14:textFill>
            <w14:solidFill>
              <w14:schemeClr w14:val="tx1"/>
            </w14:solidFill>
          </w14:textFill>
        </w:rPr>
      </w:pPr>
      <w:bookmarkStart w:id="23" w:name="_Toc34756642"/>
      <w:bookmarkStart w:id="24" w:name="_Toc28642"/>
      <w:bookmarkStart w:id="25" w:name="_Toc26870"/>
      <w:bookmarkStart w:id="26" w:name="_Toc9083"/>
      <w:bookmarkStart w:id="27" w:name="_Toc24191"/>
      <w:bookmarkStart w:id="28" w:name="_Toc13257"/>
      <w:bookmarkStart w:id="29" w:name="_Toc10224"/>
      <w:r>
        <w:rPr>
          <w:rFonts w:hint="eastAsia"/>
          <w:color w:val="000000" w:themeColor="text1"/>
          <w:highlight w:val="none"/>
          <w14:textFill>
            <w14:solidFill>
              <w14:schemeClr w14:val="tx1"/>
            </w14:solidFill>
          </w14:textFill>
        </w:rPr>
        <w:t>二、绩效评价工作情况</w:t>
      </w:r>
      <w:bookmarkEnd w:id="23"/>
      <w:bookmarkEnd w:id="24"/>
      <w:bookmarkEnd w:id="25"/>
      <w:bookmarkEnd w:id="26"/>
      <w:bookmarkEnd w:id="27"/>
      <w:bookmarkEnd w:id="28"/>
      <w:bookmarkEnd w:id="29"/>
    </w:p>
    <w:p>
      <w:pPr>
        <w:pStyle w:val="4"/>
        <w:bidi w:val="0"/>
        <w:rPr>
          <w:color w:val="000000" w:themeColor="text1"/>
          <w:highlight w:val="none"/>
          <w14:textFill>
            <w14:solidFill>
              <w14:schemeClr w14:val="tx1"/>
            </w14:solidFill>
          </w14:textFill>
        </w:rPr>
      </w:pPr>
      <w:bookmarkStart w:id="30" w:name="_Toc26697"/>
      <w:bookmarkStart w:id="31" w:name="_Toc17500"/>
      <w:bookmarkStart w:id="32" w:name="_Toc25333"/>
      <w:bookmarkStart w:id="33" w:name="_Toc34756643"/>
      <w:bookmarkStart w:id="34" w:name="_Toc16039"/>
      <w:bookmarkStart w:id="35" w:name="_Toc21091"/>
      <w:bookmarkStart w:id="36" w:name="_Toc18200"/>
      <w:r>
        <w:rPr>
          <w:rFonts w:hint="eastAsia"/>
          <w:color w:val="000000" w:themeColor="text1"/>
          <w:highlight w:val="none"/>
          <w14:textFill>
            <w14:solidFill>
              <w14:schemeClr w14:val="tx1"/>
            </w14:solidFill>
          </w14:textFill>
        </w:rPr>
        <w:t>（一）绩效评价目的</w:t>
      </w:r>
      <w:bookmarkEnd w:id="30"/>
      <w:bookmarkEnd w:id="31"/>
      <w:bookmarkEnd w:id="32"/>
      <w:bookmarkEnd w:id="33"/>
      <w:bookmarkEnd w:id="34"/>
      <w:bookmarkEnd w:id="35"/>
      <w:bookmarkEnd w:id="36"/>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为实现全面绩效管理、提高</w:t>
      </w:r>
      <w:r>
        <w:rPr>
          <w:rFonts w:hint="eastAsia"/>
          <w:color w:val="000000" w:themeColor="text1"/>
          <w:highlight w:val="none"/>
          <w:lang w:eastAsia="zh-CN"/>
          <w14:textFill>
            <w14:solidFill>
              <w14:schemeClr w14:val="tx1"/>
            </w14:solidFill>
          </w14:textFill>
        </w:rPr>
        <w:t>招商引资专项</w:t>
      </w:r>
      <w:r>
        <w:rPr>
          <w:rFonts w:hint="eastAsia"/>
          <w:color w:val="000000" w:themeColor="text1"/>
          <w:highlight w:val="none"/>
          <w14:textFill>
            <w14:solidFill>
              <w14:schemeClr w14:val="tx1"/>
            </w14:solidFill>
          </w14:textFill>
        </w:rPr>
        <w:t>资金使用效果，对</w:t>
      </w:r>
      <w:r>
        <w:rPr>
          <w:rFonts w:hint="eastAsia"/>
          <w:color w:val="000000" w:themeColor="text1"/>
          <w:highlight w:val="none"/>
          <w:lang w:eastAsia="zh-CN"/>
          <w14:textFill>
            <w14:solidFill>
              <w14:schemeClr w14:val="tx1"/>
            </w14:solidFill>
          </w14:textFill>
        </w:rPr>
        <w:t>招商引资专项资金政策</w:t>
      </w:r>
      <w:r>
        <w:rPr>
          <w:rFonts w:hint="eastAsia"/>
          <w:color w:val="000000" w:themeColor="text1"/>
          <w:highlight w:val="none"/>
          <w14:textFill>
            <w14:solidFill>
              <w14:schemeClr w14:val="tx1"/>
            </w14:solidFill>
          </w14:textFill>
        </w:rPr>
        <w:t>进行绩效评价，目的是通过事前、事中</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事后</w:t>
      </w:r>
      <w:r>
        <w:rPr>
          <w:rFonts w:hint="eastAsia"/>
          <w:color w:val="000000" w:themeColor="text1"/>
          <w:highlight w:val="none"/>
          <w:lang w:eastAsia="zh-CN"/>
          <w14:textFill>
            <w14:solidFill>
              <w14:schemeClr w14:val="tx1"/>
            </w14:solidFill>
          </w14:textFill>
        </w:rPr>
        <w:t>全过程考量，对</w:t>
      </w:r>
      <w:r>
        <w:rPr>
          <w:rFonts w:hint="eastAsia"/>
          <w:color w:val="000000" w:themeColor="text1"/>
          <w:highlight w:val="none"/>
          <w14:textFill>
            <w14:solidFill>
              <w14:schemeClr w14:val="tx1"/>
            </w14:solidFill>
          </w14:textFill>
        </w:rPr>
        <w:t>政策制定、政策实施、政策</w:t>
      </w:r>
      <w:r>
        <w:rPr>
          <w:rFonts w:hint="eastAsia"/>
          <w:color w:val="000000" w:themeColor="text1"/>
          <w:highlight w:val="none"/>
          <w:lang w:eastAsia="zh-CN"/>
          <w14:textFill>
            <w14:solidFill>
              <w14:schemeClr w14:val="tx1"/>
            </w14:solidFill>
          </w14:textFill>
        </w:rPr>
        <w:t>效果进行科学合理的绩效评价，</w:t>
      </w:r>
      <w:r>
        <w:rPr>
          <w:rFonts w:hint="eastAsia"/>
          <w:color w:val="000000" w:themeColor="text1"/>
          <w:highlight w:val="none"/>
          <w14:textFill>
            <w14:solidFill>
              <w14:schemeClr w14:val="tx1"/>
            </w14:solidFill>
          </w14:textFill>
        </w:rPr>
        <w:t>以便查找</w:t>
      </w:r>
      <w:r>
        <w:rPr>
          <w:rFonts w:hint="eastAsia"/>
          <w:color w:val="000000" w:themeColor="text1"/>
          <w:highlight w:val="none"/>
          <w:lang w:eastAsia="zh-CN"/>
          <w14:textFill>
            <w14:solidFill>
              <w14:schemeClr w14:val="tx1"/>
            </w14:solidFill>
          </w14:textFill>
        </w:rPr>
        <w:t>政策制定、执行和效果中的不足，及时进行改进和完善，达到预期政策效果。</w:t>
      </w:r>
    </w:p>
    <w:p>
      <w:pPr>
        <w:pStyle w:val="4"/>
        <w:bidi w:val="0"/>
        <w:rPr>
          <w:color w:val="000000" w:themeColor="text1"/>
          <w:highlight w:val="none"/>
          <w14:textFill>
            <w14:solidFill>
              <w14:schemeClr w14:val="tx1"/>
            </w14:solidFill>
          </w14:textFill>
        </w:rPr>
      </w:pPr>
      <w:bookmarkStart w:id="37" w:name="_Toc18714"/>
      <w:bookmarkStart w:id="38" w:name="_Toc25276"/>
      <w:bookmarkStart w:id="39" w:name="_Toc6885"/>
      <w:bookmarkStart w:id="40" w:name="_Toc12389"/>
      <w:bookmarkStart w:id="41" w:name="_Toc1777"/>
      <w:bookmarkStart w:id="42" w:name="_Toc34756644"/>
      <w:bookmarkStart w:id="43" w:name="_Toc24039"/>
      <w:r>
        <w:rPr>
          <w:rFonts w:hint="eastAsia"/>
          <w:color w:val="000000" w:themeColor="text1"/>
          <w:highlight w:val="none"/>
          <w14:textFill>
            <w14:solidFill>
              <w14:schemeClr w14:val="tx1"/>
            </w14:solidFill>
          </w14:textFill>
        </w:rPr>
        <w:t>（二）绩效评价框架</w:t>
      </w:r>
      <w:bookmarkEnd w:id="37"/>
      <w:bookmarkEnd w:id="38"/>
      <w:bookmarkEnd w:id="39"/>
      <w:bookmarkEnd w:id="40"/>
      <w:bookmarkEnd w:id="41"/>
      <w:bookmarkEnd w:id="42"/>
      <w:bookmarkEnd w:id="43"/>
    </w:p>
    <w:p>
      <w:pPr>
        <w:bidi w:val="0"/>
        <w:rPr>
          <w:rFonts w:hint="default"/>
          <w:lang w:val="en-US" w:eastAsia="zh-CN"/>
        </w:rPr>
      </w:pPr>
      <w:r>
        <w:rPr>
          <w:rFonts w:hint="eastAsia"/>
        </w:rPr>
        <w:t>1.绩效评价原则</w:t>
      </w:r>
      <w:r>
        <w:rPr>
          <w:rFonts w:hint="eastAsia"/>
          <w:lang w:eastAsia="zh-CN"/>
        </w:rPr>
        <w:t>。</w:t>
      </w:r>
      <w:r>
        <w:rPr>
          <w:rFonts w:hint="eastAsia"/>
          <w:lang w:val="en-US" w:eastAsia="zh-CN"/>
        </w:rPr>
        <w:t>绩效评价主要坚持相关性原则、可比性原则、重要性原则、系统性原则、经济性原则等。</w:t>
      </w:r>
    </w:p>
    <w:p>
      <w:pPr>
        <w:bidi w:val="0"/>
        <w:rPr>
          <w:rFonts w:hint="eastAsia"/>
          <w:lang w:eastAsia="zh-CN"/>
        </w:rPr>
      </w:pPr>
      <w:r>
        <w:rPr>
          <w:rFonts w:hint="eastAsia"/>
          <w:lang w:val="en-US" w:eastAsia="zh-CN"/>
        </w:rPr>
        <w:t>2.评价依据。此次评价主要依据青岛市财政局</w:t>
      </w:r>
      <w:r>
        <w:rPr>
          <w:rFonts w:hint="eastAsia"/>
          <w:lang w:val="zh-TW" w:eastAsia="zh-CN"/>
        </w:rPr>
        <w:t>关于印发《</w:t>
      </w:r>
      <w:r>
        <w:rPr>
          <w:rFonts w:hint="eastAsia"/>
          <w:lang w:val="zh-TW" w:eastAsia="zh-TW"/>
        </w:rPr>
        <w:t>市级财政</w:t>
      </w:r>
      <w:r>
        <w:rPr>
          <w:rFonts w:hint="eastAsia"/>
          <w:lang w:val="zh-TW" w:eastAsia="zh-CN"/>
        </w:rPr>
        <w:t>绩效评价操作指南》的通知（</w:t>
      </w:r>
      <w:r>
        <w:rPr>
          <w:rFonts w:hint="eastAsia"/>
        </w:rPr>
        <w:t>青财绩〔</w:t>
      </w:r>
      <w:r>
        <w:t>20</w:t>
      </w:r>
      <w:r>
        <w:rPr>
          <w:rFonts w:hint="eastAsia"/>
        </w:rPr>
        <w:t>20〕6号</w:t>
      </w:r>
      <w:r>
        <w:rPr>
          <w:rFonts w:hint="eastAsia"/>
          <w:lang w:val="zh-TW" w:eastAsia="zh-CN"/>
        </w:rPr>
        <w:t>）</w:t>
      </w:r>
      <w:r>
        <w:rPr>
          <w:rFonts w:hint="eastAsia"/>
          <w:lang w:eastAsia="zh-CN"/>
        </w:rPr>
        <w:t>、</w:t>
      </w:r>
      <w:r>
        <w:rPr>
          <w:rFonts w:hint="eastAsia"/>
          <w:lang w:val="en-US" w:eastAsia="zh-CN"/>
        </w:rPr>
        <w:t>青岛市财政局</w:t>
      </w:r>
      <w:r>
        <w:rPr>
          <w:rFonts w:hint="eastAsia"/>
          <w:lang w:eastAsia="zh-CN"/>
        </w:rPr>
        <w:t>关于印发《关于加强市级财政专项资金预算绩效评价管理的意见》的通知（青财绩〔2019〕3号）、青岛市财政局</w:t>
      </w:r>
      <w:r>
        <w:rPr>
          <w:rFonts w:hint="eastAsia"/>
          <w:lang w:val="zh-TW" w:eastAsia="zh-CN"/>
        </w:rPr>
        <w:t>关于印发《</w:t>
      </w:r>
      <w:r>
        <w:rPr>
          <w:rFonts w:hint="eastAsia"/>
          <w:lang w:val="zh-TW" w:eastAsia="zh-TW"/>
        </w:rPr>
        <w:t>市级</w:t>
      </w:r>
      <w:r>
        <w:rPr>
          <w:rFonts w:hint="eastAsia"/>
          <w:lang w:val="zh-TW" w:eastAsia="zh-CN"/>
        </w:rPr>
        <w:t>项目支出部门绩效评价操作规程》的通知（</w:t>
      </w:r>
      <w:r>
        <w:rPr>
          <w:rFonts w:hint="eastAsia"/>
          <w:lang w:eastAsia="zh-CN"/>
        </w:rPr>
        <w:t>青财绩〔2020〕8号</w:t>
      </w:r>
      <w:r>
        <w:rPr>
          <w:rFonts w:hint="eastAsia"/>
          <w:lang w:val="zh-TW" w:eastAsia="zh-CN"/>
        </w:rPr>
        <w:t>）、</w:t>
      </w:r>
      <w:r>
        <w:rPr>
          <w:rFonts w:hint="eastAsia"/>
          <w:lang w:eastAsia="zh-CN"/>
        </w:rPr>
        <w:t>项目主管部门按照本次绩效评价的通知、要求提供的基础资料等获得的资料。</w:t>
      </w:r>
    </w:p>
    <w:p>
      <w:pPr>
        <w:bidi w:val="0"/>
        <w:rPr>
          <w:rFonts w:hint="eastAsia"/>
          <w:lang w:val="en-US" w:eastAsia="zh-CN"/>
        </w:rPr>
      </w:pPr>
      <w:r>
        <w:rPr>
          <w:rFonts w:hint="eastAsia"/>
          <w:lang w:val="en-US" w:eastAsia="zh-CN"/>
        </w:rPr>
        <w:t>3.评价方法</w:t>
      </w:r>
    </w:p>
    <w:p>
      <w:pPr>
        <w:bidi w:val="0"/>
        <w:rPr>
          <w:rFonts w:hint="eastAsia"/>
          <w:lang w:eastAsia="zh-CN"/>
        </w:rPr>
      </w:pPr>
      <w:r>
        <w:rPr>
          <w:rFonts w:hint="eastAsia"/>
          <w:lang w:eastAsia="zh-CN"/>
        </w:rPr>
        <w:t>结合政策评价的工作要求，本次政策评价主要采用定性和定量的方法、共性和个性指标综合分析方法、文件研究法、电话抽查与实地走访方法、调查问卷法、成本效益方法等，力求评价结论客观准确。</w:t>
      </w:r>
    </w:p>
    <w:p>
      <w:pPr>
        <w:bidi w:val="0"/>
        <w:rPr>
          <w:rFonts w:hint="eastAsia"/>
          <w:lang w:eastAsia="zh-CN"/>
        </w:rPr>
      </w:pPr>
      <w:r>
        <w:rPr>
          <w:rFonts w:hint="eastAsia"/>
          <w:lang w:val="en-US" w:eastAsia="zh-CN"/>
        </w:rPr>
        <w:t>4</w:t>
      </w:r>
      <w:r>
        <w:rPr>
          <w:rFonts w:hint="eastAsia"/>
          <w:lang w:eastAsia="zh-CN"/>
        </w:rPr>
        <w:t>.评价指标体系</w:t>
      </w:r>
    </w:p>
    <w:p>
      <w:pPr>
        <w:bidi w:val="0"/>
        <w:rPr>
          <w:rFonts w:hint="eastAsia"/>
          <w:lang w:val="en-US" w:eastAsia="zh-CN"/>
        </w:rPr>
      </w:pPr>
      <w:r>
        <w:rPr>
          <w:rFonts w:hint="eastAsia"/>
          <w:lang w:eastAsia="zh-CN"/>
        </w:rPr>
        <w:t>根据</w:t>
      </w:r>
      <w:r>
        <w:rPr>
          <w:rFonts w:hint="eastAsia"/>
          <w:lang w:val="en-US" w:eastAsia="zh-CN"/>
        </w:rPr>
        <w:t>青岛市财政局</w:t>
      </w:r>
      <w:r>
        <w:rPr>
          <w:rFonts w:hint="eastAsia"/>
          <w:lang w:val="zh-TW" w:eastAsia="zh-CN"/>
        </w:rPr>
        <w:t>关于印发《</w:t>
      </w:r>
      <w:r>
        <w:rPr>
          <w:rFonts w:hint="eastAsia"/>
          <w:lang w:val="zh-TW" w:eastAsia="zh-TW"/>
        </w:rPr>
        <w:t>市级财政</w:t>
      </w:r>
      <w:r>
        <w:rPr>
          <w:rFonts w:hint="eastAsia"/>
          <w:lang w:val="zh-TW" w:eastAsia="zh-CN"/>
        </w:rPr>
        <w:t>绩效评价操作指南》的通知（</w:t>
      </w:r>
      <w:r>
        <w:rPr>
          <w:rFonts w:hint="eastAsia"/>
          <w:lang w:val="en-US" w:eastAsia="zh-CN"/>
        </w:rPr>
        <w:t>青财绩〔2020〕6号</w:t>
      </w:r>
      <w:r>
        <w:rPr>
          <w:rFonts w:hint="eastAsia"/>
          <w:lang w:val="zh-TW" w:eastAsia="zh-CN"/>
        </w:rPr>
        <w:t>）</w:t>
      </w:r>
      <w:r>
        <w:rPr>
          <w:rFonts w:hint="eastAsia"/>
          <w:lang w:eastAsia="zh-CN"/>
        </w:rPr>
        <w:t>等相关文件的规定，研究制定了《201</w:t>
      </w:r>
      <w:r>
        <w:rPr>
          <w:rFonts w:hint="eastAsia"/>
          <w:lang w:val="en-US" w:eastAsia="zh-CN"/>
        </w:rPr>
        <w:t>7</w:t>
      </w:r>
      <w:r>
        <w:rPr>
          <w:rFonts w:hint="eastAsia"/>
          <w:lang w:eastAsia="zh-CN"/>
        </w:rPr>
        <w:t>年-201</w:t>
      </w:r>
      <w:r>
        <w:rPr>
          <w:rFonts w:hint="eastAsia"/>
          <w:lang w:val="en-US" w:eastAsia="zh-CN"/>
        </w:rPr>
        <w:t>9</w:t>
      </w:r>
      <w:r>
        <w:rPr>
          <w:rFonts w:hint="eastAsia"/>
          <w:lang w:eastAsia="zh-CN"/>
        </w:rPr>
        <w:t>年青岛市招商引资专项资金政策绩效评价指标体系》，评价内容包括政策制定、政策执行、政策效果</w:t>
      </w:r>
      <w:r>
        <w:rPr>
          <w:rFonts w:hint="eastAsia"/>
          <w:lang w:val="en-US" w:eastAsia="zh-CN"/>
        </w:rPr>
        <w:t>3</w:t>
      </w:r>
      <w:r>
        <w:rPr>
          <w:rFonts w:hint="eastAsia"/>
          <w:lang w:eastAsia="zh-CN"/>
        </w:rPr>
        <w:t>个一级指标、</w:t>
      </w:r>
      <w:r>
        <w:rPr>
          <w:rFonts w:hint="eastAsia"/>
          <w:lang w:val="en-US" w:eastAsia="zh-CN"/>
        </w:rPr>
        <w:t>11个二级指标</w:t>
      </w:r>
      <w:r>
        <w:rPr>
          <w:rFonts w:hint="eastAsia"/>
          <w:lang w:eastAsia="zh-CN"/>
        </w:rPr>
        <w:t>和</w:t>
      </w:r>
      <w:r>
        <w:rPr>
          <w:rFonts w:hint="eastAsia"/>
          <w:lang w:val="en-US" w:eastAsia="zh-CN"/>
        </w:rPr>
        <w:t>28个三级指标，其中效果方面增设了四级指标。</w:t>
      </w:r>
    </w:p>
    <w:p>
      <w:pPr>
        <w:bidi w:val="0"/>
        <w:rPr>
          <w:rFonts w:hint="eastAsia"/>
          <w:lang w:val="en-US" w:eastAsia="zh-CN"/>
        </w:rPr>
      </w:pPr>
      <w:r>
        <w:rPr>
          <w:rFonts w:hint="eastAsia"/>
          <w:lang w:val="en-US" w:eastAsia="zh-CN"/>
        </w:rPr>
        <w:t>5.评价标准</w:t>
      </w:r>
    </w:p>
    <w:p>
      <w:pPr>
        <w:bidi w:val="0"/>
        <w:rPr>
          <w:rFonts w:hint="default"/>
          <w:lang w:val="en-US" w:eastAsia="zh-CN"/>
        </w:rPr>
      </w:pPr>
      <w:r>
        <w:rPr>
          <w:rFonts w:hint="eastAsia"/>
          <w:lang w:val="en-US" w:eastAsia="zh-CN"/>
        </w:rPr>
        <w:t>本次政策评价综合绩效级别依据青岛市财政局</w:t>
      </w:r>
      <w:r>
        <w:rPr>
          <w:rFonts w:hint="eastAsia"/>
          <w:lang w:val="zh-TW" w:eastAsia="zh-CN"/>
        </w:rPr>
        <w:t>关于印发《</w:t>
      </w:r>
      <w:r>
        <w:rPr>
          <w:rFonts w:hint="eastAsia"/>
          <w:lang w:val="zh-TW" w:eastAsia="zh-TW"/>
        </w:rPr>
        <w:t>市级财政</w:t>
      </w:r>
      <w:r>
        <w:rPr>
          <w:rFonts w:hint="eastAsia"/>
          <w:lang w:val="zh-TW" w:eastAsia="zh-CN"/>
        </w:rPr>
        <w:t>绩效评价操作指南》的通知（</w:t>
      </w:r>
      <w:r>
        <w:rPr>
          <w:rFonts w:hint="eastAsia"/>
          <w:lang w:val="en-US" w:eastAsia="zh-CN"/>
        </w:rPr>
        <w:t>青财绩〔2020〕6号</w:t>
      </w:r>
      <w:r>
        <w:rPr>
          <w:rFonts w:hint="eastAsia"/>
          <w:lang w:val="zh-TW" w:eastAsia="zh-CN"/>
        </w:rPr>
        <w:t>）</w:t>
      </w:r>
      <w:r>
        <w:rPr>
          <w:rFonts w:hint="eastAsia"/>
          <w:lang w:val="en-US" w:eastAsia="zh-CN"/>
        </w:rPr>
        <w:t>文件确定，分为4个等级：总分一般设置为100分，等级一般划分为四档：综合得分90（含）-100分为优；综合得分80（含）-90分为良；综合得分70（含）-80分为中；综合得分70分以下为差。</w:t>
      </w:r>
    </w:p>
    <w:p>
      <w:pPr>
        <w:pStyle w:val="3"/>
        <w:bidi w:val="0"/>
        <w:rPr>
          <w:rFonts w:hint="eastAsia"/>
        </w:rPr>
      </w:pPr>
      <w:bookmarkStart w:id="44" w:name="_Toc34756647"/>
      <w:bookmarkStart w:id="45" w:name="_Toc12286"/>
      <w:bookmarkStart w:id="46" w:name="_Toc30461"/>
      <w:bookmarkStart w:id="47" w:name="_Toc29297"/>
      <w:bookmarkStart w:id="48" w:name="_Toc30609"/>
      <w:bookmarkStart w:id="49" w:name="_Toc14096"/>
      <w:bookmarkStart w:id="50" w:name="_Toc9911"/>
      <w:r>
        <w:rPr>
          <w:rFonts w:hint="eastAsia"/>
        </w:rPr>
        <w:t>三、评价结论</w:t>
      </w:r>
      <w:bookmarkEnd w:id="44"/>
      <w:r>
        <w:rPr>
          <w:rFonts w:hint="eastAsia"/>
        </w:rPr>
        <w:t>及</w:t>
      </w:r>
      <w:r>
        <w:rPr>
          <w:rFonts w:hint="eastAsia"/>
          <w:lang w:eastAsia="zh-CN"/>
        </w:rPr>
        <w:t>具体</w:t>
      </w:r>
      <w:r>
        <w:rPr>
          <w:rFonts w:hint="eastAsia"/>
        </w:rPr>
        <w:t>绩效分析</w:t>
      </w:r>
      <w:bookmarkEnd w:id="45"/>
      <w:bookmarkEnd w:id="46"/>
      <w:bookmarkEnd w:id="47"/>
      <w:bookmarkEnd w:id="48"/>
      <w:bookmarkEnd w:id="49"/>
      <w:bookmarkEnd w:id="50"/>
    </w:p>
    <w:p>
      <w:pPr>
        <w:pStyle w:val="4"/>
        <w:bidi w:val="0"/>
        <w:rPr>
          <w:rFonts w:hint="eastAsia"/>
          <w:lang w:val="en-US" w:eastAsia="zh-CN"/>
        </w:rPr>
      </w:pPr>
      <w:bookmarkStart w:id="51" w:name="_Toc12430"/>
      <w:bookmarkStart w:id="52" w:name="_Toc1154"/>
      <w:bookmarkStart w:id="53" w:name="_Toc10230"/>
      <w:bookmarkStart w:id="54" w:name="_Toc28874"/>
      <w:bookmarkStart w:id="55" w:name="_Toc19836"/>
      <w:bookmarkStart w:id="56" w:name="_Toc3285"/>
      <w:r>
        <w:rPr>
          <w:rFonts w:hint="eastAsia"/>
          <w:lang w:val="en-US" w:eastAsia="zh-CN"/>
        </w:rPr>
        <w:t>（一）评价结论</w:t>
      </w:r>
      <w:bookmarkEnd w:id="51"/>
      <w:bookmarkEnd w:id="52"/>
      <w:bookmarkEnd w:id="53"/>
      <w:bookmarkEnd w:id="54"/>
      <w:bookmarkEnd w:id="55"/>
      <w:bookmarkEnd w:id="56"/>
    </w:p>
    <w:p>
      <w:pPr>
        <w:rPr>
          <w:rFonts w:hint="eastAsia"/>
          <w:color w:val="auto"/>
          <w:highlight w:val="none"/>
          <w:lang w:val="en-US" w:eastAsia="zh-CN"/>
        </w:rPr>
        <w:sectPr>
          <w:headerReference r:id="rId7" w:type="default"/>
          <w:footerReference r:id="rId9" w:type="default"/>
          <w:headerReference r:id="rId8"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val="en-US" w:eastAsia="zh-CN"/>
        </w:rPr>
        <w:t>该政策三年得分分别为65.9分、79.08分、79.42分，平均成绩74.79分，评价等级为“中”，政策基本有效。其中，政策制定合理，政策设立规范、调研充分和内容完整，扣分点主要集中于2017年未制定内资政策目标任务，无法判断其政策目标的合理性。2017年未提供相关的招商经费分配方法。2018年和2019年每年内外资均按照一定比例的幅度上浮任务目标，目标任务合理性缺乏有效测算验证。任务目标以“签约内资和合同外资”作为政策目标的考核依据，而非以到位资金、多元化的任务目标来作为政策目标。政策执行一般，主要扣分点在于政策的相关管理制度和监督制度部分缺失，如跟踪调度机制缺失</w:t>
      </w:r>
    </w:p>
    <w:p>
      <w:pPr>
        <w:ind w:left="0" w:leftChars="0" w:firstLine="0" w:firstLineChars="0"/>
        <w:rPr>
          <w:rFonts w:hint="eastAsia"/>
          <w:color w:val="auto"/>
          <w:highlight w:val="none"/>
          <w:lang w:val="en-US" w:eastAsia="zh-CN"/>
        </w:rPr>
      </w:pPr>
      <w:r>
        <w:rPr>
          <w:rFonts w:hint="eastAsia"/>
          <w:color w:val="auto"/>
          <w:highlight w:val="none"/>
          <w:lang w:val="en-US" w:eastAsia="zh-CN"/>
        </w:rPr>
        <w:t>等。政策执行效果一般，主要扣分点在于该政策的质量，如税收、就业、营业收入增长率等由于未能有效跟踪，未完整提供相关数据，导致政策执行效果一般。政策执行满意度较高，扣分点主要是部分专业招商团队对考核指标单一、经费使用范围等不满意。政策执行示范性较好，扣分点主要在于对市直部门和定向招商团队分类管理，结合产业需求进行分类招商，具有推广价值，但尚未形成一套系统可推广的方案，辐射作用尚未出现。</w:t>
      </w:r>
    </w:p>
    <w:p>
      <w:pPr>
        <w:pStyle w:val="2"/>
        <w:ind w:left="0" w:leftChars="0" w:firstLine="0" w:firstLineChars="0"/>
        <w:jc w:val="center"/>
        <w:rPr>
          <w:rFonts w:hint="default" w:ascii="方正小标宋_GBK" w:hAnsi="Times New Roman" w:eastAsia="方正小标宋_GBK" w:cs="Times New Roman"/>
          <w:color w:val="auto"/>
          <w:spacing w:val="-4"/>
          <w:kern w:val="2"/>
          <w:sz w:val="24"/>
          <w:szCs w:val="24"/>
          <w:highlight w:val="none"/>
          <w:lang w:val="en-US" w:eastAsia="zh-CN" w:bidi="ar-SA"/>
        </w:rPr>
      </w:pPr>
      <w:bookmarkStart w:id="57" w:name="_Toc3162"/>
      <w:bookmarkStart w:id="58" w:name="_Toc31018"/>
      <w:bookmarkStart w:id="59" w:name="_Toc11638"/>
      <w:bookmarkStart w:id="60" w:name="_Toc30384"/>
      <w:bookmarkStart w:id="61" w:name="_Toc32284"/>
      <w:bookmarkStart w:id="62" w:name="_Toc5831"/>
      <w:bookmarkStart w:id="63" w:name="_Toc34756648"/>
      <w:r>
        <w:rPr>
          <w:rFonts w:hint="eastAsia" w:ascii="方正小标宋_GBK" w:hAnsi="Times New Roman" w:eastAsia="方正小标宋_GBK" w:cs="Times New Roman"/>
          <w:color w:val="auto"/>
          <w:spacing w:val="-4"/>
          <w:kern w:val="2"/>
          <w:sz w:val="24"/>
          <w:szCs w:val="24"/>
          <w:highlight w:val="none"/>
          <w:lang w:val="en-US" w:eastAsia="zh-CN" w:bidi="ar-SA"/>
        </w:rPr>
        <w:t>表</w:t>
      </w:r>
      <w:r>
        <w:rPr>
          <w:rFonts w:hint="eastAsia" w:ascii="方正小标宋_GBK" w:eastAsia="方正小标宋_GBK" w:cs="Times New Roman"/>
          <w:color w:val="auto"/>
          <w:spacing w:val="-4"/>
          <w:kern w:val="2"/>
          <w:sz w:val="24"/>
          <w:szCs w:val="24"/>
          <w:highlight w:val="none"/>
          <w:lang w:val="en-US" w:eastAsia="zh-CN" w:bidi="ar-SA"/>
        </w:rPr>
        <w:t>3</w:t>
      </w:r>
      <w:r>
        <w:rPr>
          <w:rFonts w:hint="eastAsia" w:ascii="方正小标宋_GBK" w:hAnsi="Times New Roman" w:eastAsia="方正小标宋_GBK" w:cs="Times New Roman"/>
          <w:color w:val="auto"/>
          <w:spacing w:val="-4"/>
          <w:kern w:val="2"/>
          <w:sz w:val="24"/>
          <w:szCs w:val="24"/>
          <w:highlight w:val="none"/>
          <w:lang w:val="en-US" w:eastAsia="zh-CN" w:bidi="ar-SA"/>
        </w:rPr>
        <w:t xml:space="preserve">  招商引资政策绩效评价结论</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98"/>
        <w:gridCol w:w="1691"/>
        <w:gridCol w:w="1089"/>
        <w:gridCol w:w="1307"/>
        <w:gridCol w:w="1307"/>
        <w:gridCol w:w="1307"/>
        <w:gridCol w:w="2583"/>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rPr>
              <w:t>评价指标类别</w:t>
            </w:r>
          </w:p>
        </w:tc>
        <w:tc>
          <w:tcPr>
            <w:tcW w:w="59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rPr>
            </w:pPr>
            <w:r>
              <w:rPr>
                <w:rFonts w:hint="eastAsia" w:ascii="黑体" w:hAnsi="黑体" w:eastAsia="黑体" w:cs="黑体"/>
                <w:b w:val="0"/>
                <w:bCs/>
                <w:color w:val="auto"/>
                <w:kern w:val="0"/>
                <w:sz w:val="21"/>
                <w:szCs w:val="21"/>
                <w:highlight w:val="none"/>
              </w:rPr>
              <w:t>所赋分值</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2017</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2018</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2019</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val="en-US" w:eastAsia="zh-CN"/>
              </w:rPr>
            </w:pPr>
            <w:r>
              <w:rPr>
                <w:rFonts w:hint="eastAsia" w:ascii="黑体" w:hAnsi="黑体" w:eastAsia="黑体" w:cs="黑体"/>
                <w:b w:val="0"/>
                <w:bCs/>
                <w:color w:val="auto"/>
                <w:kern w:val="0"/>
                <w:sz w:val="21"/>
                <w:szCs w:val="21"/>
                <w:highlight w:val="none"/>
                <w:lang w:val="en-US" w:eastAsia="zh-CN"/>
              </w:rPr>
              <w:t>平均</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val="en-US" w:eastAsia="zh-CN"/>
              </w:rPr>
              <w:t>得分率</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黑体" w:eastAsia="黑体" w:cs="黑体"/>
                <w:b w:val="0"/>
                <w:bCs/>
                <w:color w:val="auto"/>
                <w:kern w:val="0"/>
                <w:sz w:val="21"/>
                <w:szCs w:val="21"/>
                <w:highlight w:val="none"/>
                <w:lang w:val="en-US" w:eastAsia="zh-CN" w:bidi="ar-SA"/>
              </w:rPr>
            </w:pPr>
            <w:r>
              <w:rPr>
                <w:rFonts w:hint="eastAsia" w:ascii="黑体" w:hAnsi="黑体" w:eastAsia="黑体" w:cs="黑体"/>
                <w:b w:val="0"/>
                <w:bCs/>
                <w:color w:val="auto"/>
                <w:kern w:val="0"/>
                <w:sz w:val="21"/>
                <w:szCs w:val="21"/>
                <w:highlight w:val="none"/>
              </w:rPr>
              <w:t>评述与等级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政策制定</w:t>
            </w:r>
          </w:p>
        </w:tc>
        <w:tc>
          <w:tcPr>
            <w:tcW w:w="59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18</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5</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17</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17</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6.33</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90.74</w:t>
            </w:r>
            <w:r>
              <w:rPr>
                <w:rFonts w:hint="eastAsia" w:ascii="仿宋" w:hAnsi="仿宋" w:eastAsia="仿宋" w:cs="仿宋"/>
                <w:color w:val="auto"/>
                <w:kern w:val="0"/>
                <w:sz w:val="21"/>
                <w:szCs w:val="21"/>
                <w:highlight w:val="none"/>
                <w:lang w:val="en-US" w:eastAsia="zh-CN"/>
              </w:rPr>
              <w:t>%</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政策制定合理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政策执行</w:t>
            </w:r>
          </w:p>
        </w:tc>
        <w:tc>
          <w:tcPr>
            <w:tcW w:w="59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22</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14.7</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17.2</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16.7</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16.</w:t>
            </w:r>
            <w:r>
              <w:rPr>
                <w:rFonts w:hint="eastAsia" w:ascii="仿宋" w:hAnsi="仿宋" w:cs="仿宋"/>
                <w:color w:val="auto"/>
                <w:kern w:val="0"/>
                <w:sz w:val="21"/>
                <w:szCs w:val="21"/>
                <w:highlight w:val="none"/>
                <w:lang w:val="en-US" w:eastAsia="zh-CN"/>
              </w:rPr>
              <w:t>2</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73.</w:t>
            </w:r>
            <w:r>
              <w:rPr>
                <w:rFonts w:hint="eastAsia" w:ascii="仿宋" w:hAnsi="仿宋" w:cs="仿宋"/>
                <w:color w:val="auto"/>
                <w:kern w:val="0"/>
                <w:sz w:val="21"/>
                <w:szCs w:val="21"/>
                <w:highlight w:val="none"/>
                <w:lang w:val="en-US" w:eastAsia="zh-CN"/>
              </w:rPr>
              <w:t>63</w:t>
            </w:r>
            <w:r>
              <w:rPr>
                <w:rFonts w:hint="eastAsia" w:ascii="仿宋" w:hAnsi="仿宋" w:eastAsia="仿宋" w:cs="仿宋"/>
                <w:color w:val="auto"/>
                <w:kern w:val="0"/>
                <w:sz w:val="21"/>
                <w:szCs w:val="21"/>
                <w:highlight w:val="none"/>
                <w:lang w:val="en-US" w:eastAsia="zh-CN"/>
              </w:rPr>
              <w:t>%</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政策执行</w:t>
            </w:r>
            <w:r>
              <w:rPr>
                <w:rFonts w:hint="eastAsia" w:ascii="仿宋" w:hAnsi="仿宋" w:eastAsia="仿宋" w:cs="仿宋"/>
                <w:color w:val="auto"/>
                <w:kern w:val="0"/>
                <w:sz w:val="21"/>
                <w:szCs w:val="21"/>
                <w:highlight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政策</w:t>
            </w:r>
            <w:r>
              <w:rPr>
                <w:rFonts w:hint="eastAsia" w:ascii="仿宋" w:hAnsi="仿宋" w:eastAsia="仿宋" w:cs="仿宋"/>
                <w:color w:val="auto"/>
                <w:kern w:val="0"/>
                <w:sz w:val="21"/>
                <w:szCs w:val="21"/>
                <w:highlight w:val="none"/>
                <w:lang w:val="en-US" w:eastAsia="zh-CN"/>
              </w:rPr>
              <w:t>执行效果</w:t>
            </w:r>
          </w:p>
        </w:tc>
        <w:tc>
          <w:tcPr>
            <w:tcW w:w="59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40</w:t>
            </w:r>
          </w:p>
        </w:tc>
        <w:tc>
          <w:tcPr>
            <w:tcW w:w="38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18</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r>
              <w:rPr>
                <w:rFonts w:hint="eastAsia" w:ascii="仿宋" w:hAnsi="仿宋" w:cs="仿宋"/>
                <w:color w:val="auto"/>
                <w:kern w:val="0"/>
                <w:sz w:val="21"/>
                <w:szCs w:val="21"/>
                <w:highlight w:val="none"/>
                <w:lang w:val="en-US" w:eastAsia="zh-CN"/>
              </w:rPr>
              <w:t>6.68</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r>
              <w:rPr>
                <w:rFonts w:hint="eastAsia" w:ascii="仿宋" w:hAnsi="仿宋" w:cs="仿宋"/>
                <w:color w:val="auto"/>
                <w:kern w:val="0"/>
                <w:sz w:val="21"/>
                <w:szCs w:val="21"/>
                <w:highlight w:val="none"/>
                <w:lang w:val="en-US" w:eastAsia="zh-CN"/>
              </w:rPr>
              <w:t>7.52</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24.07</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60.17</w:t>
            </w:r>
            <w:r>
              <w:rPr>
                <w:rFonts w:hint="eastAsia" w:ascii="仿宋" w:hAnsi="仿宋" w:eastAsia="仿宋" w:cs="仿宋"/>
                <w:color w:val="auto"/>
                <w:kern w:val="0"/>
                <w:sz w:val="21"/>
                <w:szCs w:val="21"/>
                <w:highlight w:val="none"/>
                <w:lang w:val="en-US" w:eastAsia="zh-CN"/>
              </w:rPr>
              <w:t>%</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eastAsia="zh-CN"/>
              </w:rPr>
              <w:t>政策效益</w:t>
            </w:r>
            <w:r>
              <w:rPr>
                <w:rFonts w:hint="eastAsia" w:ascii="仿宋" w:hAnsi="仿宋" w:eastAsia="仿宋" w:cs="仿宋"/>
                <w:color w:val="auto"/>
                <w:kern w:val="0"/>
                <w:sz w:val="21"/>
                <w:szCs w:val="21"/>
                <w:highlight w:val="none"/>
                <w:lang w:val="en-US"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政策</w:t>
            </w:r>
            <w:r>
              <w:rPr>
                <w:rFonts w:hint="eastAsia" w:ascii="仿宋" w:hAnsi="仿宋" w:eastAsia="仿宋" w:cs="仿宋"/>
                <w:color w:val="auto"/>
                <w:kern w:val="0"/>
                <w:sz w:val="21"/>
                <w:szCs w:val="21"/>
                <w:highlight w:val="none"/>
                <w:lang w:val="en-US" w:eastAsia="zh-CN"/>
              </w:rPr>
              <w:t>执行</w:t>
            </w:r>
            <w:r>
              <w:rPr>
                <w:rFonts w:hint="eastAsia" w:ascii="仿宋" w:hAnsi="仿宋" w:eastAsia="仿宋" w:cs="仿宋"/>
                <w:color w:val="auto"/>
                <w:kern w:val="0"/>
                <w:sz w:val="21"/>
                <w:szCs w:val="21"/>
                <w:highlight w:val="none"/>
                <w:lang w:eastAsia="zh-CN"/>
              </w:rPr>
              <w:t>满意度</w:t>
            </w:r>
          </w:p>
        </w:tc>
        <w:tc>
          <w:tcPr>
            <w:tcW w:w="597"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8</w:t>
            </w:r>
          </w:p>
        </w:tc>
        <w:tc>
          <w:tcPr>
            <w:tcW w:w="384"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r>
              <w:rPr>
                <w:rFonts w:hint="eastAsia" w:ascii="仿宋" w:hAnsi="仿宋" w:cs="仿宋"/>
                <w:color w:val="auto"/>
                <w:kern w:val="0"/>
                <w:sz w:val="21"/>
                <w:szCs w:val="21"/>
                <w:highlight w:val="none"/>
                <w:lang w:val="en-US" w:eastAsia="zh-CN"/>
              </w:rPr>
              <w:t>.2</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r>
              <w:rPr>
                <w:rFonts w:hint="eastAsia" w:ascii="仿宋" w:hAnsi="仿宋" w:cs="仿宋"/>
                <w:color w:val="auto"/>
                <w:kern w:val="0"/>
                <w:sz w:val="21"/>
                <w:szCs w:val="21"/>
                <w:highlight w:val="none"/>
                <w:lang w:val="en-US" w:eastAsia="zh-CN"/>
              </w:rPr>
              <w:t>.2</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r>
              <w:rPr>
                <w:rFonts w:hint="eastAsia" w:ascii="仿宋" w:hAnsi="仿宋" w:cs="仿宋"/>
                <w:color w:val="auto"/>
                <w:kern w:val="0"/>
                <w:sz w:val="21"/>
                <w:szCs w:val="21"/>
                <w:highlight w:val="none"/>
                <w:lang w:val="en-US" w:eastAsia="zh-CN"/>
              </w:rPr>
              <w:t>.2</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w:t>
            </w:r>
            <w:r>
              <w:rPr>
                <w:rFonts w:hint="eastAsia" w:ascii="仿宋" w:hAnsi="仿宋" w:cs="仿宋"/>
                <w:color w:val="auto"/>
                <w:kern w:val="0"/>
                <w:sz w:val="21"/>
                <w:szCs w:val="21"/>
                <w:highlight w:val="none"/>
                <w:lang w:val="en-US" w:eastAsia="zh-CN"/>
              </w:rPr>
              <w:t>.2</w:t>
            </w:r>
          </w:p>
        </w:tc>
        <w:tc>
          <w:tcPr>
            <w:tcW w:w="9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90</w:t>
            </w:r>
            <w:r>
              <w:rPr>
                <w:rFonts w:hint="eastAsia" w:ascii="仿宋" w:hAnsi="仿宋" w:eastAsia="仿宋" w:cs="仿宋"/>
                <w:color w:val="auto"/>
                <w:kern w:val="0"/>
                <w:sz w:val="21"/>
                <w:szCs w:val="21"/>
                <w:highlight w:val="none"/>
                <w:lang w:val="en-US" w:eastAsia="zh-CN"/>
              </w:rPr>
              <w:t>%</w:t>
            </w:r>
          </w:p>
        </w:tc>
        <w:tc>
          <w:tcPr>
            <w:tcW w:w="9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政策满意度</w:t>
            </w:r>
            <w:r>
              <w:rPr>
                <w:rFonts w:hint="eastAsia" w:ascii="仿宋" w:hAnsi="仿宋" w:eastAsia="仿宋" w:cs="仿宋"/>
                <w:color w:val="auto"/>
                <w:kern w:val="0"/>
                <w:sz w:val="21"/>
                <w:szCs w:val="21"/>
                <w:highlight w:val="none"/>
                <w:lang w:val="en-US" w:eastAsia="zh-CN"/>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政策</w:t>
            </w:r>
            <w:r>
              <w:rPr>
                <w:rFonts w:hint="eastAsia" w:ascii="仿宋" w:hAnsi="仿宋" w:eastAsia="仿宋" w:cs="仿宋"/>
                <w:color w:val="auto"/>
                <w:kern w:val="0"/>
                <w:sz w:val="21"/>
                <w:szCs w:val="21"/>
                <w:highlight w:val="none"/>
                <w:lang w:val="en-US" w:eastAsia="zh-CN"/>
              </w:rPr>
              <w:t>的</w:t>
            </w:r>
            <w:r>
              <w:rPr>
                <w:rFonts w:hint="eastAsia" w:ascii="仿宋" w:hAnsi="仿宋" w:eastAsia="仿宋" w:cs="仿宋"/>
                <w:color w:val="auto"/>
                <w:kern w:val="0"/>
                <w:sz w:val="21"/>
                <w:szCs w:val="21"/>
                <w:highlight w:val="none"/>
                <w:lang w:eastAsia="zh-CN"/>
              </w:rPr>
              <w:t>示范性</w:t>
            </w:r>
          </w:p>
        </w:tc>
        <w:tc>
          <w:tcPr>
            <w:tcW w:w="597"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12</w:t>
            </w:r>
          </w:p>
        </w:tc>
        <w:tc>
          <w:tcPr>
            <w:tcW w:w="384"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1</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1</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1</w:t>
            </w:r>
          </w:p>
        </w:tc>
        <w:tc>
          <w:tcPr>
            <w:tcW w:w="46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r>
              <w:rPr>
                <w:rFonts w:hint="eastAsia" w:ascii="仿宋" w:hAnsi="仿宋" w:cs="仿宋"/>
                <w:color w:val="auto"/>
                <w:kern w:val="0"/>
                <w:sz w:val="21"/>
                <w:szCs w:val="21"/>
                <w:highlight w:val="none"/>
                <w:lang w:val="en-US" w:eastAsia="zh-CN"/>
              </w:rPr>
              <w:t>1</w:t>
            </w:r>
          </w:p>
        </w:tc>
        <w:tc>
          <w:tcPr>
            <w:tcW w:w="9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cs="仿宋"/>
                <w:color w:val="auto"/>
                <w:kern w:val="0"/>
                <w:sz w:val="21"/>
                <w:szCs w:val="21"/>
                <w:highlight w:val="none"/>
                <w:lang w:val="en-US" w:eastAsia="zh-CN"/>
              </w:rPr>
              <w:t>91.67</w:t>
            </w:r>
            <w:r>
              <w:rPr>
                <w:rFonts w:hint="eastAsia" w:ascii="仿宋" w:hAnsi="仿宋" w:eastAsia="仿宋" w:cs="仿宋"/>
                <w:color w:val="auto"/>
                <w:kern w:val="0"/>
                <w:sz w:val="21"/>
                <w:szCs w:val="21"/>
                <w:highlight w:val="none"/>
                <w:lang w:val="en-US" w:eastAsia="zh-CN"/>
              </w:rPr>
              <w:t>%</w:t>
            </w:r>
          </w:p>
        </w:tc>
        <w:tc>
          <w:tcPr>
            <w:tcW w:w="911" w:type="pct"/>
            <w:tcBorders>
              <w:bottom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政策示范性好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8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绩效评价结果</w:t>
            </w:r>
          </w:p>
        </w:tc>
        <w:tc>
          <w:tcPr>
            <w:tcW w:w="59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100</w:t>
            </w:r>
          </w:p>
        </w:tc>
        <w:tc>
          <w:tcPr>
            <w:tcW w:w="10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i w:val="0"/>
                <w:color w:val="auto"/>
                <w:kern w:val="0"/>
                <w:sz w:val="21"/>
                <w:szCs w:val="21"/>
                <w:highlight w:val="none"/>
                <w:u w:val="none"/>
                <w:lang w:val="en-US" w:eastAsia="zh-CN" w:bidi="ar"/>
              </w:rPr>
              <w:t>6</w:t>
            </w:r>
            <w:r>
              <w:rPr>
                <w:rFonts w:hint="eastAsia" w:ascii="仿宋" w:hAnsi="仿宋" w:cs="仿宋"/>
                <w:b/>
                <w:i w:val="0"/>
                <w:color w:val="auto"/>
                <w:kern w:val="0"/>
                <w:sz w:val="21"/>
                <w:szCs w:val="21"/>
                <w:highlight w:val="none"/>
                <w:u w:val="none"/>
                <w:lang w:val="en-US" w:eastAsia="zh-CN" w:bidi="ar"/>
              </w:rPr>
              <w:t>5</w:t>
            </w:r>
            <w:r>
              <w:rPr>
                <w:rFonts w:hint="eastAsia" w:ascii="仿宋" w:hAnsi="仿宋" w:eastAsia="仿宋" w:cs="仿宋"/>
                <w:b/>
                <w:i w:val="0"/>
                <w:color w:val="auto"/>
                <w:kern w:val="0"/>
                <w:sz w:val="21"/>
                <w:szCs w:val="21"/>
                <w:highlight w:val="none"/>
                <w:u w:val="none"/>
                <w:lang w:val="en-US" w:eastAsia="zh-CN" w:bidi="ar"/>
              </w:rPr>
              <w:t>.</w:t>
            </w:r>
            <w:r>
              <w:rPr>
                <w:rFonts w:hint="eastAsia" w:ascii="仿宋" w:hAnsi="仿宋" w:cs="仿宋"/>
                <w:b/>
                <w:i w:val="0"/>
                <w:color w:val="auto"/>
                <w:kern w:val="0"/>
                <w:sz w:val="21"/>
                <w:szCs w:val="21"/>
                <w:highlight w:val="none"/>
                <w:u w:val="none"/>
                <w:lang w:val="en-US" w:eastAsia="zh-CN" w:bidi="ar"/>
              </w:rPr>
              <w:t>9</w:t>
            </w:r>
          </w:p>
        </w:tc>
        <w:tc>
          <w:tcPr>
            <w:tcW w:w="12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b/>
                <w:color w:val="auto"/>
                <w:kern w:val="0"/>
                <w:sz w:val="21"/>
                <w:szCs w:val="21"/>
                <w:highlight w:val="none"/>
                <w:lang w:val="en-US" w:eastAsia="zh-CN"/>
              </w:rPr>
            </w:pPr>
            <w:r>
              <w:rPr>
                <w:rFonts w:hint="eastAsia" w:ascii="仿宋" w:hAnsi="仿宋" w:cs="仿宋"/>
                <w:b/>
                <w:i w:val="0"/>
                <w:color w:val="auto"/>
                <w:kern w:val="0"/>
                <w:sz w:val="21"/>
                <w:szCs w:val="21"/>
                <w:highlight w:val="none"/>
                <w:u w:val="none"/>
                <w:lang w:val="en-US" w:eastAsia="zh-CN" w:bidi="ar"/>
              </w:rPr>
              <w:t>79.08</w:t>
            </w:r>
          </w:p>
        </w:tc>
        <w:tc>
          <w:tcPr>
            <w:tcW w:w="12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b/>
                <w:color w:val="auto"/>
                <w:kern w:val="0"/>
                <w:sz w:val="21"/>
                <w:szCs w:val="21"/>
                <w:highlight w:val="none"/>
                <w:lang w:val="en-US" w:eastAsia="zh-CN"/>
              </w:rPr>
            </w:pPr>
            <w:r>
              <w:rPr>
                <w:rFonts w:hint="eastAsia" w:ascii="仿宋" w:hAnsi="仿宋" w:cs="仿宋"/>
                <w:b/>
                <w:i w:val="0"/>
                <w:color w:val="auto"/>
                <w:kern w:val="0"/>
                <w:sz w:val="21"/>
                <w:szCs w:val="21"/>
                <w:highlight w:val="none"/>
                <w:u w:val="none"/>
                <w:lang w:val="en-US" w:eastAsia="zh-CN" w:bidi="ar"/>
              </w:rPr>
              <w:t>79.42</w:t>
            </w:r>
          </w:p>
        </w:tc>
        <w:tc>
          <w:tcPr>
            <w:tcW w:w="46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t>7</w:t>
            </w:r>
            <w:r>
              <w:rPr>
                <w:rFonts w:hint="eastAsia" w:ascii="仿宋" w:hAnsi="仿宋" w:cs="仿宋"/>
                <w:b/>
                <w:color w:val="auto"/>
                <w:kern w:val="0"/>
                <w:sz w:val="21"/>
                <w:szCs w:val="21"/>
                <w:highlight w:val="none"/>
                <w:lang w:val="en-US" w:eastAsia="zh-CN"/>
              </w:rPr>
              <w:t>4.79</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0"/>
                <w:sz w:val="21"/>
                <w:szCs w:val="21"/>
                <w:highlight w:val="none"/>
                <w:lang w:val="en-US" w:eastAsia="zh-CN"/>
              </w:rPr>
            </w:pPr>
            <w:r>
              <w:rPr>
                <w:rFonts w:hint="eastAsia" w:ascii="仿宋" w:hAnsi="仿宋" w:cs="仿宋"/>
                <w:b/>
                <w:color w:val="auto"/>
                <w:kern w:val="0"/>
                <w:sz w:val="21"/>
                <w:szCs w:val="21"/>
                <w:highlight w:val="none"/>
                <w:lang w:val="en-US" w:eastAsia="zh-CN"/>
              </w:rPr>
              <w:t>74.79</w:t>
            </w:r>
            <w:r>
              <w:rPr>
                <w:rFonts w:hint="eastAsia" w:ascii="仿宋" w:hAnsi="仿宋" w:eastAsia="仿宋" w:cs="仿宋"/>
                <w:b/>
                <w:color w:val="auto"/>
                <w:kern w:val="0"/>
                <w:sz w:val="21"/>
                <w:szCs w:val="21"/>
                <w:highlight w:val="none"/>
                <w:lang w:val="en-US" w:eastAsia="zh-CN"/>
              </w:rPr>
              <w:t>%</w:t>
            </w:r>
          </w:p>
        </w:tc>
        <w:tc>
          <w:tcPr>
            <w:tcW w:w="9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auto"/>
                <w:kern w:val="0"/>
                <w:sz w:val="21"/>
                <w:szCs w:val="21"/>
                <w:highlight w:val="none"/>
                <w:lang w:val="en-US" w:eastAsia="zh-CN"/>
              </w:rPr>
            </w:pPr>
            <w:r>
              <w:rPr>
                <w:rFonts w:hint="eastAsia" w:ascii="仿宋" w:hAnsi="仿宋" w:eastAsia="仿宋" w:cs="仿宋"/>
                <w:b/>
                <w:color w:val="auto"/>
                <w:kern w:val="0"/>
                <w:sz w:val="21"/>
                <w:szCs w:val="21"/>
                <w:highlight w:val="none"/>
                <w:lang w:val="en-US" w:eastAsia="zh-CN"/>
              </w:rPr>
              <w:t>中（基本有效）</w:t>
            </w:r>
          </w:p>
        </w:tc>
      </w:tr>
    </w:tbl>
    <w:p>
      <w:pPr>
        <w:pStyle w:val="4"/>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（二）具体绩效分析</w:t>
      </w:r>
      <w:bookmarkEnd w:id="57"/>
      <w:bookmarkEnd w:id="58"/>
      <w:bookmarkEnd w:id="59"/>
      <w:bookmarkEnd w:id="60"/>
      <w:bookmarkEnd w:id="61"/>
      <w:bookmarkEnd w:id="62"/>
    </w:p>
    <w:bookmarkEnd w:id="63"/>
    <w:p>
      <w:pPr>
        <w:pStyle w:val="5"/>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1.政策制定</w:t>
      </w:r>
    </w:p>
    <w:p>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A政策制定</w:t>
      </w:r>
      <w:r>
        <w:rPr>
          <w:rFonts w:hint="eastAsia"/>
          <w:color w:val="000000" w:themeColor="text1"/>
          <w:highlight w:val="none"/>
          <w14:textFill>
            <w14:solidFill>
              <w14:schemeClr w14:val="tx1"/>
            </w14:solidFill>
          </w14:textFill>
        </w:rPr>
        <w:t>（一级指标）</w:t>
      </w:r>
    </w:p>
    <w:p>
      <w:pPr>
        <w:bidi w:val="0"/>
        <w:rPr>
          <w:rFonts w:hint="eastAsia"/>
          <w:color w:val="000000" w:themeColor="text1"/>
          <w:highlight w:val="none"/>
          <w:lang w:val="en-US" w:eastAsia="zh-CN"/>
          <w14:textFill>
            <w14:solidFill>
              <w14:schemeClr w14:val="tx1"/>
            </w14:solidFill>
          </w14:textFill>
        </w:rPr>
        <w:sectPr>
          <w:pgSz w:w="16838" w:h="11906" w:orient="landscape"/>
          <w:pgMar w:top="1587" w:right="1440" w:bottom="158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000000" w:themeColor="text1"/>
          <w:highlight w:val="none"/>
          <w:lang w:val="en-US" w:eastAsia="zh-CN"/>
          <w14:textFill>
            <w14:solidFill>
              <w14:schemeClr w14:val="tx1"/>
            </w14:solidFill>
          </w14:textFill>
        </w:rPr>
        <w:t>政策制定一级指标，下设政策设立、政策内容和程序规范三个二级指标。</w:t>
      </w:r>
    </w:p>
    <w:tbl>
      <w:tblPr>
        <w:tblStyle w:val="10"/>
        <w:tblpPr w:leftFromText="180" w:rightFromText="180" w:vertAnchor="text" w:horzAnchor="page" w:tblpX="1571" w:tblpY="795"/>
        <w:tblOverlap w:val="never"/>
        <w:tblW w:w="4998" w:type="pct"/>
        <w:tblInd w:w="0" w:type="dxa"/>
        <w:shd w:val="clear" w:color="auto" w:fill="auto"/>
        <w:tblLayout w:type="autofit"/>
        <w:tblCellMar>
          <w:top w:w="0" w:type="dxa"/>
          <w:left w:w="0" w:type="dxa"/>
          <w:bottom w:w="0" w:type="dxa"/>
          <w:right w:w="0" w:type="dxa"/>
        </w:tblCellMar>
      </w:tblPr>
      <w:tblGrid>
        <w:gridCol w:w="1038"/>
        <w:gridCol w:w="711"/>
        <w:gridCol w:w="1758"/>
        <w:gridCol w:w="694"/>
        <w:gridCol w:w="3563"/>
        <w:gridCol w:w="879"/>
        <w:gridCol w:w="1066"/>
        <w:gridCol w:w="1066"/>
        <w:gridCol w:w="1069"/>
        <w:gridCol w:w="1069"/>
        <w:gridCol w:w="1069"/>
      </w:tblGrid>
      <w:tr>
        <w:tblPrEx>
          <w:tblCellMar>
            <w:top w:w="0" w:type="dxa"/>
            <w:left w:w="0" w:type="dxa"/>
            <w:bottom w:w="0" w:type="dxa"/>
            <w:right w:w="0" w:type="dxa"/>
          </w:tblCellMar>
        </w:tblPrEx>
        <w:trPr>
          <w:trHeight w:val="586"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一级指标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二级指标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三级指标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sz w:val="21"/>
                <w:szCs w:val="21"/>
                <w:highlight w:val="none"/>
                <w:u w:val="none"/>
                <w:lang w:val="en-US"/>
              </w:rPr>
            </w:pPr>
            <w:r>
              <w:rPr>
                <w:rFonts w:hint="eastAsia" w:ascii="黑体" w:hAnsi="黑体" w:eastAsia="黑体" w:cs="黑体"/>
                <w:b w:val="0"/>
                <w:bCs/>
                <w:i w:val="0"/>
                <w:color w:val="auto"/>
                <w:kern w:val="0"/>
                <w:sz w:val="21"/>
                <w:szCs w:val="21"/>
                <w:highlight w:val="none"/>
                <w:u w:val="none"/>
                <w:lang w:val="en-US" w:eastAsia="zh-CN" w:bidi="ar"/>
              </w:rPr>
              <w:t>2017得分</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2018得分</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2019得分</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综合得分</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得分率</w:t>
            </w:r>
          </w:p>
        </w:tc>
      </w:tr>
      <w:tr>
        <w:tblPrEx>
          <w:shd w:val="clear" w:color="auto" w:fill="auto"/>
          <w:tblCellMar>
            <w:top w:w="0" w:type="dxa"/>
            <w:left w:w="0" w:type="dxa"/>
            <w:bottom w:w="0" w:type="dxa"/>
            <w:right w:w="0" w:type="dxa"/>
          </w:tblCellMar>
        </w:tblPrEx>
        <w:trPr>
          <w:trHeight w:val="397" w:hRule="atLeast"/>
        </w:trPr>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A政策制定</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18</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A1政策设立</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A11政策设立必要性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A12政策设立关联性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A2政策内容</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10</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A21政策目标明确性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r>
              <w:rPr>
                <w:rFonts w:hint="eastAsia" w:ascii="仿宋" w:hAnsi="仿宋" w:cs="仿宋"/>
                <w:i w:val="0"/>
                <w:color w:val="auto"/>
                <w:kern w:val="0"/>
                <w:sz w:val="21"/>
                <w:szCs w:val="21"/>
                <w:highlight w:val="none"/>
                <w:u w:val="none"/>
                <w:lang w:val="en-US" w:eastAsia="zh-CN" w:bidi="ar"/>
              </w:rPr>
              <w:t>67</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83.33</w:t>
            </w:r>
            <w:r>
              <w:rPr>
                <w:rFonts w:hint="eastAsia" w:ascii="仿宋" w:hAnsi="仿宋" w:eastAsia="仿宋" w:cs="仿宋"/>
                <w:i w:val="0"/>
                <w:color w:val="auto"/>
                <w:kern w:val="0"/>
                <w:sz w:val="21"/>
                <w:szCs w:val="21"/>
                <w:highlight w:val="none"/>
                <w:u w:val="none"/>
                <w:lang w:val="en-US" w:eastAsia="zh-CN" w:bidi="ar"/>
              </w:rPr>
              <w:t>%</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A22政策目标合理性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1.33</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66.67%</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A23政策内容完整性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A24政策内容可替代性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A25资源分配公平性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1.33</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66.67%</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A3程序规范</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A31政策调研充分性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2"/>
                <w:sz w:val="21"/>
                <w:szCs w:val="21"/>
                <w:highlight w:val="none"/>
                <w:u w:val="none"/>
                <w:lang w:val="en-US" w:eastAsia="zh-CN" w:bidi="ar-SA"/>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trPr>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color w:val="auto"/>
                <w:sz w:val="21"/>
                <w:szCs w:val="21"/>
                <w:highlight w:val="none"/>
                <w:u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A32政策制定程序规范性</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bl>
    <w:p>
      <w:pPr>
        <w:widowControl w:val="0"/>
        <w:spacing w:line="560" w:lineRule="exact"/>
        <w:ind w:left="0" w:leftChars="0" w:firstLine="0" w:firstLineChars="0"/>
        <w:jc w:val="center"/>
        <w:rPr>
          <w:rFonts w:hint="default" w:ascii="方正小标宋_GBK" w:hAnsi="Times New Roman" w:eastAsia="方正小标宋_GBK" w:cs="Times New Roman"/>
          <w:color w:val="auto"/>
          <w:spacing w:val="-4"/>
          <w:kern w:val="2"/>
          <w:sz w:val="24"/>
          <w:szCs w:val="24"/>
          <w:highlight w:val="none"/>
          <w:lang w:val="en-US" w:eastAsia="zh-CN" w:bidi="ar-SA"/>
        </w:rPr>
      </w:pPr>
      <w:r>
        <w:rPr>
          <w:rFonts w:hint="eastAsia" w:ascii="方正小标宋_GBK" w:hAnsi="Times New Roman" w:eastAsia="方正小标宋_GBK" w:cs="Times New Roman"/>
          <w:color w:val="auto"/>
          <w:spacing w:val="-4"/>
          <w:kern w:val="2"/>
          <w:sz w:val="24"/>
          <w:szCs w:val="24"/>
          <w:highlight w:val="none"/>
          <w:lang w:val="en-US" w:eastAsia="zh-CN" w:bidi="ar-SA"/>
        </w:rPr>
        <w:t>表</w:t>
      </w:r>
      <w:r>
        <w:rPr>
          <w:rFonts w:hint="eastAsia" w:ascii="方正小标宋_GBK" w:eastAsia="方正小标宋_GBK" w:cs="Times New Roman"/>
          <w:color w:val="auto"/>
          <w:spacing w:val="-4"/>
          <w:kern w:val="2"/>
          <w:sz w:val="24"/>
          <w:szCs w:val="24"/>
          <w:highlight w:val="none"/>
          <w:lang w:val="en-US" w:eastAsia="zh-CN" w:bidi="ar-SA"/>
        </w:rPr>
        <w:t>4</w:t>
      </w:r>
      <w:r>
        <w:rPr>
          <w:rFonts w:hint="eastAsia" w:ascii="方正小标宋_GBK" w:hAnsi="Times New Roman" w:eastAsia="方正小标宋_GBK" w:cs="Times New Roman"/>
          <w:color w:val="auto"/>
          <w:spacing w:val="-4"/>
          <w:kern w:val="2"/>
          <w:sz w:val="24"/>
          <w:szCs w:val="24"/>
          <w:highlight w:val="none"/>
          <w:lang w:val="en-US" w:eastAsia="zh-CN" w:bidi="ar-SA"/>
        </w:rPr>
        <w:t xml:space="preserve">   政策制定具体指标评价及得分情况</w:t>
      </w:r>
    </w:p>
    <w:p>
      <w:pPr>
        <w:widowControl w:val="0"/>
        <w:spacing w:line="560" w:lineRule="exact"/>
        <w:ind w:left="0" w:leftChars="0" w:firstLine="0" w:firstLineChars="0"/>
        <w:jc w:val="center"/>
        <w:rPr>
          <w:rFonts w:hint="default" w:ascii="方正小标宋_GBK" w:hAnsi="Times New Roman" w:eastAsia="方正小标宋_GBK" w:cs="Times New Roman"/>
          <w:color w:val="000000" w:themeColor="text1"/>
          <w:spacing w:val="-4"/>
          <w:kern w:val="2"/>
          <w:sz w:val="24"/>
          <w:szCs w:val="24"/>
          <w:highlight w:val="none"/>
          <w:lang w:val="en-US" w:eastAsia="zh-CN" w:bidi="ar-SA"/>
          <w14:textFill>
            <w14:solidFill>
              <w14:schemeClr w14:val="tx1"/>
            </w14:solidFill>
          </w14:textFill>
        </w:rPr>
      </w:pPr>
    </w:p>
    <w:p>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2.政策执行</w:t>
      </w:r>
    </w:p>
    <w:p>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B政策执行</w:t>
      </w:r>
      <w:r>
        <w:rPr>
          <w:rFonts w:hint="eastAsia"/>
          <w:color w:val="000000" w:themeColor="text1"/>
          <w:highlight w:val="none"/>
          <w14:textFill>
            <w14:solidFill>
              <w14:schemeClr w14:val="tx1"/>
            </w14:solidFill>
          </w14:textFill>
        </w:rPr>
        <w:t>（一级指标）</w:t>
      </w:r>
    </w:p>
    <w:p>
      <w:pPr>
        <w:ind w:left="0" w:leftChars="0" w:firstLine="64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政策执行一级指标，下设政策规划落实、制度保障、资金管理、宣传服务和过程监督5个二级指标。</w:t>
      </w:r>
    </w:p>
    <w:p>
      <w:pPr>
        <w:ind w:left="0" w:leftChars="0" w:firstLine="0" w:firstLineChars="0"/>
        <w:jc w:val="center"/>
        <w:rPr>
          <w:rFonts w:hint="eastAsia" w:ascii="方正小标宋_GBK" w:hAnsi="Times New Roman" w:eastAsia="方正小标宋_GBK" w:cs="Times New Roman"/>
          <w:color w:val="000000" w:themeColor="text1"/>
          <w:spacing w:val="-4"/>
          <w:kern w:val="2"/>
          <w:sz w:val="24"/>
          <w:szCs w:val="24"/>
          <w:highlight w:val="none"/>
          <w:lang w:val="en-US" w:eastAsia="zh-CN" w:bidi="ar-SA"/>
          <w14:textFill>
            <w14:solidFill>
              <w14:schemeClr w14:val="tx1"/>
            </w14:solidFill>
          </w14:textFill>
        </w:rPr>
      </w:pPr>
    </w:p>
    <w:p>
      <w:pPr>
        <w:pStyle w:val="2"/>
        <w:ind w:left="0" w:leftChars="0" w:firstLine="0" w:firstLineChars="0"/>
        <w:jc w:val="center"/>
        <w:rPr>
          <w:rFonts w:hint="default" w:ascii="方正小标宋_GBK" w:hAnsi="Times New Roman" w:eastAsia="方正小标宋_GBK" w:cs="Times New Roman"/>
          <w:color w:val="auto"/>
          <w:spacing w:val="-4"/>
          <w:kern w:val="2"/>
          <w:sz w:val="24"/>
          <w:szCs w:val="24"/>
          <w:highlight w:val="none"/>
          <w:lang w:val="en-US" w:eastAsia="zh-CN" w:bidi="ar-SA"/>
        </w:rPr>
      </w:pPr>
      <w:r>
        <w:rPr>
          <w:rFonts w:hint="eastAsia" w:ascii="方正小标宋_GBK" w:hAnsi="Times New Roman" w:eastAsia="方正小标宋_GBK" w:cs="Times New Roman"/>
          <w:color w:val="auto"/>
          <w:spacing w:val="-4"/>
          <w:kern w:val="2"/>
          <w:sz w:val="24"/>
          <w:szCs w:val="24"/>
          <w:highlight w:val="none"/>
          <w:lang w:val="en-US" w:eastAsia="zh-CN" w:bidi="ar-SA"/>
        </w:rPr>
        <w:t>表</w:t>
      </w:r>
      <w:r>
        <w:rPr>
          <w:rFonts w:hint="eastAsia" w:ascii="方正小标宋_GBK" w:eastAsia="方正小标宋_GBK" w:cs="Times New Roman"/>
          <w:color w:val="auto"/>
          <w:spacing w:val="-4"/>
          <w:kern w:val="2"/>
          <w:sz w:val="24"/>
          <w:szCs w:val="24"/>
          <w:highlight w:val="none"/>
          <w:lang w:val="en-US" w:eastAsia="zh-CN" w:bidi="ar-SA"/>
        </w:rPr>
        <w:t>5</w:t>
      </w:r>
      <w:r>
        <w:rPr>
          <w:rFonts w:hint="eastAsia" w:ascii="方正小标宋_GBK" w:hAnsi="Times New Roman" w:eastAsia="方正小标宋_GBK" w:cs="Times New Roman"/>
          <w:color w:val="auto"/>
          <w:spacing w:val="-4"/>
          <w:kern w:val="2"/>
          <w:sz w:val="24"/>
          <w:szCs w:val="24"/>
          <w:highlight w:val="none"/>
          <w:lang w:val="en-US" w:eastAsia="zh-CN" w:bidi="ar-SA"/>
        </w:rPr>
        <w:t xml:space="preserve">   政策执行具体指标评价及得分情况</w:t>
      </w:r>
    </w:p>
    <w:tbl>
      <w:tblPr>
        <w:tblStyle w:val="10"/>
        <w:tblW w:w="4997" w:type="pct"/>
        <w:jc w:val="center"/>
        <w:shd w:val="clear" w:color="auto" w:fill="auto"/>
        <w:tblLayout w:type="autofit"/>
        <w:tblCellMar>
          <w:top w:w="0" w:type="dxa"/>
          <w:left w:w="0" w:type="dxa"/>
          <w:bottom w:w="0" w:type="dxa"/>
          <w:right w:w="0" w:type="dxa"/>
        </w:tblCellMar>
      </w:tblPr>
      <w:tblGrid>
        <w:gridCol w:w="1069"/>
        <w:gridCol w:w="663"/>
        <w:gridCol w:w="1539"/>
        <w:gridCol w:w="683"/>
        <w:gridCol w:w="3721"/>
        <w:gridCol w:w="934"/>
        <w:gridCol w:w="1074"/>
        <w:gridCol w:w="1074"/>
        <w:gridCol w:w="1074"/>
        <w:gridCol w:w="1074"/>
        <w:gridCol w:w="1075"/>
      </w:tblGrid>
      <w:tr>
        <w:tblPrEx>
          <w:tblCellMar>
            <w:top w:w="0" w:type="dxa"/>
            <w:left w:w="0" w:type="dxa"/>
            <w:bottom w:w="0" w:type="dxa"/>
            <w:right w:w="0" w:type="dxa"/>
          </w:tblCellMar>
        </w:tblPrEx>
        <w:trPr>
          <w:trHeight w:val="542"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一级指标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二级指标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三级指标</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分值</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2"/>
                <w:sz w:val="21"/>
                <w:szCs w:val="21"/>
                <w:highlight w:val="none"/>
                <w:u w:val="none"/>
                <w:lang w:val="en-US" w:eastAsia="zh-CN" w:bidi="ar-SA"/>
              </w:rPr>
            </w:pPr>
            <w:r>
              <w:rPr>
                <w:rFonts w:hint="eastAsia" w:ascii="黑体" w:hAnsi="黑体" w:eastAsia="黑体" w:cs="黑体"/>
                <w:b w:val="0"/>
                <w:bCs/>
                <w:i w:val="0"/>
                <w:color w:val="auto"/>
                <w:kern w:val="0"/>
                <w:sz w:val="21"/>
                <w:szCs w:val="21"/>
                <w:highlight w:val="none"/>
                <w:u w:val="none"/>
                <w:lang w:val="en-US" w:eastAsia="zh-CN" w:bidi="ar"/>
              </w:rPr>
              <w:t>2017得分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2018得分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2019得分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综合得分</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黑体" w:hAnsi="黑体" w:eastAsia="黑体" w:cs="黑体"/>
                <w:b w:val="0"/>
                <w:bCs/>
                <w:i w:val="0"/>
                <w:color w:val="auto"/>
                <w:kern w:val="0"/>
                <w:sz w:val="21"/>
                <w:szCs w:val="21"/>
                <w:highlight w:val="none"/>
                <w:u w:val="none"/>
                <w:lang w:val="en-US" w:eastAsia="zh-CN" w:bidi="ar"/>
              </w:rPr>
            </w:pPr>
            <w:r>
              <w:rPr>
                <w:rFonts w:hint="eastAsia" w:ascii="黑体" w:hAnsi="黑体" w:eastAsia="黑体" w:cs="黑体"/>
                <w:b w:val="0"/>
                <w:bCs/>
                <w:i w:val="0"/>
                <w:color w:val="auto"/>
                <w:kern w:val="0"/>
                <w:sz w:val="21"/>
                <w:szCs w:val="21"/>
                <w:highlight w:val="none"/>
                <w:u w:val="none"/>
                <w:lang w:val="en-US" w:eastAsia="zh-CN" w:bidi="ar"/>
              </w:rPr>
              <w:t>得分率</w:t>
            </w:r>
          </w:p>
        </w:tc>
      </w:tr>
      <w:tr>
        <w:tblPrEx>
          <w:shd w:val="clear" w:color="auto" w:fill="auto"/>
          <w:tblCellMar>
            <w:top w:w="0" w:type="dxa"/>
            <w:left w:w="0" w:type="dxa"/>
            <w:bottom w:w="0" w:type="dxa"/>
            <w:right w:w="0" w:type="dxa"/>
          </w:tblCellMar>
        </w:tblPrEx>
        <w:trPr>
          <w:trHeight w:val="397" w:hRule="atLeast"/>
          <w:jc w:val="center"/>
        </w:trPr>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B政策执行</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22</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B1政策规划落实</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B11组织分工完备性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B12政策落实规划的完备性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1.83</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91.67%</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B13任务分解落实性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1.33</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66.5%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B2制度保障</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B21项目管理制度健全性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50%</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B22沟通协调机制健全性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60%</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B3资金管理</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B31资金到位及时性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1.83</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91.5%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B32资金使用规范性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B4宣传服务</w:t>
            </w:r>
          </w:p>
        </w:tc>
        <w:tc>
          <w:tcPr>
            <w:tcW w:w="2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330"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B42宣传服务推广制度</w:t>
            </w:r>
          </w:p>
        </w:tc>
        <w:tc>
          <w:tcPr>
            <w:tcW w:w="33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B5过程监督</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6</w:t>
            </w: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B51监督机制健全性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B52监督活动执行力度</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1.5</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75%</w:t>
            </w:r>
          </w:p>
        </w:tc>
      </w:tr>
      <w:tr>
        <w:tblPrEx>
          <w:shd w:val="clear" w:color="auto" w:fill="auto"/>
          <w:tblCellMar>
            <w:top w:w="0" w:type="dxa"/>
            <w:left w:w="0" w:type="dxa"/>
            <w:bottom w:w="0" w:type="dxa"/>
            <w:right w:w="0" w:type="dxa"/>
          </w:tblCellMar>
        </w:tblPrEx>
        <w:trPr>
          <w:trHeight w:val="397" w:hRule="atLeast"/>
          <w:jc w:val="center"/>
        </w:trPr>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B53监督结果应用的规范性</w:t>
            </w:r>
          </w:p>
        </w:tc>
        <w:tc>
          <w:tcPr>
            <w:tcW w:w="3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50%</w:t>
            </w:r>
          </w:p>
        </w:tc>
      </w:tr>
    </w:tbl>
    <w:p>
      <w:pPr>
        <w:pStyle w:val="5"/>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3.政策效果</w:t>
      </w:r>
    </w:p>
    <w:p>
      <w:pPr>
        <w:bidi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C政策效果</w:t>
      </w:r>
      <w:r>
        <w:rPr>
          <w:rFonts w:hint="eastAsia"/>
          <w:color w:val="000000" w:themeColor="text1"/>
          <w:highlight w:val="none"/>
          <w14:textFill>
            <w14:solidFill>
              <w14:schemeClr w14:val="tx1"/>
            </w14:solidFill>
          </w14:textFill>
        </w:rPr>
        <w:t>（一级指标）</w:t>
      </w:r>
    </w:p>
    <w:p>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政策效果一级指标，下设政策执行效果、政策执行满意度、政策的示范性3个二级指标。</w:t>
      </w:r>
    </w:p>
    <w:p>
      <w:pPr>
        <w:pStyle w:val="2"/>
        <w:ind w:left="0" w:leftChars="0" w:firstLine="0" w:firstLineChars="0"/>
        <w:jc w:val="center"/>
        <w:rPr>
          <w:rFonts w:hint="eastAsia" w:ascii="方正小标宋_GBK" w:hAnsi="Times New Roman" w:eastAsia="方正小标宋_GBK" w:cs="Times New Roman"/>
          <w:color w:val="000000" w:themeColor="text1"/>
          <w:spacing w:val="-4"/>
          <w:kern w:val="2"/>
          <w:sz w:val="24"/>
          <w:szCs w:val="24"/>
          <w:highlight w:val="none"/>
          <w:lang w:val="en-US" w:eastAsia="zh-CN" w:bidi="ar-SA"/>
          <w14:textFill>
            <w14:solidFill>
              <w14:schemeClr w14:val="tx1"/>
            </w14:solidFill>
          </w14:textFill>
        </w:rPr>
        <w:sectPr>
          <w:pgSz w:w="16838" w:h="11906" w:orient="landscape"/>
          <w:pgMar w:top="1587" w:right="1440" w:bottom="158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ind w:left="0" w:leftChars="0" w:firstLine="0" w:firstLineChars="0"/>
        <w:jc w:val="center"/>
        <w:rPr>
          <w:rFonts w:hint="default" w:ascii="方正小标宋_GBK" w:hAnsi="Times New Roman" w:eastAsia="方正小标宋_GBK" w:cs="Times New Roman"/>
          <w:color w:val="auto"/>
          <w:spacing w:val="-4"/>
          <w:kern w:val="2"/>
          <w:sz w:val="24"/>
          <w:szCs w:val="24"/>
          <w:highlight w:val="none"/>
          <w:lang w:val="en-US" w:eastAsia="zh-CN" w:bidi="ar-SA"/>
        </w:rPr>
      </w:pPr>
      <w:bookmarkStart w:id="64" w:name="_Toc34756653"/>
      <w:bookmarkStart w:id="65" w:name="_Toc16223"/>
      <w:bookmarkStart w:id="66" w:name="_Toc25626"/>
      <w:bookmarkStart w:id="67" w:name="_Toc3518"/>
      <w:bookmarkStart w:id="68" w:name="_Toc31114"/>
      <w:bookmarkStart w:id="69" w:name="_Toc22757"/>
      <w:bookmarkStart w:id="70" w:name="_Toc17716"/>
      <w:r>
        <w:rPr>
          <w:rFonts w:hint="eastAsia" w:ascii="方正小标宋_GBK" w:hAnsi="Times New Roman" w:eastAsia="方正小标宋_GBK" w:cs="Times New Roman"/>
          <w:color w:val="auto"/>
          <w:spacing w:val="-4"/>
          <w:kern w:val="2"/>
          <w:sz w:val="24"/>
          <w:szCs w:val="24"/>
          <w:highlight w:val="none"/>
          <w:lang w:val="en-US" w:eastAsia="zh-CN" w:bidi="ar-SA"/>
        </w:rPr>
        <w:t>表</w:t>
      </w:r>
      <w:r>
        <w:rPr>
          <w:rFonts w:hint="eastAsia" w:ascii="方正小标宋_GBK" w:eastAsia="方正小标宋_GBK" w:cs="Times New Roman"/>
          <w:color w:val="auto"/>
          <w:spacing w:val="-4"/>
          <w:kern w:val="2"/>
          <w:sz w:val="24"/>
          <w:szCs w:val="24"/>
          <w:highlight w:val="none"/>
          <w:lang w:val="en-US" w:eastAsia="zh-CN" w:bidi="ar-SA"/>
        </w:rPr>
        <w:t>6</w:t>
      </w:r>
      <w:r>
        <w:rPr>
          <w:rFonts w:hint="eastAsia" w:ascii="方正小标宋_GBK" w:hAnsi="Times New Roman" w:eastAsia="方正小标宋_GBK" w:cs="Times New Roman"/>
          <w:color w:val="auto"/>
          <w:spacing w:val="-4"/>
          <w:kern w:val="2"/>
          <w:sz w:val="24"/>
          <w:szCs w:val="24"/>
          <w:highlight w:val="none"/>
          <w:lang w:val="en-US" w:eastAsia="zh-CN" w:bidi="ar-SA"/>
        </w:rPr>
        <w:t xml:space="preserve">   政策效果具体指标评价及得分情况</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35"/>
        <w:gridCol w:w="606"/>
        <w:gridCol w:w="971"/>
        <w:gridCol w:w="599"/>
        <w:gridCol w:w="1456"/>
        <w:gridCol w:w="616"/>
        <w:gridCol w:w="3432"/>
        <w:gridCol w:w="1053"/>
        <w:gridCol w:w="1053"/>
        <w:gridCol w:w="1053"/>
        <w:gridCol w:w="105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37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一级指标</w:t>
            </w:r>
          </w:p>
        </w:tc>
        <w:tc>
          <w:tcPr>
            <w:tcW w:w="217"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分值</w:t>
            </w:r>
          </w:p>
        </w:tc>
        <w:tc>
          <w:tcPr>
            <w:tcW w:w="347"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二级指标</w:t>
            </w:r>
          </w:p>
        </w:tc>
        <w:tc>
          <w:tcPr>
            <w:tcW w:w="214"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分值</w:t>
            </w:r>
          </w:p>
        </w:tc>
        <w:tc>
          <w:tcPr>
            <w:tcW w:w="5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三级指标</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分值</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eastAsia="宋体" w:cs="宋体"/>
                <w:b/>
                <w:i w:val="0"/>
                <w:color w:val="auto"/>
                <w:kern w:val="0"/>
                <w:sz w:val="21"/>
                <w:szCs w:val="21"/>
                <w:highlight w:val="none"/>
                <w:u w:val="none"/>
                <w:lang w:val="en-US" w:eastAsia="zh-CN" w:bidi="ar"/>
              </w:rPr>
              <w:t>四级指标</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2"/>
                <w:sz w:val="21"/>
                <w:szCs w:val="21"/>
                <w:highlight w:val="none"/>
                <w:u w:val="none"/>
                <w:lang w:val="en-US" w:eastAsia="zh-CN" w:bidi="ar-SA"/>
              </w:rPr>
            </w:pPr>
            <w:r>
              <w:rPr>
                <w:rFonts w:hint="eastAsia" w:ascii="宋体" w:hAnsi="宋体" w:cs="宋体"/>
                <w:b/>
                <w:i w:val="0"/>
                <w:color w:val="auto"/>
                <w:kern w:val="0"/>
                <w:sz w:val="21"/>
                <w:szCs w:val="21"/>
                <w:highlight w:val="none"/>
                <w:u w:val="none"/>
                <w:lang w:val="en-US" w:eastAsia="zh-CN" w:bidi="ar"/>
              </w:rPr>
              <w:t>2017得分</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2018得分</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2019得分</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综合得分</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C政策效果</w:t>
            </w:r>
          </w:p>
        </w:tc>
        <w:tc>
          <w:tcPr>
            <w:tcW w:w="217"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60分</w:t>
            </w:r>
          </w:p>
        </w:tc>
        <w:tc>
          <w:tcPr>
            <w:tcW w:w="347"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C1政策执行效果(40分）</w:t>
            </w:r>
          </w:p>
        </w:tc>
        <w:tc>
          <w:tcPr>
            <w:tcW w:w="214"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23</w:t>
            </w:r>
          </w:p>
        </w:tc>
        <w:tc>
          <w:tcPr>
            <w:tcW w:w="52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C11政策产出</w:t>
            </w:r>
          </w:p>
        </w:tc>
        <w:tc>
          <w:tcPr>
            <w:tcW w:w="22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23</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C111政策目标完成率</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85.71</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C112政策目标完成质量</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3.5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4.5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50</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7</w:t>
            </w:r>
          </w:p>
        </w:tc>
        <w:tc>
          <w:tcPr>
            <w:tcW w:w="52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C12政策经济效益</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3</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C121营业收入增长率</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0.67</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33.33</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4</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C123税收增长率</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0.67</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2.33</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w:t>
            </w:r>
            <w:r>
              <w:rPr>
                <w:rFonts w:hint="eastAsia" w:ascii="仿宋" w:hAnsi="仿宋" w:cs="仿宋"/>
                <w:i w:val="0"/>
                <w:color w:val="auto"/>
                <w:kern w:val="0"/>
                <w:sz w:val="21"/>
                <w:szCs w:val="21"/>
                <w:highlight w:val="none"/>
                <w:u w:val="none"/>
                <w:lang w:val="en-US" w:eastAsia="zh-CN" w:bidi="ar"/>
              </w:rPr>
              <w:t>0</w:t>
            </w:r>
          </w:p>
        </w:tc>
        <w:tc>
          <w:tcPr>
            <w:tcW w:w="52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C13政策社会效益</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2</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C131产业结构改善度</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1.5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75</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3</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C132引入项目环保耗能情况</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2.33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77.77</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2</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C135社会影响力</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21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347"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14"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cs="仿宋"/>
                <w:i w:val="0"/>
                <w:color w:val="auto"/>
                <w:sz w:val="21"/>
                <w:szCs w:val="21"/>
                <w:highlight w:val="none"/>
                <w:u w:val="none"/>
                <w:lang w:val="en-US" w:eastAsia="zh-CN"/>
              </w:rPr>
              <w:t>3</w:t>
            </w:r>
          </w:p>
        </w:tc>
        <w:tc>
          <w:tcPr>
            <w:tcW w:w="122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C136就业增加率</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w:t>
            </w:r>
            <w:r>
              <w:rPr>
                <w:rFonts w:hint="eastAsia" w:ascii="仿宋" w:hAnsi="仿宋" w:cs="仿宋"/>
                <w:i w:val="0"/>
                <w:color w:val="auto"/>
                <w:kern w:val="0"/>
                <w:sz w:val="21"/>
                <w:szCs w:val="21"/>
                <w:highlight w:val="none"/>
                <w:u w:val="none"/>
                <w:lang w:val="en-US" w:eastAsia="zh-CN" w:bidi="ar"/>
              </w:rPr>
              <w:t>18</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0.0</w:t>
            </w:r>
            <w:r>
              <w:rPr>
                <w:rFonts w:hint="eastAsia" w:ascii="仿宋" w:hAnsi="仿宋" w:cs="仿宋"/>
                <w:i w:val="0"/>
                <w:color w:val="auto"/>
                <w:kern w:val="0"/>
                <w:sz w:val="21"/>
                <w:szCs w:val="21"/>
                <w:highlight w:val="none"/>
                <w:u w:val="none"/>
                <w:lang w:val="en-US" w:eastAsia="zh-CN" w:bidi="ar"/>
              </w:rPr>
              <w:t>15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0.065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2.1</w:t>
            </w:r>
            <w:r>
              <w:rPr>
                <w:rFonts w:hint="eastAsia" w:ascii="仿宋" w:hAnsi="仿宋" w:cs="仿宋"/>
                <w:i w:val="0"/>
                <w:color w:val="auto"/>
                <w:kern w:val="0"/>
                <w:sz w:val="21"/>
                <w:szCs w:val="21"/>
                <w:highlight w:val="none"/>
                <w:u w:val="none"/>
                <w:lang w:val="en-US" w:eastAsia="zh-CN" w:bidi="ar"/>
              </w:rPr>
              <w:t>7</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C2政策执行满意度（8分）</w:t>
            </w:r>
          </w:p>
        </w:tc>
        <w:tc>
          <w:tcPr>
            <w:tcW w:w="214"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8</w:t>
            </w:r>
          </w:p>
        </w:tc>
        <w:tc>
          <w:tcPr>
            <w:tcW w:w="520"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C21服务对象满意度</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4</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C211</w:t>
            </w:r>
            <w:r>
              <w:rPr>
                <w:rFonts w:hint="eastAsia" w:ascii="仿宋" w:hAnsi="仿宋" w:eastAsia="仿宋" w:cs="仿宋"/>
                <w:i w:val="0"/>
                <w:color w:val="auto"/>
                <w:sz w:val="21"/>
                <w:szCs w:val="21"/>
                <w:highlight w:val="none"/>
                <w:u w:val="none"/>
              </w:rPr>
              <w:t>政策执行机构满意度</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r>
              <w:rPr>
                <w:rFonts w:hint="eastAsia" w:ascii="仿宋" w:hAnsi="仿宋" w:cs="仿宋"/>
                <w:i w:val="0"/>
                <w:color w:val="auto"/>
                <w:kern w:val="0"/>
                <w:sz w:val="21"/>
                <w:szCs w:val="21"/>
                <w:highlight w:val="none"/>
                <w:u w:val="none"/>
                <w:lang w:val="en-US" w:eastAsia="zh-CN" w:bidi="ar"/>
              </w:rPr>
              <w:t>.2</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80</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4"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20" w:type="pct"/>
            <w:vMerge w:val="continue"/>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C211</w:t>
            </w:r>
            <w:r>
              <w:rPr>
                <w:rFonts w:hint="eastAsia" w:ascii="仿宋" w:hAnsi="仿宋" w:eastAsia="仿宋" w:cs="仿宋"/>
                <w:i w:val="0"/>
                <w:color w:val="auto"/>
                <w:sz w:val="21"/>
                <w:szCs w:val="21"/>
                <w:highlight w:val="none"/>
                <w:u w:val="none"/>
              </w:rPr>
              <w:t>政策受益单位满意度</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4</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C3政策的示范性（12分）</w:t>
            </w:r>
          </w:p>
        </w:tc>
        <w:tc>
          <w:tcPr>
            <w:tcW w:w="214" w:type="pct"/>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12</w:t>
            </w:r>
          </w:p>
        </w:tc>
        <w:tc>
          <w:tcPr>
            <w:tcW w:w="5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C31政策创新性</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仿宋" w:hAnsi="仿宋" w:eastAsia="仿宋" w:cs="仿宋"/>
                <w:i w:val="0"/>
                <w:color w:val="auto"/>
                <w:sz w:val="21"/>
                <w:szCs w:val="21"/>
                <w:highlight w:val="none"/>
                <w:u w:val="none"/>
              </w:rPr>
            </w:pP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4"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C32政策时效性</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仿宋" w:hAnsi="仿宋" w:eastAsia="仿宋" w:cs="仿宋"/>
                <w:i w:val="0"/>
                <w:color w:val="auto"/>
                <w:sz w:val="21"/>
                <w:szCs w:val="21"/>
                <w:highlight w:val="none"/>
                <w:u w:val="none"/>
              </w:rPr>
            </w:pP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4"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C33</w:t>
            </w:r>
            <w:r>
              <w:rPr>
                <w:rFonts w:hint="eastAsia" w:ascii="仿宋" w:hAnsi="仿宋" w:eastAsia="仿宋" w:cs="仿宋"/>
                <w:i w:val="0"/>
                <w:color w:val="auto"/>
                <w:sz w:val="21"/>
                <w:szCs w:val="21"/>
                <w:highlight w:val="none"/>
                <w:u w:val="none"/>
              </w:rPr>
              <w:t>政策辐射性</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仿宋" w:hAnsi="仿宋" w:eastAsia="仿宋" w:cs="仿宋"/>
                <w:i w:val="0"/>
                <w:color w:val="auto"/>
                <w:sz w:val="21"/>
                <w:szCs w:val="21"/>
                <w:highlight w:val="none"/>
                <w:u w:val="none"/>
              </w:rPr>
            </w:pP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83.33</w:t>
            </w:r>
            <w:r>
              <w:rPr>
                <w:rFonts w:hint="eastAsia" w:ascii="仿宋" w:hAnsi="仿宋" w:eastAsia="仿宋" w:cs="仿宋"/>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trPr>
        <w:tc>
          <w:tcPr>
            <w:tcW w:w="370"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347"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214" w:type="pct"/>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i w:val="0"/>
                <w:color w:val="auto"/>
                <w:sz w:val="21"/>
                <w:szCs w:val="21"/>
                <w:highlight w:val="none"/>
                <w:u w:val="none"/>
              </w:rPr>
            </w:pPr>
          </w:p>
        </w:tc>
        <w:tc>
          <w:tcPr>
            <w:tcW w:w="5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C34政策持续性</w:t>
            </w:r>
          </w:p>
        </w:tc>
        <w:tc>
          <w:tcPr>
            <w:tcW w:w="220"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3</w:t>
            </w:r>
          </w:p>
        </w:tc>
        <w:tc>
          <w:tcPr>
            <w:tcW w:w="1226" w:type="pct"/>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仿宋" w:hAnsi="仿宋" w:eastAsia="仿宋" w:cs="仿宋"/>
                <w:i w:val="0"/>
                <w:color w:val="auto"/>
                <w:sz w:val="21"/>
                <w:szCs w:val="21"/>
                <w:highlight w:val="none"/>
                <w:u w:val="none"/>
              </w:rPr>
            </w:pP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2</w:t>
            </w:r>
            <w:r>
              <w:rPr>
                <w:rFonts w:hint="eastAsia" w:ascii="仿宋" w:hAnsi="仿宋" w:cs="仿宋"/>
                <w:i w:val="0"/>
                <w:color w:val="auto"/>
                <w:kern w:val="0"/>
                <w:sz w:val="21"/>
                <w:szCs w:val="21"/>
                <w:highlight w:val="none"/>
                <w:u w:val="none"/>
                <w:lang w:val="en-US" w:eastAsia="zh-CN" w:bidi="ar"/>
              </w:rPr>
              <w:t>.5</w:t>
            </w:r>
          </w:p>
        </w:tc>
        <w:tc>
          <w:tcPr>
            <w:tcW w:w="376"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cs="仿宋"/>
                <w:i w:val="0"/>
                <w:color w:val="auto"/>
                <w:kern w:val="0"/>
                <w:sz w:val="21"/>
                <w:szCs w:val="21"/>
                <w:highlight w:val="none"/>
                <w:u w:val="none"/>
                <w:lang w:val="en-US" w:eastAsia="zh-CN" w:bidi="ar"/>
              </w:rPr>
              <w:t>83.33</w:t>
            </w:r>
            <w:r>
              <w:rPr>
                <w:rFonts w:hint="eastAsia" w:ascii="仿宋" w:hAnsi="仿宋" w:eastAsia="仿宋" w:cs="仿宋"/>
                <w:i w:val="0"/>
                <w:color w:val="auto"/>
                <w:kern w:val="0"/>
                <w:sz w:val="21"/>
                <w:szCs w:val="21"/>
                <w:highlight w:val="none"/>
                <w:u w:val="none"/>
                <w:lang w:val="en-US" w:eastAsia="zh-CN" w:bidi="ar"/>
              </w:rPr>
              <w:t>%</w:t>
            </w:r>
          </w:p>
        </w:tc>
      </w:tr>
    </w:tbl>
    <w:p>
      <w:pPr>
        <w:pStyle w:val="3"/>
        <w:bidi w:val="0"/>
        <w:rPr>
          <w:rFonts w:hint="eastAsia"/>
          <w:color w:val="000000" w:themeColor="text1"/>
          <w:highlight w:val="none"/>
          <w14:textFill>
            <w14:solidFill>
              <w14:schemeClr w14:val="tx1"/>
            </w14:solidFill>
          </w14:textFill>
        </w:rPr>
        <w:sectPr>
          <w:headerReference r:id="rId10" w:type="default"/>
          <w:footerReference r:id="rId11" w:type="default"/>
          <w:pgSz w:w="16838" w:h="11906" w:orient="landscape"/>
          <w:pgMar w:top="1587" w:right="1440" w:bottom="1587" w:left="1440" w:header="737" w:footer="850" w:gutter="0"/>
          <w:pgNumType w:fmt="decimal"/>
          <w:cols w:space="720" w:num="1"/>
          <w:docGrid w:type="lines" w:linePitch="410" w:charSpace="0"/>
        </w:sectPr>
      </w:pPr>
    </w:p>
    <w:p>
      <w:pPr>
        <w:pStyle w:val="3"/>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四、主要经验及做法、存在的问题和建议</w:t>
      </w:r>
      <w:bookmarkEnd w:id="64"/>
      <w:bookmarkEnd w:id="65"/>
      <w:bookmarkEnd w:id="66"/>
      <w:bookmarkEnd w:id="67"/>
      <w:bookmarkEnd w:id="68"/>
      <w:bookmarkEnd w:id="69"/>
      <w:bookmarkEnd w:id="70"/>
    </w:p>
    <w:p>
      <w:pPr>
        <w:pStyle w:val="4"/>
        <w:bidi w:val="0"/>
        <w:rPr>
          <w:rFonts w:hint="eastAsia" w:eastAsia="宋体"/>
          <w:color w:val="000000" w:themeColor="text1"/>
          <w:highlight w:val="none"/>
          <w:lang w:eastAsia="zh-CN"/>
          <w14:textFill>
            <w14:solidFill>
              <w14:schemeClr w14:val="tx1"/>
            </w14:solidFill>
          </w14:textFill>
        </w:rPr>
      </w:pPr>
      <w:bookmarkStart w:id="71" w:name="_Toc23934"/>
      <w:bookmarkStart w:id="72" w:name="_Toc17589"/>
      <w:bookmarkStart w:id="73" w:name="_Toc32380"/>
      <w:bookmarkStart w:id="74" w:name="_Toc15198"/>
      <w:bookmarkStart w:id="75" w:name="_Toc34756654"/>
      <w:bookmarkStart w:id="76" w:name="_Toc23507"/>
      <w:bookmarkStart w:id="77" w:name="_Toc18930"/>
      <w:r>
        <w:rPr>
          <w:rFonts w:hint="eastAsia"/>
          <w:color w:val="000000" w:themeColor="text1"/>
          <w:highlight w:val="none"/>
          <w14:textFill>
            <w14:solidFill>
              <w14:schemeClr w14:val="tx1"/>
            </w14:solidFill>
          </w14:textFill>
        </w:rPr>
        <w:t>（一）主要经验及做法</w:t>
      </w:r>
      <w:bookmarkEnd w:id="71"/>
      <w:bookmarkEnd w:id="72"/>
      <w:bookmarkEnd w:id="73"/>
      <w:bookmarkEnd w:id="74"/>
      <w:bookmarkEnd w:id="75"/>
      <w:bookmarkEnd w:id="76"/>
      <w:bookmarkEnd w:id="77"/>
    </w:p>
    <w:p>
      <w:pPr>
        <w:bidi w:val="0"/>
        <w:rPr>
          <w:rFonts w:hint="eastAsia"/>
          <w:lang w:val="en-US" w:eastAsia="zh-CN"/>
        </w:rPr>
      </w:pPr>
      <w:r>
        <w:rPr>
          <w:rFonts w:hint="eastAsia"/>
          <w:lang w:val="en-US" w:eastAsia="zh-CN"/>
        </w:rPr>
        <w:t>1.坚持目标导向，精准定位</w:t>
      </w:r>
    </w:p>
    <w:p>
      <w:pPr>
        <w:bidi w:val="0"/>
        <w:rPr>
          <w:rFonts w:hint="default"/>
          <w:lang w:val="en-US" w:eastAsia="zh-CN"/>
        </w:rPr>
      </w:pPr>
      <w:r>
        <w:rPr>
          <w:rFonts w:hint="eastAsia"/>
          <w:lang w:val="en-US" w:eastAsia="zh-CN"/>
        </w:rPr>
        <w:t>2017-2018年度“现代产业精准招商”，提出了现代产业优先招引的迫切领域。2019年度开始贯彻落实“全市新旧动能转换重大工程和“双招双引”。坚持以目标为导向，定位准确，有利于招商引资的方向指引。</w:t>
      </w:r>
    </w:p>
    <w:p>
      <w:pPr>
        <w:bidi w:val="0"/>
        <w:rPr>
          <w:rFonts w:hint="eastAsia"/>
          <w:lang w:val="en-US" w:eastAsia="zh-CN"/>
        </w:rPr>
      </w:pPr>
      <w:r>
        <w:rPr>
          <w:rFonts w:hint="eastAsia"/>
          <w:lang w:val="en-US" w:eastAsia="zh-CN"/>
        </w:rPr>
        <w:t>2.建立具有特色的定向招商团队</w:t>
      </w:r>
    </w:p>
    <w:p>
      <w:pPr>
        <w:bidi w:val="0"/>
        <w:rPr>
          <w:rFonts w:hint="eastAsia"/>
          <w:lang w:val="en-US" w:eastAsia="zh-CN"/>
        </w:rPr>
      </w:pPr>
      <w:r>
        <w:rPr>
          <w:rFonts w:hint="eastAsia"/>
          <w:lang w:val="en-US" w:eastAsia="zh-CN"/>
        </w:rPr>
        <w:t>成立了海洋新兴产业定向招商专业团队、智能制造装备产业定向招商专业团队、轨道交通装备产业定向招商专业团队、新能源乘用车产业定向招商专业团队等30个定向招商团队，并制定了详细的工作方案和任务分解，能够有效指导开展招商工作。</w:t>
      </w:r>
    </w:p>
    <w:p>
      <w:pPr>
        <w:pStyle w:val="4"/>
        <w:bidi w:val="0"/>
        <w:rPr>
          <w:rFonts w:hint="default" w:eastAsia="宋体"/>
          <w:color w:val="000000" w:themeColor="text1"/>
          <w:highlight w:val="none"/>
          <w:lang w:val="en-US" w:eastAsia="zh-CN"/>
          <w14:textFill>
            <w14:solidFill>
              <w14:schemeClr w14:val="tx1"/>
            </w14:solidFill>
          </w14:textFill>
        </w:rPr>
      </w:pPr>
      <w:bookmarkStart w:id="78" w:name="_Toc303"/>
      <w:bookmarkStart w:id="79" w:name="_Toc7277"/>
      <w:bookmarkStart w:id="80" w:name="_Toc34756655"/>
      <w:bookmarkStart w:id="81" w:name="_Toc16457"/>
      <w:bookmarkStart w:id="82" w:name="_Toc8695"/>
      <w:bookmarkStart w:id="83" w:name="_Toc19358"/>
      <w:bookmarkStart w:id="84" w:name="_Toc29372"/>
      <w:r>
        <w:rPr>
          <w:rFonts w:hint="eastAsia"/>
          <w:color w:val="000000" w:themeColor="text1"/>
          <w:highlight w:val="none"/>
          <w14:textFill>
            <w14:solidFill>
              <w14:schemeClr w14:val="tx1"/>
            </w14:solidFill>
          </w14:textFill>
        </w:rPr>
        <w:t>（二）存在的问题</w:t>
      </w:r>
      <w:bookmarkEnd w:id="78"/>
      <w:bookmarkEnd w:id="79"/>
      <w:bookmarkEnd w:id="80"/>
      <w:bookmarkEnd w:id="81"/>
      <w:bookmarkEnd w:id="82"/>
      <w:bookmarkEnd w:id="83"/>
      <w:bookmarkEnd w:id="84"/>
    </w:p>
    <w:p>
      <w:pPr>
        <w:ind w:firstLine="640"/>
        <w:rPr>
          <w:highlight w:val="none"/>
        </w:rPr>
      </w:pPr>
      <w:r>
        <w:rPr>
          <w:rFonts w:hint="eastAsia"/>
          <w:highlight w:val="none"/>
        </w:rPr>
        <w:t>1、政策制定方面问题</w:t>
      </w:r>
    </w:p>
    <w:p>
      <w:pPr>
        <w:ind w:firstLine="640"/>
        <w:rPr>
          <w:highlight w:val="none"/>
        </w:rPr>
      </w:pPr>
      <w:r>
        <w:rPr>
          <w:rFonts w:hint="eastAsia"/>
          <w:highlight w:val="none"/>
        </w:rPr>
        <w:t>（1）预算项目绩效目标填报不合理</w:t>
      </w:r>
    </w:p>
    <w:p>
      <w:pPr>
        <w:ind w:firstLine="640"/>
        <w:rPr>
          <w:highlight w:val="none"/>
        </w:rPr>
      </w:pPr>
      <w:r>
        <w:rPr>
          <w:rFonts w:hint="eastAsia"/>
          <w:highlight w:val="none"/>
        </w:rPr>
        <w:t>从2019年青岛市商务局对招商项目的绩效目标申报表可以看出，没有针对该招商经费专项资金项目做单独的绩效目标申报表，均是将其作为某个项目的其中一部分进行绩效目标填报。同时，市商务局填报的目标内容针对性不强、指标值和项目真实情况不吻合、与下达给各资金使用单位的具体“合同外资和签约内资”的任务目标没有结合。如市商务局2019年招商经费绩效目标制定为“2019年引进外资项目500个，利用外资年度目标FDI实际外资为60亿美元；2019年引进内资项目1050个，利用内资年度目标为2300亿元。其中世界500强企业及行业领军企业20家，国内500强企业及行业领军企业30家，新旧动能转换项目50个”。而市商务局招商经费给各招商团队下达的任务目标是内资940亿元，外资352000万美元，两个绩效或政策目标</w:t>
      </w:r>
      <w:r>
        <w:rPr>
          <w:rFonts w:hint="eastAsia"/>
          <w:highlight w:val="none"/>
          <w:lang w:val="en-US" w:eastAsia="zh-CN"/>
        </w:rPr>
        <w:t>表述</w:t>
      </w:r>
      <w:r>
        <w:rPr>
          <w:rFonts w:hint="eastAsia"/>
          <w:highlight w:val="none"/>
        </w:rPr>
        <w:t>不符。</w:t>
      </w:r>
    </w:p>
    <w:p>
      <w:pPr>
        <w:ind w:firstLine="640"/>
        <w:rPr>
          <w:highlight w:val="none"/>
        </w:rPr>
      </w:pPr>
      <w:r>
        <w:rPr>
          <w:rFonts w:hint="eastAsia"/>
          <w:highlight w:val="none"/>
        </w:rPr>
        <w:t>（2）资源分配存在一定程度的不合理</w:t>
      </w:r>
    </w:p>
    <w:p>
      <w:pPr>
        <w:ind w:firstLine="640"/>
        <w:rPr>
          <w:highlight w:val="none"/>
        </w:rPr>
      </w:pPr>
      <w:r>
        <w:rPr>
          <w:rFonts w:hint="eastAsia"/>
          <w:highlight w:val="none"/>
        </w:rPr>
        <w:t>2017年未提供相关的招商经费分配方法。2018年和2019年预算安排内容与专项资金设立目的和工作重点匹配程度存在部分不吻合，如部分资金使用单位（如市生态环境局）年度经费尚存在结余，部分资金使用单位（如市科技局）反映年度经费不够。</w:t>
      </w:r>
    </w:p>
    <w:p>
      <w:pPr>
        <w:ind w:firstLine="640"/>
        <w:rPr>
          <w:highlight w:val="none"/>
        </w:rPr>
      </w:pPr>
      <w:r>
        <w:rPr>
          <w:rFonts w:hint="eastAsia"/>
          <w:highlight w:val="none"/>
        </w:rPr>
        <w:t>（3）将“合同外资和签约内资”作为考核指标合理性有待商榷</w:t>
      </w:r>
    </w:p>
    <w:p>
      <w:pPr>
        <w:ind w:firstLine="640"/>
        <w:rPr>
          <w:highlight w:val="none"/>
        </w:rPr>
      </w:pPr>
      <w:r>
        <w:rPr>
          <w:rFonts w:hint="eastAsia"/>
          <w:highlight w:val="none"/>
        </w:rPr>
        <w:t>2019年，</w:t>
      </w:r>
      <w:r>
        <w:rPr>
          <w:rFonts w:hint="eastAsia"/>
          <w:highlight w:val="none"/>
          <w:lang w:val="zh-CN"/>
        </w:rPr>
        <w:t>市直部门和专业招商团队招商引资指标设定</w:t>
      </w:r>
      <w:r>
        <w:rPr>
          <w:rFonts w:hint="eastAsia"/>
          <w:highlight w:val="none"/>
        </w:rPr>
        <w:t>2</w:t>
      </w:r>
      <w:r>
        <w:rPr>
          <w:rFonts w:hint="eastAsia"/>
          <w:highlight w:val="none"/>
          <w:lang w:val="zh-CN"/>
        </w:rPr>
        <w:t>个，即合同外资和签约内资。</w:t>
      </w:r>
      <w:r>
        <w:rPr>
          <w:rFonts w:hint="eastAsia"/>
          <w:highlight w:val="none"/>
        </w:rPr>
        <w:t>青岛市对区（市）的招商引资的考核指标为到位资金。将“合同外资和签约内资”作为考核指标，可能导致表面上签约金额很高，实际上到位资金很低甚至为零的现象普遍存在。同时部分部门(如科技局）承担了科研机构的引进工作，不存在合同签约金额，但是引进科研机构也会对青岛市长期带来巨大的正向影响。故仅仅将“合同外资和签约内资”作为考核指标的合理性和有效性有待商榷，无法为政府决策提供参考。</w:t>
      </w:r>
    </w:p>
    <w:p>
      <w:pPr>
        <w:ind w:firstLine="640"/>
        <w:rPr>
          <w:highlight w:val="none"/>
        </w:rPr>
      </w:pPr>
      <w:r>
        <w:rPr>
          <w:rFonts w:hint="eastAsia"/>
          <w:highlight w:val="none"/>
        </w:rPr>
        <w:t>2、政策执行方面问题</w:t>
      </w:r>
    </w:p>
    <w:p>
      <w:pPr>
        <w:ind w:firstLine="640"/>
        <w:rPr>
          <w:highlight w:val="none"/>
        </w:rPr>
      </w:pPr>
      <w:r>
        <w:rPr>
          <w:rFonts w:hint="eastAsia"/>
          <w:highlight w:val="none"/>
        </w:rPr>
        <w:t>（1）多个资金使用单位没有固定招商专门机构，积极性不高</w:t>
      </w:r>
    </w:p>
    <w:p>
      <w:pPr>
        <w:ind w:firstLine="640"/>
        <w:rPr>
          <w:highlight w:val="none"/>
        </w:rPr>
      </w:pPr>
      <w:r>
        <w:rPr>
          <w:rFonts w:hint="eastAsia"/>
          <w:highlight w:val="none"/>
        </w:rPr>
        <w:t>除工信局、发改委、市地方金融监管局、市场监管局等成立了固定的招商处室外，多个资金使用单位没有固定招商专门机构，招商引资的人员分散在各个处室的现象具有一定的普遍性，造成凝聚力不强、战斗力弱，信息沟通能力差。</w:t>
      </w:r>
    </w:p>
    <w:p>
      <w:pPr>
        <w:ind w:firstLine="640"/>
        <w:rPr>
          <w:highlight w:val="none"/>
        </w:rPr>
      </w:pPr>
      <w:r>
        <w:rPr>
          <w:rFonts w:hint="eastAsia"/>
          <w:highlight w:val="none"/>
        </w:rPr>
        <w:t>（2）缺少市商务局、牵头单位和定向招商团队定期牵头协调机制</w:t>
      </w:r>
    </w:p>
    <w:p>
      <w:pPr>
        <w:ind w:firstLine="640"/>
        <w:rPr>
          <w:highlight w:val="none"/>
        </w:rPr>
      </w:pPr>
      <w:r>
        <w:rPr>
          <w:rFonts w:hint="eastAsia"/>
          <w:highlight w:val="none"/>
        </w:rPr>
        <w:t>根据《青岛市现代产业精准招商30个专业团队2018年工作方案汇编》，方案要求牵头单位和定向招商团队应该建立互通互联的协同工作机制。要求专业团队各成员定期上报招商工作情况，实现对走访工作的动态信息采集，建立重点项目调度工作机制。任务安排而不是沟通交流，导致招引政策执行部门满意度不高，且无法发现执行部门和团队的困难和不足，无法及时进行调整与更正。评价过程中，要求各资金使用单位提供绩效评价相关材料，因为缺乏互联互通的协同工作机制，导致部分资金使用单位未提供相关评价材料，评价得分低于70分。</w:t>
      </w:r>
    </w:p>
    <w:p>
      <w:pPr>
        <w:ind w:firstLine="640"/>
        <w:rPr>
          <w:highlight w:val="none"/>
        </w:rPr>
      </w:pPr>
      <w:r>
        <w:rPr>
          <w:rFonts w:hint="eastAsia"/>
          <w:highlight w:val="none"/>
        </w:rPr>
        <w:t>（3）对招商项目缺乏有效的跟踪和调度</w:t>
      </w:r>
    </w:p>
    <w:p>
      <w:pPr>
        <w:ind w:firstLine="640"/>
        <w:rPr>
          <w:highlight w:val="none"/>
        </w:rPr>
      </w:pPr>
      <w:r>
        <w:rPr>
          <w:rFonts w:hint="eastAsia"/>
          <w:highlight w:val="none"/>
        </w:rPr>
        <w:t>市商务局对新引进当年的外资项目税收情况、营业收入、吸收就业情况等，进行了调度，但未持续进行跟踪调度，内资项目的跟踪调度机制缺失，无法了解已经完成任务的招商引资项目真正产生的效果。</w:t>
      </w:r>
    </w:p>
    <w:p>
      <w:pPr>
        <w:ind w:firstLine="640"/>
        <w:rPr>
          <w:highlight w:val="none"/>
        </w:rPr>
      </w:pPr>
      <w:r>
        <w:rPr>
          <w:rFonts w:hint="eastAsia"/>
          <w:highlight w:val="none"/>
        </w:rPr>
        <w:t>（4）招商引资任务完成，奖励制度未落实到位</w:t>
      </w:r>
    </w:p>
    <w:p>
      <w:pPr>
        <w:ind w:firstLine="640"/>
        <w:rPr>
          <w:highlight w:val="none"/>
        </w:rPr>
      </w:pPr>
      <w:r>
        <w:rPr>
          <w:rFonts w:hint="eastAsia"/>
          <w:highlight w:val="none"/>
        </w:rPr>
        <w:t>根据《青岛市专业招商团队和市直部门招商引资绩效考核办法》，绩效考核完成目标任务：予以全市通报表彰；对年度招商经费有结余的，可转为部门公用经费统筹使用；对当年招商经费不足的通过绩效激励经费给予奖励补足，按照每超额完成外资目标 1 亿美元，安排绩效激励经费 3 万元，内资目标参照同一标准进行折算。据与市商务局投促处和各资金使用单位访谈，该项资金已经按照办法进行考核，未兑现奖励。</w:t>
      </w:r>
    </w:p>
    <w:p>
      <w:pPr>
        <w:ind w:firstLine="640"/>
        <w:rPr>
          <w:highlight w:val="none"/>
        </w:rPr>
      </w:pPr>
      <w:r>
        <w:rPr>
          <w:rFonts w:hint="eastAsia"/>
          <w:highlight w:val="none"/>
        </w:rPr>
        <w:t>（5）经费使用办法和绩效考核办法部分条款存在冲突</w:t>
      </w:r>
    </w:p>
    <w:p>
      <w:pPr>
        <w:ind w:firstLine="640"/>
        <w:rPr>
          <w:highlight w:val="none"/>
        </w:rPr>
      </w:pPr>
      <w:r>
        <w:rPr>
          <w:rFonts w:hint="eastAsia"/>
          <w:highlight w:val="none"/>
        </w:rPr>
        <w:t>关于印发《青岛市专业招商团队和市直部门招商引资绩效考核办法》的通知（青招促字〔2018〕3 号）文件中，“绩效考核完成目标任务：予以全市通报表彰；对年度招商经费有结余的，可转为部门公用经费统筹使用”，未规定具体的考核时间。</w:t>
      </w:r>
    </w:p>
    <w:p>
      <w:pPr>
        <w:ind w:firstLine="640"/>
        <w:rPr>
          <w:highlight w:val="none"/>
        </w:rPr>
      </w:pPr>
      <w:r>
        <w:rPr>
          <w:rFonts w:hint="eastAsia"/>
          <w:highlight w:val="none"/>
        </w:rPr>
        <w:t>据访谈和了解，2019年的招商绩效目标任务考核结果在2020年1月份发布。部分资金使用单位2019年不清楚绩效考核任务是否完成，在转为公用经费统筹使用时存疑，存在已完成任务但未进行考核，未能按文件要求将剩余资金转为公用经费统筹使用</w:t>
      </w:r>
      <w:r>
        <w:rPr>
          <w:rFonts w:hint="eastAsia"/>
          <w:highlight w:val="none"/>
          <w:lang w:val="en-US" w:eastAsia="zh-CN"/>
        </w:rPr>
        <w:t>的现象</w:t>
      </w:r>
      <w:r>
        <w:rPr>
          <w:rFonts w:hint="eastAsia"/>
          <w:highlight w:val="none"/>
        </w:rPr>
        <w:t>，导致预算执行率低。</w:t>
      </w:r>
    </w:p>
    <w:p>
      <w:pPr>
        <w:ind w:firstLine="640"/>
        <w:rPr>
          <w:highlight w:val="none"/>
        </w:rPr>
      </w:pPr>
      <w:r>
        <w:rPr>
          <w:rFonts w:hint="eastAsia"/>
          <w:highlight w:val="none"/>
        </w:rPr>
        <w:t>3、政策效果方面问题</w:t>
      </w:r>
    </w:p>
    <w:p>
      <w:pPr>
        <w:ind w:firstLine="640"/>
        <w:rPr>
          <w:highlight w:val="none"/>
        </w:rPr>
      </w:pPr>
      <w:r>
        <w:rPr>
          <w:rFonts w:hint="eastAsia"/>
          <w:highlight w:val="none"/>
        </w:rPr>
        <w:t>（1）引进项目的产业类别结构有待进一步优化</w:t>
      </w:r>
    </w:p>
    <w:p>
      <w:pPr>
        <w:ind w:firstLine="640"/>
        <w:rPr>
          <w:highlight w:val="none"/>
        </w:rPr>
      </w:pPr>
      <w:r>
        <w:rPr>
          <w:rFonts w:hint="eastAsia"/>
          <w:highlight w:val="none"/>
        </w:rPr>
        <w:t>2017年和2018年均未提供引进内资项目的清单，无法判断引进内资项目对青岛产业类别和产业机构的改善度。通过市商务局外资处提供的2017-2019年的引进外资项目清单和2019年市直部门和专业招商团队引进的内资项目清单，发现引进工业制造业特别是高科技制造业项目数量偏少，重大产业项目偏少，国际著名大项目偏少，带动产业链集聚的头部企业项目偏少，具有隐形冠军潜质的项目偏少等问题。</w:t>
      </w:r>
    </w:p>
    <w:p>
      <w:pPr>
        <w:ind w:firstLine="640"/>
        <w:rPr>
          <w:highlight w:val="none"/>
        </w:rPr>
      </w:pPr>
      <w:r>
        <w:rPr>
          <w:rFonts w:hint="eastAsia"/>
          <w:highlight w:val="none"/>
        </w:rPr>
        <w:t>（2）没有建立政策效益等数据获取机制</w:t>
      </w:r>
    </w:p>
    <w:p>
      <w:pPr>
        <w:ind w:firstLine="640"/>
        <w:rPr>
          <w:highlight w:val="none"/>
        </w:rPr>
      </w:pPr>
      <w:r>
        <w:rPr>
          <w:rFonts w:hint="eastAsia"/>
          <w:highlight w:val="none"/>
        </w:rPr>
        <w:t>政策的经济效益如营业收入增长率、税收增长率，社会效益的就业增加率均无法全面和可持续地获取数据，其原因在于商务局和各资金使用单位均未执行有效的政策项目跟踪和调度机制，缺乏与所引进项目的进一步沟通的机制。</w:t>
      </w:r>
    </w:p>
    <w:p>
      <w:pPr>
        <w:ind w:firstLine="640"/>
        <w:rPr>
          <w:highlight w:val="none"/>
        </w:rPr>
      </w:pPr>
      <w:r>
        <w:rPr>
          <w:rFonts w:hint="eastAsia"/>
          <w:highlight w:val="none"/>
        </w:rPr>
        <w:t>（3）政策的示范引领效应有待提高</w:t>
      </w:r>
    </w:p>
    <w:p>
      <w:pPr>
        <w:ind w:firstLine="640"/>
        <w:rPr>
          <w:highlight w:val="none"/>
        </w:rPr>
      </w:pPr>
      <w:r>
        <w:rPr>
          <w:rFonts w:hint="eastAsia"/>
          <w:highlight w:val="none"/>
        </w:rPr>
        <w:t>该政策在具体实践过程中，对市直部门和定向招商团队分类管理，结合产业需求进行分类招商，具有推广价值，但尚未形成一套系统可推广的方案，辐射作用尚未出现。2020年，政策的运行方式发生了变化，按照“十强”产业及重点领域的方式进行招商，招商方式和经费拨付方式发生了变化，原有的30个专业招商团队的模式发生了变化。据了解，2020年的招商经费截</w:t>
      </w:r>
      <w:r>
        <w:rPr>
          <w:rFonts w:hint="eastAsia"/>
          <w:highlight w:val="none"/>
          <w:lang w:val="en-US" w:eastAsia="zh-CN"/>
        </w:rPr>
        <w:t>至</w:t>
      </w:r>
      <w:r>
        <w:rPr>
          <w:rFonts w:hint="eastAsia"/>
          <w:highlight w:val="none"/>
        </w:rPr>
        <w:t>评价截止日（2020.8.31）均还未完成分配和拨付。</w:t>
      </w:r>
    </w:p>
    <w:p>
      <w:pPr>
        <w:pStyle w:val="4"/>
        <w:ind w:firstLine="640"/>
        <w:rPr>
          <w:rFonts w:eastAsia="宋体"/>
          <w:highlight w:val="none"/>
        </w:rPr>
      </w:pPr>
      <w:bookmarkStart w:id="85" w:name="_Toc34756656"/>
      <w:bookmarkStart w:id="86" w:name="_Toc28853"/>
      <w:bookmarkStart w:id="87" w:name="_Toc13451"/>
      <w:bookmarkStart w:id="88" w:name="_Toc24091"/>
      <w:bookmarkStart w:id="89" w:name="_Toc5207"/>
      <w:r>
        <w:rPr>
          <w:rFonts w:hint="eastAsia"/>
          <w:highlight w:val="none"/>
        </w:rPr>
        <w:t>（三）建议和改进措施</w:t>
      </w:r>
      <w:bookmarkEnd w:id="85"/>
      <w:bookmarkEnd w:id="86"/>
      <w:bookmarkEnd w:id="87"/>
      <w:bookmarkEnd w:id="88"/>
      <w:bookmarkEnd w:id="89"/>
    </w:p>
    <w:p>
      <w:pPr>
        <w:ind w:firstLine="640"/>
        <w:rPr>
          <w:highlight w:val="none"/>
        </w:rPr>
      </w:pPr>
      <w:r>
        <w:rPr>
          <w:rFonts w:hint="eastAsia"/>
          <w:highlight w:val="none"/>
        </w:rPr>
        <w:t>1.政策制定方面的改进建议</w:t>
      </w:r>
    </w:p>
    <w:p>
      <w:pPr>
        <w:ind w:firstLine="640"/>
        <w:rPr>
          <w:highlight w:val="none"/>
        </w:rPr>
      </w:pPr>
      <w:r>
        <w:rPr>
          <w:rFonts w:hint="eastAsia"/>
          <w:highlight w:val="none"/>
        </w:rPr>
        <w:t>（1）规范绩效目标填报和完善目标考核。按照招商引资政策未来能够达到的预期目标，结合十四五规划的长期目标，单独填报2021年度的年度政策或项目的绩效目标。结合2020年的经费拨付方式和招引效果的变化，从产出（数量、质量、成本、时效）和效益（经济、社会、生态和可持续影响）两个方面，在申报2021年预算时填报2021年的绩效目标，注意绩效目标填报的指标细化、量化和可衡量。根据对招商团队的实际情况的调研和访谈，摸清各招商团队对考核指标的要求，确定绩效目标的产出指标用多元化的指标来度量，如：到位资金+多元化指标，多元化指标可以选择税收、就业、投资总额等。对市直行业主管部门、</w:t>
      </w:r>
      <w:r>
        <w:rPr>
          <w:highlight w:val="none"/>
        </w:rPr>
        <w:t>市直综合部门</w:t>
      </w:r>
      <w:r>
        <w:rPr>
          <w:rFonts w:hint="eastAsia"/>
          <w:highlight w:val="none"/>
        </w:rPr>
        <w:t>实行分类指导、区别考核。</w:t>
      </w:r>
    </w:p>
    <w:p>
      <w:pPr>
        <w:ind w:firstLine="640"/>
        <w:rPr>
          <w:highlight w:val="none"/>
        </w:rPr>
      </w:pPr>
      <w:r>
        <w:rPr>
          <w:rFonts w:hint="eastAsia"/>
          <w:highlight w:val="none"/>
        </w:rPr>
        <w:t>（2）制定完善合理的招商经费使用管理方法。2020年市商务局制定了“十强产业+重点领域”的招商经费拨付办法，顺应山东省新旧动能转换的政策要求，但也将亟需该项资金开展招引工作的部门（如市科技局、市市场监管局等）排除在外。建议进一步对各招引部门进行调研和深度访谈，了解各部门的招引工作模式和经费短缺情况，将需要该项资金又急缺资金的部门纳入经费拨付范围，将不需该项经费的部门排除在经费拨付范围，合理制定2021年的经费拨付新模式，打好十四五期间招商引资的开局之战。</w:t>
      </w:r>
    </w:p>
    <w:p>
      <w:pPr>
        <w:ind w:firstLine="640"/>
        <w:rPr>
          <w:highlight w:val="none"/>
        </w:rPr>
      </w:pPr>
      <w:r>
        <w:rPr>
          <w:rFonts w:hint="eastAsia"/>
          <w:highlight w:val="none"/>
        </w:rPr>
        <w:t>2.政策执行方面的改进建议</w:t>
      </w:r>
    </w:p>
    <w:p>
      <w:pPr>
        <w:ind w:firstLine="640"/>
        <w:rPr>
          <w:highlight w:val="none"/>
        </w:rPr>
      </w:pPr>
      <w:r>
        <w:rPr>
          <w:rFonts w:hint="eastAsia"/>
          <w:highlight w:val="none"/>
        </w:rPr>
        <w:t>（1）建立定期跟踪、调度分析机制。签约仅仅是实现了招引第一步，应当制定完善的跟踪、协调、监督、调度和信息沟通机制，确保项目的落地开花，实时做好企业经营发展的收入利润信息、环境影响信息、就业信息和税收信息，确保招引项目带来较好的经济效益、社会效益和生态效益。鉴于商务局和各市直部门现有人员不足，工作压力大，无法有效进行政策执行情况的跟踪监控，可以委托第三方进行全程跟踪和监督，实时总结汇总签约信息和落地信息，并进行问题汇总和反馈。</w:t>
      </w:r>
    </w:p>
    <w:p>
      <w:pPr>
        <w:ind w:firstLine="640"/>
        <w:rPr>
          <w:highlight w:val="none"/>
        </w:rPr>
      </w:pPr>
      <w:r>
        <w:rPr>
          <w:rFonts w:hint="eastAsia"/>
          <w:highlight w:val="none"/>
        </w:rPr>
        <w:t>（2）建立资金牵头机制，实现部门协同效应。该项政策涉及商务局和各资金使用单位。建议市商务局作为预算牵头部门，负责编制整体目标、开展绩效监控和评价，反映资金整体绩效情况。市商务局应制定资金协调、监督及考核机制，定期跟踪各单位资金执行进度、项目进展及预期目标实现情况，明确考核指标及结果应用，充分调动各单位积极性，并将考核结果应用到下年预算安排中。市商务局应建立统一指挥、分工协作、权责对等、协同高效的资金管理模式，提高财政资金使用效益。</w:t>
      </w:r>
    </w:p>
    <w:p>
      <w:pPr>
        <w:ind w:firstLine="640"/>
        <w:rPr>
          <w:highlight w:val="none"/>
        </w:rPr>
      </w:pPr>
      <w:r>
        <w:rPr>
          <w:rFonts w:hint="eastAsia"/>
          <w:highlight w:val="none"/>
        </w:rPr>
        <w:t>（3）完善考核办法，激发各招商团队的积极性，奖励到位。考核办法没有制定招引任务目标考核时间，导致“招引任务完成，剩余招引经费可以转为公用经费统筹”的规定操作性不强，建议在考核文件中规定具体的考核时间，或者针对制定“根据上年度考核结果，如果上年度考核完成任务目标，本年度可以对招引经费转为公用经费统筹”等类似规定。针对部分未成立招商处室的部门，应该建立机制促进松散的招商团队凝聚精神，通过奖励到位、与处室考核奖结合等方式，凝聚松散的招商团队的招引积极性。同时，鉴于招引的经费特殊性，可以对招商引资的资金使用范围报销的严格程序松绑，制定较为宽松的招引经费报销程序，激发各招商团队对招引工作的积极性。</w:t>
      </w:r>
    </w:p>
    <w:p>
      <w:pPr>
        <w:ind w:firstLine="640"/>
        <w:rPr>
          <w:highlight w:val="none"/>
        </w:rPr>
      </w:pPr>
      <w:r>
        <w:rPr>
          <w:rFonts w:hint="eastAsia"/>
          <w:highlight w:val="none"/>
        </w:rPr>
        <w:t>（4）认真做好绩效评价的自评工作，建立完善档案管理和基础数据</w:t>
      </w:r>
    </w:p>
    <w:p>
      <w:pPr>
        <w:ind w:firstLine="640"/>
        <w:rPr>
          <w:highlight w:val="none"/>
        </w:rPr>
      </w:pPr>
      <w:r>
        <w:rPr>
          <w:rFonts w:hint="eastAsia"/>
          <w:highlight w:val="none"/>
        </w:rPr>
        <w:t>市商务局相关档案管理工作有待提高，对于项目的连续性，应做好人员接续的档案衔接和交接工作，完善招引的相关档案和基础数据。特别是对绩效评价的自评工作，市商务局和各资金使用单位应该认真对待，做好自评报告的撰写和该政策绩效评价材料的提供和整理。</w:t>
      </w:r>
    </w:p>
    <w:p>
      <w:pPr>
        <w:ind w:firstLine="640"/>
        <w:rPr>
          <w:highlight w:val="none"/>
        </w:rPr>
      </w:pPr>
      <w:r>
        <w:rPr>
          <w:rFonts w:hint="eastAsia"/>
          <w:highlight w:val="none"/>
        </w:rPr>
        <w:t>3.政策效果方面的改进建议</w:t>
      </w:r>
    </w:p>
    <w:p>
      <w:pPr>
        <w:ind w:firstLine="640"/>
        <w:rPr>
          <w:highlight w:val="none"/>
        </w:rPr>
      </w:pPr>
      <w:r>
        <w:rPr>
          <w:rFonts w:hint="eastAsia"/>
          <w:highlight w:val="none"/>
        </w:rPr>
        <w:t>（1）制定引导招商团队引进大项目、头部、瞪羚等优质项目机制。通过研究制定引导招商团队引进工业制造业特别是高科技制造业项目，重大产业项目，国际著名大项目，带动产业链集聚的头部企业项目，具有隐形冠军潜质项目的机制和政策，在奖励等相关政策方面进行倾斜，如引进上述优质项目的合同签约金额</w:t>
      </w:r>
      <w:r>
        <w:rPr>
          <w:rFonts w:hint="eastAsia"/>
          <w:highlight w:val="none"/>
          <w:lang w:val="en-US" w:eastAsia="zh-CN"/>
        </w:rPr>
        <w:t>不设</w:t>
      </w:r>
      <w:r>
        <w:rPr>
          <w:rFonts w:hint="eastAsia"/>
          <w:highlight w:val="none"/>
        </w:rPr>
        <w:t>具体规定或者可以一个</w:t>
      </w:r>
      <w:r>
        <w:rPr>
          <w:rFonts w:hint="eastAsia"/>
          <w:highlight w:val="none"/>
          <w:lang w:val="en-US" w:eastAsia="zh-CN"/>
        </w:rPr>
        <w:t>算作</w:t>
      </w:r>
      <w:r>
        <w:rPr>
          <w:rFonts w:hint="eastAsia"/>
          <w:highlight w:val="none"/>
        </w:rPr>
        <w:t>两个等类似政策规定。</w:t>
      </w:r>
    </w:p>
    <w:p>
      <w:pPr>
        <w:ind w:firstLine="640"/>
        <w:rPr>
          <w:highlight w:val="none"/>
        </w:rPr>
      </w:pPr>
      <w:r>
        <w:rPr>
          <w:rFonts w:hint="eastAsia"/>
          <w:highlight w:val="none"/>
        </w:rPr>
        <w:t>（2）形成一套系统可推广的方案，扩大政策的辐射作用。根据近三年招引的经验，摸索招引的工作规律，对市直部门和定向招商团队分类管理，结合产业需求进行分类招商，按照我省新旧动能转换“十强产业+重点领域”的招商方式，形成一套系统可推广的体制机制和招引方案，扩大青岛招引的辐射作用。同时，加快对2020年的招商经费的分配和拨付。</w:t>
      </w:r>
    </w:p>
    <w:p>
      <w:pPr>
        <w:pStyle w:val="4"/>
        <w:bidi w:val="0"/>
      </w:pPr>
      <w:r>
        <w:rPr>
          <w:rFonts w:hint="eastAsia"/>
        </w:rPr>
        <w:t>（四）2017-2019年招商引资政策评价总体结论</w:t>
      </w:r>
    </w:p>
    <w:p>
      <w:pPr>
        <w:ind w:firstLine="640"/>
        <w:rPr>
          <w:highlight w:val="none"/>
        </w:rPr>
      </w:pPr>
      <w:r>
        <w:rPr>
          <w:rFonts w:hint="eastAsia"/>
          <w:highlight w:val="none"/>
        </w:rPr>
        <w:t>该政策三年得分分别为65.9分、79.08分、79.42分，平均成绩74.79分，评价等级为“中”，政策基本有效。政策基本有效的主要原因在于2017年到2019年，除2017年内资政策任务目标未制定和目标完成未统计外，2017年外资、2018年和2019年内外资任务目标均已完成，且近三年得分持续上升。该政策失分的主要因素在于与该政策相关的跟踪、协调和调度机制未完全建立，导致该政策完成的质量、社会效益和经济效益的相关指标未能有效提供，得分较低。建议制定完善的跟踪、协调、监督、调度和信息沟通机制，确保项目的落地开花，实时做好企业经营发展的收入利润信息、环境影响信息、就业信息和税收信息，确保招引项目带来较好的经济效益、社会效益和生态效益。鉴于商务局和各市直部门现有人员不足，工作压力大，无法有效进行政策执行情况的跟踪监控，可以委托第三方进行全程跟踪和监督，实时总结汇总签约信息和落地信息，并进行问题汇总和反馈。</w:t>
      </w:r>
    </w:p>
    <w:p>
      <w:pPr>
        <w:pStyle w:val="14"/>
        <w:spacing w:line="520" w:lineRule="exact"/>
        <w:jc w:val="both"/>
        <w:rPr>
          <w:rFonts w:ascii="宋体" w:hAnsi="宋体" w:eastAsia="宋体" w:cs="宋体"/>
          <w:color w:val="000000" w:themeColor="text1"/>
          <w:highlight w:val="none"/>
          <w14:textFill>
            <w14:solidFill>
              <w14:schemeClr w14:val="tx1"/>
            </w14:solidFill>
          </w14:textFill>
        </w:rPr>
      </w:pPr>
    </w:p>
    <w:p>
      <w:pPr>
        <w:rPr>
          <w:rFonts w:hint="eastAsia"/>
          <w:lang w:val="en-US" w:eastAsia="zh-CN"/>
        </w:rPr>
      </w:pPr>
      <w:bookmarkStart w:id="90" w:name="_Toc24741"/>
      <w:bookmarkStart w:id="91" w:name="_Toc16851"/>
      <w:r>
        <w:rPr>
          <w:rFonts w:hint="eastAsia"/>
          <w:lang w:val="en-US" w:eastAsia="zh-CN"/>
        </w:rPr>
        <w:br w:type="page"/>
      </w:r>
    </w:p>
    <w:p>
      <w:pPr>
        <w:pStyle w:val="3"/>
        <w:bidi w:val="0"/>
        <w:rPr>
          <w:rFonts w:hint="eastAsia"/>
          <w:lang w:val="en-US" w:eastAsia="zh-CN"/>
        </w:rPr>
      </w:pPr>
      <w:r>
        <w:rPr>
          <w:rFonts w:hint="eastAsia"/>
          <w:lang w:val="en-US" w:eastAsia="zh-CN"/>
        </w:rPr>
        <w:t>附件：</w:t>
      </w:r>
      <w:bookmarkEnd w:id="90"/>
      <w:bookmarkEnd w:id="9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Times New Roman" w:eastAsia="方正小标宋_GBK" w:cs="Times New Roman"/>
          <w:bCs w:val="0"/>
          <w:color w:val="000000" w:themeColor="text1"/>
          <w:spacing w:val="-4"/>
          <w:kern w:val="2"/>
          <w:sz w:val="44"/>
          <w:szCs w:val="44"/>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pPr>
      <w:r>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t>2019年</w:t>
      </w:r>
      <w:r>
        <w:rPr>
          <w:rFonts w:hint="eastAsia" w:ascii="方正小标宋_GBK" w:eastAsia="方正小标宋_GBK"/>
          <w:color w:val="000000" w:themeColor="text1"/>
          <w:spacing w:val="-4"/>
          <w:sz w:val="44"/>
          <w:szCs w:val="44"/>
          <w:highlight w:val="none"/>
          <w:lang w:eastAsia="zh-CN"/>
          <w14:textFill>
            <w14:solidFill>
              <w14:schemeClr w14:val="tx1"/>
            </w14:solidFill>
          </w14:textFill>
        </w:rPr>
        <w:t>青岛市商务局招商引资专项资金</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eastAsia="方正小标宋_GBK"/>
          <w:color w:val="000000" w:themeColor="text1"/>
          <w:spacing w:val="-4"/>
          <w:sz w:val="44"/>
          <w:szCs w:val="44"/>
          <w:highlight w:val="none"/>
          <w:lang w:eastAsia="zh-CN"/>
          <w14:textFill>
            <w14:solidFill>
              <w14:schemeClr w14:val="tx1"/>
            </w14:solidFill>
          </w14:textFill>
        </w:rPr>
      </w:pPr>
      <w:r>
        <w:rPr>
          <w:rFonts w:hint="eastAsia" w:ascii="方正小标宋_GBK" w:eastAsia="方正小标宋_GBK"/>
          <w:color w:val="000000" w:themeColor="text1"/>
          <w:spacing w:val="-4"/>
          <w:sz w:val="44"/>
          <w:szCs w:val="44"/>
          <w:highlight w:val="none"/>
          <w:lang w:val="en-US" w:eastAsia="zh-CN"/>
          <w14:textFill>
            <w14:solidFill>
              <w14:schemeClr w14:val="tx1"/>
            </w14:solidFill>
          </w14:textFill>
        </w:rPr>
        <w:t>项目</w:t>
      </w:r>
      <w:r>
        <w:rPr>
          <w:rFonts w:hint="eastAsia" w:ascii="方正小标宋_GBK" w:eastAsia="方正小标宋_GBK"/>
          <w:color w:val="000000" w:themeColor="text1"/>
          <w:spacing w:val="-4"/>
          <w:sz w:val="44"/>
          <w:szCs w:val="44"/>
          <w:highlight w:val="none"/>
          <w:lang w:eastAsia="zh-CN"/>
          <w14:textFill>
            <w14:solidFill>
              <w14:schemeClr w14:val="tx1"/>
            </w14:solidFill>
          </w14:textFill>
        </w:rPr>
        <w:t>绩效评价报告</w:t>
      </w:r>
    </w:p>
    <w:p>
      <w:pPr>
        <w:ind w:left="1040" w:hanging="1040"/>
        <w:jc w:val="center"/>
        <w:rPr>
          <w:rFonts w:hint="eastAsia" w:ascii="文星简黑体" w:eastAsia="文星简黑体"/>
          <w:sz w:val="52"/>
          <w:szCs w:val="52"/>
          <w:highlight w:val="none"/>
        </w:rPr>
      </w:pPr>
    </w:p>
    <w:p>
      <w:pPr>
        <w:pStyle w:val="2"/>
        <w:rPr>
          <w:rFonts w:hint="eastAsia" w:ascii="文星简黑体" w:eastAsia="文星简黑体"/>
          <w:sz w:val="52"/>
          <w:szCs w:val="52"/>
          <w:highlight w:val="none"/>
        </w:rPr>
      </w:pPr>
    </w:p>
    <w:p>
      <w:pPr>
        <w:rPr>
          <w:rFonts w:hint="eastAsia" w:ascii="文星简黑体" w:eastAsia="文星简黑体"/>
          <w:sz w:val="52"/>
          <w:szCs w:val="52"/>
          <w:highlight w:val="none"/>
        </w:rPr>
      </w:pPr>
    </w:p>
    <w:p>
      <w:pPr>
        <w:pStyle w:val="2"/>
        <w:rPr>
          <w:rFonts w:hint="eastAsia" w:ascii="文星简黑体" w:eastAsia="文星简黑体"/>
          <w:sz w:val="52"/>
          <w:szCs w:val="52"/>
          <w:highlight w:val="none"/>
        </w:rPr>
      </w:pPr>
    </w:p>
    <w:p>
      <w:pPr>
        <w:rPr>
          <w:rFonts w:hint="eastAsia"/>
        </w:rPr>
      </w:pPr>
    </w:p>
    <w:p>
      <w:pPr>
        <w:ind w:left="1040" w:hanging="1040"/>
        <w:jc w:val="center"/>
        <w:rPr>
          <w:rFonts w:hint="eastAsia" w:ascii="文星简黑体" w:eastAsia="文星简黑体"/>
          <w:sz w:val="52"/>
          <w:szCs w:val="52"/>
          <w:highlight w:val="none"/>
        </w:rPr>
      </w:pPr>
    </w:p>
    <w:p>
      <w:pPr>
        <w:keepNext w:val="0"/>
        <w:keepLines w:val="0"/>
        <w:pageBreakBefore w:val="0"/>
        <w:widowControl w:val="0"/>
        <w:kinsoku/>
        <w:wordWrap/>
        <w:overflowPunct/>
        <w:topLinePunct w:val="0"/>
        <w:autoSpaceDE/>
        <w:autoSpaceDN/>
        <w:bidi w:val="0"/>
        <w:adjustRightInd/>
        <w:snapToGrid/>
        <w:ind w:left="1280" w:leftChars="400" w:firstLine="0" w:firstLineChars="0"/>
        <w:textAlignment w:val="auto"/>
        <w:rPr>
          <w:rFonts w:hint="eastAsia"/>
          <w:color w:val="000000" w:themeColor="text1"/>
          <w:sz w:val="32"/>
          <w:szCs w:val="32"/>
          <w:highlight w:val="none"/>
          <w:lang w:eastAsia="zh-CN"/>
          <w14:textFill>
            <w14:solidFill>
              <w14:schemeClr w14:val="tx1"/>
            </w14:solidFill>
          </w14:textFill>
        </w:rPr>
      </w:pPr>
      <w:r>
        <w:rPr>
          <w:rFonts w:hint="eastAsia" w:ascii="黑体" w:hAnsi="黑体" w:eastAsia="黑体" w:cs="文星简黑体"/>
          <w:sz w:val="32"/>
          <w:szCs w:val="32"/>
          <w:highlight w:val="none"/>
          <w:lang w:val="en-US" w:eastAsia="zh-CN"/>
        </w:rPr>
        <w:t>评价单位</w:t>
      </w:r>
      <w:r>
        <w:rPr>
          <w:rFonts w:hint="eastAsia" w:ascii="黑体" w:hAnsi="黑体" w:eastAsia="黑体" w:cs="文星简黑体"/>
          <w:sz w:val="32"/>
          <w:szCs w:val="32"/>
          <w:highlight w:val="none"/>
        </w:rPr>
        <w:t>：</w:t>
      </w:r>
      <w:r>
        <w:rPr>
          <w:rFonts w:hint="eastAsia" w:eastAsia="宋体"/>
          <w:color w:val="000000" w:themeColor="text1"/>
          <w:sz w:val="32"/>
          <w:szCs w:val="32"/>
          <w:highlight w:val="none"/>
          <w:lang w:eastAsia="zh-CN"/>
          <w14:textFill>
            <w14:solidFill>
              <w14:schemeClr w14:val="tx1"/>
            </w14:solidFill>
          </w14:textFill>
        </w:rPr>
        <w:t>山东德睿融投资咨询有限公司</w:t>
      </w:r>
    </w:p>
    <w:p>
      <w:pPr>
        <w:keepNext w:val="0"/>
        <w:keepLines w:val="0"/>
        <w:pageBreakBefore w:val="0"/>
        <w:widowControl w:val="0"/>
        <w:kinsoku/>
        <w:wordWrap/>
        <w:overflowPunct/>
        <w:topLinePunct w:val="0"/>
        <w:autoSpaceDE/>
        <w:autoSpaceDN/>
        <w:bidi w:val="0"/>
        <w:adjustRightInd/>
        <w:snapToGrid/>
        <w:ind w:left="1280" w:leftChars="400" w:firstLine="0" w:firstLineChars="0"/>
        <w:textAlignment w:val="auto"/>
        <w:rPr>
          <w:rFonts w:hint="eastAsia" w:eastAsia="宋体"/>
          <w:color w:val="000000" w:themeColor="text1"/>
          <w:sz w:val="32"/>
          <w:szCs w:val="32"/>
          <w:highlight w:val="none"/>
          <w:lang w:val="en-US" w:eastAsia="zh-CN"/>
          <w14:textFill>
            <w14:solidFill>
              <w14:schemeClr w14:val="tx1"/>
            </w14:solidFill>
          </w14:textFill>
        </w:rPr>
      </w:pPr>
      <w:r>
        <w:rPr>
          <w:rFonts w:hint="eastAsia" w:ascii="黑体" w:hAnsi="黑体" w:eastAsia="黑体" w:cs="文星简黑体"/>
          <w:sz w:val="32"/>
          <w:szCs w:val="32"/>
          <w:highlight w:val="none"/>
        </w:rPr>
        <w:t>被评价单位：</w:t>
      </w:r>
      <w:r>
        <w:rPr>
          <w:rFonts w:hint="eastAsia" w:eastAsia="宋体"/>
          <w:color w:val="000000" w:themeColor="text1"/>
          <w:sz w:val="32"/>
          <w:szCs w:val="32"/>
          <w:highlight w:val="none"/>
          <w:lang w:eastAsia="zh-CN"/>
          <w14:textFill>
            <w14:solidFill>
              <w14:schemeClr w14:val="tx1"/>
            </w14:solidFill>
          </w14:textFill>
        </w:rPr>
        <w:t>青岛市</w:t>
      </w:r>
      <w:r>
        <w:rPr>
          <w:rFonts w:hint="eastAsia" w:eastAsia="宋体"/>
          <w:color w:val="000000" w:themeColor="text1"/>
          <w:sz w:val="32"/>
          <w:szCs w:val="32"/>
          <w:highlight w:val="none"/>
          <w:lang w:val="en-US" w:eastAsia="zh-CN"/>
          <w14:textFill>
            <w14:solidFill>
              <w14:schemeClr w14:val="tx1"/>
            </w14:solidFill>
          </w14:textFill>
        </w:rPr>
        <w:t>商务局</w:t>
      </w:r>
    </w:p>
    <w:p>
      <w:pPr>
        <w:keepNext w:val="0"/>
        <w:keepLines w:val="0"/>
        <w:pageBreakBefore w:val="0"/>
        <w:widowControl w:val="0"/>
        <w:kinsoku/>
        <w:wordWrap/>
        <w:overflowPunct/>
        <w:topLinePunct w:val="0"/>
        <w:autoSpaceDE/>
        <w:autoSpaceDN/>
        <w:bidi w:val="0"/>
        <w:adjustRightInd/>
        <w:snapToGrid/>
        <w:ind w:left="1280" w:leftChars="400" w:firstLine="1920" w:firstLineChars="600"/>
        <w:textAlignment w:val="auto"/>
        <w:rPr>
          <w:rFonts w:hint="default" w:eastAsia="宋体"/>
          <w:color w:val="000000" w:themeColor="text1"/>
          <w:sz w:val="32"/>
          <w:szCs w:val="32"/>
          <w:highlight w:val="none"/>
          <w:lang w:val="en-US" w:eastAsia="zh-CN"/>
          <w14:textFill>
            <w14:solidFill>
              <w14:schemeClr w14:val="tx1"/>
            </w14:solidFill>
          </w14:textFill>
        </w:rPr>
      </w:pPr>
      <w:r>
        <w:rPr>
          <w:rFonts w:hint="eastAsia" w:eastAsia="宋体"/>
          <w:color w:val="000000" w:themeColor="text1"/>
          <w:sz w:val="32"/>
          <w:szCs w:val="32"/>
          <w:highlight w:val="none"/>
          <w:lang w:eastAsia="zh-CN"/>
          <w14:textFill>
            <w14:solidFill>
              <w14:schemeClr w14:val="tx1"/>
            </w14:solidFill>
          </w14:textFill>
        </w:rPr>
        <w:t>青岛市</w:t>
      </w:r>
      <w:r>
        <w:rPr>
          <w:rFonts w:hint="eastAsia" w:eastAsia="宋体"/>
          <w:color w:val="000000" w:themeColor="text1"/>
          <w:sz w:val="32"/>
          <w:szCs w:val="32"/>
          <w:highlight w:val="none"/>
          <w:lang w:val="en-US" w:eastAsia="zh-CN"/>
          <w14:textFill>
            <w14:solidFill>
              <w14:schemeClr w14:val="tx1"/>
            </w14:solidFill>
          </w14:textFill>
        </w:rPr>
        <w:t>地方金融监督管理局</w:t>
      </w:r>
    </w:p>
    <w:p>
      <w:pPr>
        <w:keepNext w:val="0"/>
        <w:keepLines w:val="0"/>
        <w:pageBreakBefore w:val="0"/>
        <w:widowControl w:val="0"/>
        <w:kinsoku/>
        <w:wordWrap/>
        <w:overflowPunct/>
        <w:topLinePunct w:val="0"/>
        <w:autoSpaceDE/>
        <w:autoSpaceDN/>
        <w:bidi w:val="0"/>
        <w:adjustRightInd/>
        <w:snapToGrid/>
        <w:ind w:left="1280" w:leftChars="400" w:firstLine="1920" w:firstLineChars="600"/>
        <w:textAlignment w:val="auto"/>
        <w:rPr>
          <w:rFonts w:hint="eastAsia" w:eastAsia="宋体"/>
          <w:color w:val="000000" w:themeColor="text1"/>
          <w:sz w:val="32"/>
          <w:szCs w:val="32"/>
          <w:highlight w:val="none"/>
          <w:lang w:val="en-US" w:eastAsia="zh-CN"/>
          <w14:textFill>
            <w14:solidFill>
              <w14:schemeClr w14:val="tx1"/>
            </w14:solidFill>
          </w14:textFill>
        </w:rPr>
      </w:pPr>
      <w:r>
        <w:rPr>
          <w:rFonts w:hint="eastAsia" w:eastAsia="宋体"/>
          <w:color w:val="000000" w:themeColor="text1"/>
          <w:sz w:val="32"/>
          <w:szCs w:val="32"/>
          <w:highlight w:val="none"/>
          <w:lang w:val="en-US" w:eastAsia="zh-CN"/>
          <w14:textFill>
            <w14:solidFill>
              <w14:schemeClr w14:val="tx1"/>
            </w14:solidFill>
          </w14:textFill>
        </w:rPr>
        <w:t>各资金使用单位</w:t>
      </w:r>
    </w:p>
    <w:p>
      <w:pPr>
        <w:spacing w:line="590" w:lineRule="exact"/>
        <w:ind w:left="1280" w:leftChars="400" w:firstLine="0" w:firstLineChars="0"/>
        <w:rPr>
          <w:rFonts w:hint="eastAsia"/>
          <w:lang w:val="en-US" w:eastAsia="zh-CN"/>
        </w:rPr>
      </w:pPr>
      <w:r>
        <w:rPr>
          <w:rFonts w:hint="eastAsia" w:ascii="黑体" w:hAnsi="黑体" w:eastAsia="黑体" w:cs="文星简黑体"/>
          <w:sz w:val="32"/>
          <w:szCs w:val="32"/>
          <w:highlight w:val="none"/>
          <w:lang w:val="en-US" w:eastAsia="zh-CN"/>
        </w:rPr>
        <w:t>资金主管部门：</w:t>
      </w:r>
      <w:r>
        <w:rPr>
          <w:rFonts w:hint="eastAsia" w:eastAsia="宋体"/>
          <w:color w:val="000000" w:themeColor="text1"/>
          <w:sz w:val="32"/>
          <w:szCs w:val="32"/>
          <w:highlight w:val="none"/>
          <w:lang w:val="en-US" w:eastAsia="zh-CN"/>
          <w14:textFill>
            <w14:solidFill>
              <w14:schemeClr w14:val="tx1"/>
            </w14:solidFill>
          </w14:textFill>
        </w:rPr>
        <w:t>青岛市商务局</w:t>
      </w:r>
    </w:p>
    <w:p>
      <w:pPr>
        <w:keepNext w:val="0"/>
        <w:keepLines w:val="0"/>
        <w:pageBreakBefore w:val="0"/>
        <w:widowControl w:val="0"/>
        <w:tabs>
          <w:tab w:val="right" w:leader="dot" w:pos="8732"/>
        </w:tabs>
        <w:kinsoku/>
        <w:wordWrap/>
        <w:overflowPunct/>
        <w:topLinePunct w:val="0"/>
        <w:autoSpaceDE/>
        <w:autoSpaceDN/>
        <w:bidi w:val="0"/>
        <w:adjustRightInd/>
        <w:snapToGrid/>
        <w:spacing w:after="207" w:afterLines="50" w:line="560" w:lineRule="exact"/>
        <w:ind w:left="0" w:leftChars="0" w:firstLine="0" w:firstLineChars="0"/>
        <w:jc w:val="both"/>
        <w:textAlignment w:val="auto"/>
        <w:rPr>
          <w:rFonts w:hint="eastAsia" w:ascii="方正小标宋_GBK" w:hAnsi="Times New Roman" w:eastAsia="方正小标宋_GBK" w:cs="文星简黑体"/>
          <w:color w:val="000000" w:themeColor="text1"/>
          <w:kern w:val="2"/>
          <w:sz w:val="44"/>
          <w:szCs w:val="44"/>
          <w:highlight w:val="none"/>
          <w:lang w:val="en-US" w:eastAsia="zh-CN" w:bidi="ar-SA"/>
          <w14:textFill>
            <w14:solidFill>
              <w14:schemeClr w14:val="tx1"/>
            </w14:solidFill>
          </w14:textFill>
        </w:rPr>
      </w:pPr>
    </w:p>
    <w:p>
      <w:pPr>
        <w:keepNext w:val="0"/>
        <w:keepLines w:val="0"/>
        <w:pageBreakBefore w:val="0"/>
        <w:widowControl w:val="0"/>
        <w:tabs>
          <w:tab w:val="right" w:leader="dot" w:pos="8732"/>
        </w:tabs>
        <w:kinsoku/>
        <w:wordWrap/>
        <w:overflowPunct/>
        <w:topLinePunct w:val="0"/>
        <w:autoSpaceDE/>
        <w:autoSpaceDN/>
        <w:bidi w:val="0"/>
        <w:adjustRightInd/>
        <w:snapToGrid/>
        <w:spacing w:after="207" w:afterLines="50" w:line="560" w:lineRule="exact"/>
        <w:ind w:left="0" w:leftChars="0" w:firstLine="0" w:firstLineChars="0"/>
        <w:jc w:val="center"/>
        <w:textAlignment w:val="auto"/>
        <w:rPr>
          <w:rFonts w:hint="eastAsia" w:ascii="方正小标宋_GBK" w:hAnsi="Times New Roman" w:eastAsia="方正小标宋_GBK" w:cs="文星简黑体"/>
          <w:color w:val="000000" w:themeColor="text1"/>
          <w:kern w:val="2"/>
          <w:sz w:val="44"/>
          <w:szCs w:val="44"/>
          <w:highlight w:val="none"/>
          <w:lang w:val="en-US" w:eastAsia="zh-CN" w:bidi="ar-SA"/>
          <w14:textFill>
            <w14:solidFill>
              <w14:schemeClr w14:val="tx1"/>
            </w14:solidFill>
          </w14:textFill>
        </w:rPr>
      </w:pPr>
    </w:p>
    <w:p>
      <w:pPr>
        <w:spacing w:before="120" w:after="120"/>
        <w:ind w:left="326" w:leftChars="102" w:firstLine="0" w:firstLineChars="0"/>
        <w:jc w:val="center"/>
        <w:rPr>
          <w:rFonts w:hint="default" w:ascii="黑体" w:hAnsi="黑体" w:eastAsia="黑体" w:cs="文星简黑体"/>
          <w:spacing w:val="34"/>
          <w:sz w:val="32"/>
          <w:szCs w:val="32"/>
          <w:highlight w:val="none"/>
          <w:lang w:val="en-US" w:eastAsia="zh-CN"/>
        </w:rPr>
      </w:pPr>
      <w:r>
        <w:rPr>
          <w:rFonts w:hint="eastAsia" w:ascii="黑体" w:hAnsi="黑体" w:eastAsia="黑体" w:cs="文星简黑体"/>
          <w:spacing w:val="34"/>
          <w:sz w:val="32"/>
          <w:szCs w:val="32"/>
          <w:highlight w:val="none"/>
          <w:lang w:val="en-US" w:eastAsia="zh-CN"/>
        </w:rPr>
        <w:t>2020年9月</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受</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市财政局委托，山东德睿融投资咨询有限公司于2020年8月至2020年</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月对</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市商务局、金融监管局和科技局等资金使用单位2019年度招商引资专项资金项目进行绩效评价。我们本着独立、客观、公正、科学的原则，现将评价情况报告如下：</w:t>
      </w:r>
    </w:p>
    <w:p>
      <w:pPr>
        <w:pStyle w:val="3"/>
        <w:bidi w:val="0"/>
        <w:rPr>
          <w:rFonts w:hint="eastAsia"/>
          <w:lang w:val="en-US" w:eastAsia="zh-CN"/>
        </w:rPr>
      </w:pPr>
      <w:bookmarkStart w:id="92" w:name="_Toc25042"/>
      <w:bookmarkStart w:id="93" w:name="_Toc16616"/>
      <w:bookmarkStart w:id="94" w:name="_Toc25092"/>
      <w:bookmarkStart w:id="95" w:name="_Toc8700"/>
      <w:bookmarkStart w:id="96" w:name="_Toc24145"/>
      <w:bookmarkStart w:id="97" w:name="_Toc5880"/>
      <w:r>
        <w:rPr>
          <w:rFonts w:hint="eastAsia"/>
          <w:lang w:val="en-US" w:eastAsia="zh-CN"/>
        </w:rPr>
        <w:t>一、项目基本情况</w:t>
      </w:r>
      <w:bookmarkEnd w:id="92"/>
      <w:bookmarkEnd w:id="93"/>
      <w:bookmarkEnd w:id="94"/>
      <w:bookmarkEnd w:id="95"/>
      <w:bookmarkEnd w:id="96"/>
      <w:bookmarkEnd w:id="97"/>
    </w:p>
    <w:p>
      <w:pPr>
        <w:pStyle w:val="4"/>
        <w:bidi w:val="0"/>
        <w:rPr>
          <w:rFonts w:hint="eastAsia"/>
          <w:lang w:val="en-US" w:eastAsia="zh-CN"/>
        </w:rPr>
      </w:pPr>
      <w:bookmarkStart w:id="98" w:name="_Toc26869"/>
      <w:bookmarkStart w:id="99" w:name="_Toc20901"/>
      <w:bookmarkStart w:id="100" w:name="_Toc9796"/>
      <w:bookmarkStart w:id="101" w:name="_Toc11694_WPSOffice_Level2"/>
      <w:bookmarkStart w:id="102" w:name="_Toc22571"/>
      <w:bookmarkStart w:id="103" w:name="_Toc2358"/>
      <w:bookmarkStart w:id="104" w:name="_Toc19598"/>
      <w:r>
        <w:rPr>
          <w:rFonts w:hint="eastAsia"/>
          <w:lang w:val="en-US" w:eastAsia="zh-CN"/>
        </w:rPr>
        <w:t>（一）项目背景</w:t>
      </w:r>
      <w:bookmarkEnd w:id="98"/>
      <w:bookmarkEnd w:id="99"/>
      <w:bookmarkEnd w:id="100"/>
      <w:bookmarkEnd w:id="101"/>
      <w:bookmarkEnd w:id="102"/>
      <w:bookmarkEnd w:id="103"/>
      <w:bookmarkEnd w:id="104"/>
    </w:p>
    <w:p>
      <w:pPr>
        <w:bidi w:val="0"/>
        <w:rPr>
          <w:rFonts w:hint="eastAsia"/>
        </w:rPr>
      </w:pPr>
      <w:r>
        <w:rPr>
          <w:rFonts w:hint="eastAsia"/>
        </w:rPr>
        <w:t>招商引资是经济社会发展的助推器，是各级政府抓经济建设、促产业发展、搞城乡建设的重要抓手。为了深入贯彻习近平总书记视察山东视察</w:t>
      </w:r>
      <w:r>
        <w:rPr>
          <w:rFonts w:hint="eastAsia"/>
          <w:lang w:eastAsia="zh-CN"/>
        </w:rPr>
        <w:t>青岛</w:t>
      </w:r>
      <w:r>
        <w:rPr>
          <w:rFonts w:hint="eastAsia"/>
        </w:rPr>
        <w:t>的重要讲话精神，必须努力实现招商引资工作方式方法的重大转变。结合上合峰会“办好一次会</w:t>
      </w:r>
      <w:r>
        <w:rPr>
          <w:rFonts w:hint="eastAsia"/>
          <w:lang w:eastAsia="zh-CN"/>
        </w:rPr>
        <w:t>，</w:t>
      </w:r>
      <w:r>
        <w:rPr>
          <w:rFonts w:hint="eastAsia"/>
        </w:rPr>
        <w:t>搞活一座城”的有益经验</w:t>
      </w:r>
      <w:r>
        <w:rPr>
          <w:rFonts w:hint="eastAsia"/>
          <w:lang w:eastAsia="zh-CN"/>
        </w:rPr>
        <w:t>，</w:t>
      </w:r>
      <w:r>
        <w:rPr>
          <w:rFonts w:hint="eastAsia"/>
        </w:rPr>
        <w:t>通过扎实创新举措</w:t>
      </w:r>
      <w:r>
        <w:rPr>
          <w:rFonts w:hint="eastAsia"/>
          <w:lang w:eastAsia="zh-CN"/>
        </w:rPr>
        <w:t>，</w:t>
      </w:r>
      <w:r>
        <w:rPr>
          <w:rFonts w:hint="eastAsia"/>
        </w:rPr>
        <w:t>把</w:t>
      </w:r>
      <w:r>
        <w:rPr>
          <w:rFonts w:hint="eastAsia"/>
          <w:lang w:eastAsia="zh-CN"/>
        </w:rPr>
        <w:t>青岛</w:t>
      </w:r>
      <w:r>
        <w:rPr>
          <w:rFonts w:hint="eastAsia"/>
        </w:rPr>
        <w:t>建设得更加富有活力、更加独具魅力。要紧紧抓住对外合作的良机</w:t>
      </w:r>
      <w:r>
        <w:rPr>
          <w:rFonts w:hint="eastAsia"/>
          <w:lang w:eastAsia="zh-CN"/>
        </w:rPr>
        <w:t>，</w:t>
      </w:r>
      <w:r>
        <w:rPr>
          <w:rFonts w:hint="eastAsia"/>
        </w:rPr>
        <w:t>主动融入国家开放大局</w:t>
      </w:r>
      <w:r>
        <w:rPr>
          <w:rFonts w:hint="eastAsia"/>
          <w:lang w:eastAsia="zh-CN"/>
        </w:rPr>
        <w:t>，</w:t>
      </w:r>
      <w:r>
        <w:rPr>
          <w:rFonts w:hint="eastAsia"/>
        </w:rPr>
        <w:t>扩大高质量招商引资</w:t>
      </w:r>
      <w:r>
        <w:rPr>
          <w:rFonts w:hint="eastAsia"/>
          <w:lang w:eastAsia="zh-CN"/>
        </w:rPr>
        <w:t>，</w:t>
      </w:r>
      <w:r>
        <w:rPr>
          <w:rFonts w:hint="eastAsia"/>
        </w:rPr>
        <w:t>深度融入“一带一路”建设</w:t>
      </w:r>
      <w:r>
        <w:rPr>
          <w:rFonts w:hint="eastAsia"/>
          <w:lang w:eastAsia="zh-CN"/>
        </w:rPr>
        <w:t>，</w:t>
      </w:r>
      <w:r>
        <w:rPr>
          <w:rFonts w:hint="eastAsia"/>
        </w:rPr>
        <w:t>加快建设中国—上海合作组织地方经贸合作示范区</w:t>
      </w:r>
      <w:r>
        <w:rPr>
          <w:rFonts w:hint="eastAsia"/>
          <w:lang w:eastAsia="zh-CN"/>
        </w:rPr>
        <w:t>，</w:t>
      </w:r>
      <w:r>
        <w:rPr>
          <w:rFonts w:hint="eastAsia"/>
        </w:rPr>
        <w:t>努力打造对外开放新高地。</w:t>
      </w:r>
    </w:p>
    <w:p>
      <w:pPr>
        <w:bidi w:val="0"/>
      </w:pPr>
      <w:r>
        <w:rPr>
          <w:rFonts w:hint="eastAsia"/>
        </w:rPr>
        <w:t>近几年来，</w:t>
      </w:r>
      <w:r>
        <w:rPr>
          <w:rFonts w:hint="eastAsia"/>
          <w:lang w:eastAsia="zh-CN"/>
        </w:rPr>
        <w:t>青岛</w:t>
      </w:r>
      <w:r>
        <w:rPr>
          <w:rFonts w:hint="eastAsia"/>
        </w:rPr>
        <w:t>市大力加强招商引资，全市经济社会、城乡面貌、产业转型等均取得了重大发展。为继续做好招商引资工作</w:t>
      </w:r>
      <w:r>
        <w:rPr>
          <w:rFonts w:hint="eastAsia"/>
          <w:lang w:eastAsia="zh-CN"/>
        </w:rPr>
        <w:t>青岛</w:t>
      </w:r>
      <w:r>
        <w:rPr>
          <w:rFonts w:hint="eastAsia"/>
        </w:rPr>
        <w:t>市在保障招商引资项目包装、推介宣传、外出招商、代理招商、重大项目前期、日常接洽、招商业务培训等工作制定并落实了一系列招商奖惩工作机制，设立招商经费专项资金项目，确保全市招商引资工作再上新台阶。</w:t>
      </w:r>
    </w:p>
    <w:p>
      <w:pPr>
        <w:pStyle w:val="4"/>
        <w:numPr>
          <w:ilvl w:val="0"/>
          <w:numId w:val="1"/>
        </w:numPr>
        <w:bidi w:val="0"/>
        <w:rPr>
          <w:rFonts w:hint="eastAsia"/>
          <w:lang w:val="en-US" w:eastAsia="zh-CN"/>
        </w:rPr>
      </w:pPr>
      <w:bookmarkStart w:id="105" w:name="_Toc30719"/>
      <w:bookmarkStart w:id="106" w:name="_Toc27157"/>
      <w:bookmarkStart w:id="107" w:name="_Toc2627"/>
      <w:bookmarkStart w:id="108" w:name="_Toc2758"/>
      <w:bookmarkStart w:id="109" w:name="_Toc27099"/>
      <w:bookmarkStart w:id="110" w:name="_Toc8033"/>
      <w:r>
        <w:rPr>
          <w:rFonts w:hint="eastAsia"/>
          <w:lang w:val="en-US" w:eastAsia="zh-CN"/>
        </w:rPr>
        <w:t>项目主要内容及实施情况</w:t>
      </w:r>
      <w:bookmarkEnd w:id="105"/>
      <w:bookmarkEnd w:id="106"/>
      <w:bookmarkEnd w:id="107"/>
      <w:bookmarkEnd w:id="108"/>
      <w:bookmarkEnd w:id="109"/>
      <w:bookmarkEnd w:id="110"/>
    </w:p>
    <w:p>
      <w:pPr>
        <w:ind w:firstLine="540"/>
        <w:rPr>
          <w:rFonts w:hint="eastAsia"/>
          <w:color w:val="auto"/>
          <w:highlight w:val="none"/>
        </w:rPr>
      </w:pPr>
      <w:bookmarkStart w:id="111" w:name="_Toc8839"/>
      <w:bookmarkStart w:id="112" w:name="_Toc25844"/>
      <w:bookmarkStart w:id="113" w:name="_Toc9004"/>
      <w:bookmarkStart w:id="114" w:name="_Toc25320"/>
      <w:bookmarkStart w:id="115" w:name="_Toc25715"/>
      <w:bookmarkStart w:id="116" w:name="_Toc12241"/>
      <w:r>
        <w:rPr>
          <w:rFonts w:hint="eastAsia"/>
          <w:color w:val="auto"/>
          <w:highlight w:val="none"/>
        </w:rPr>
        <w:t>本项目预算部门为市商务局，主要包括：</w:t>
      </w:r>
    </w:p>
    <w:p>
      <w:pPr>
        <w:ind w:firstLine="540"/>
        <w:rPr>
          <w:rFonts w:hint="eastAsia"/>
          <w:color w:val="auto"/>
          <w:highlight w:val="none"/>
        </w:rPr>
      </w:pPr>
      <w:r>
        <w:rPr>
          <w:rFonts w:hint="eastAsia"/>
          <w:color w:val="auto"/>
          <w:highlight w:val="none"/>
        </w:rPr>
        <w:t>为发挥专项经费对全市招商工作的保障和激励作用，2016年4月，市财政局会同市商务局、市统计局、市发改委制定了《关于加强市级招商专项经费使用管理工作的通知》(青财企〔2016〕12号)，市直部门招商工作经费按照保障基本、激励绩效原则安排资金，由各部门根据年度招商任务目标统筹安排使用。激励各有关部门开展招商引资工作的积极性和主动性，为全市招商引资工作开展提供经费保障，推动市直部门开展精准招商，完成全年招商引资目标任务。</w:t>
      </w:r>
    </w:p>
    <w:bookmarkEnd w:id="111"/>
    <w:bookmarkEnd w:id="112"/>
    <w:bookmarkEnd w:id="113"/>
    <w:bookmarkEnd w:id="114"/>
    <w:bookmarkEnd w:id="115"/>
    <w:bookmarkEnd w:id="116"/>
    <w:p>
      <w:pPr>
        <w:pStyle w:val="4"/>
        <w:numPr>
          <w:ilvl w:val="0"/>
          <w:numId w:val="1"/>
        </w:numPr>
        <w:bidi w:val="0"/>
        <w:rPr>
          <w:rFonts w:hint="eastAsia"/>
          <w:color w:val="auto"/>
          <w:lang w:val="en-US" w:eastAsia="zh-CN"/>
        </w:rPr>
      </w:pPr>
      <w:r>
        <w:rPr>
          <w:rFonts w:hint="eastAsia"/>
          <w:color w:val="auto"/>
          <w:lang w:val="en-US" w:eastAsia="zh-CN"/>
        </w:rPr>
        <w:t>资金投入和使用情况</w:t>
      </w:r>
    </w:p>
    <w:p>
      <w:pPr>
        <w:ind w:firstLine="540"/>
        <w:rPr>
          <w:rFonts w:hint="eastAsia"/>
          <w:color w:val="auto"/>
          <w:highlight w:val="none"/>
        </w:rPr>
      </w:pPr>
      <w:r>
        <w:rPr>
          <w:rFonts w:hint="eastAsia"/>
          <w:color w:val="auto"/>
          <w:highlight w:val="none"/>
          <w:lang w:eastAsia="zh-CN"/>
        </w:rPr>
        <w:t>青岛</w:t>
      </w:r>
      <w:r>
        <w:rPr>
          <w:rFonts w:hint="eastAsia"/>
          <w:color w:val="auto"/>
          <w:highlight w:val="none"/>
        </w:rPr>
        <w:t>市财政局《关于批复2019年市级部门预算的通知》（青财预指〔2019〕2号）批复2019年促进对外开放专项资金批复预算5704万元。其中，</w:t>
      </w:r>
      <w:r>
        <w:rPr>
          <w:rFonts w:hint="eastAsia"/>
          <w:color w:val="auto"/>
          <w:highlight w:val="none"/>
          <w:lang w:eastAsia="zh-CN"/>
        </w:rPr>
        <w:t>青岛</w:t>
      </w:r>
      <w:r>
        <w:rPr>
          <w:rFonts w:hint="eastAsia"/>
          <w:color w:val="auto"/>
          <w:highlight w:val="none"/>
        </w:rPr>
        <w:t>市商务局招商引资经费4184万元，实际执行3706.46万元，资金执行率为88.59%。</w:t>
      </w:r>
      <w:r>
        <w:rPr>
          <w:rFonts w:hint="eastAsia"/>
          <w:color w:val="auto"/>
          <w:highlight w:val="none"/>
          <w:lang w:eastAsia="zh-CN"/>
        </w:rPr>
        <w:t>青岛</w:t>
      </w:r>
      <w:r>
        <w:rPr>
          <w:rFonts w:hint="eastAsia"/>
          <w:color w:val="auto"/>
          <w:highlight w:val="none"/>
        </w:rPr>
        <w:t>市商务局具体资金投入和使用情况如下表。</w:t>
      </w:r>
    </w:p>
    <w:p>
      <w:pPr>
        <w:widowControl w:val="0"/>
        <w:adjustRightInd w:val="0"/>
        <w:snapToGrid w:val="0"/>
        <w:spacing w:before="205" w:beforeLines="50" w:line="240" w:lineRule="auto"/>
        <w:ind w:firstLine="0" w:firstLineChars="0"/>
        <w:jc w:val="center"/>
        <w:rPr>
          <w:rFonts w:hint="eastAsia" w:ascii="方正小标宋_GBK" w:hAnsi="方正小标宋_GBK" w:eastAsia="方正小标宋_GBK" w:cs="方正小标宋_GBK"/>
          <w:color w:val="auto"/>
          <w:kern w:val="2"/>
          <w:sz w:val="24"/>
          <w:szCs w:val="24"/>
          <w:highlight w:val="none"/>
          <w:lang w:val="en-US" w:eastAsia="zh-CN" w:bidi="ar-SA"/>
        </w:rPr>
        <w:sectPr>
          <w:pgSz w:w="11906" w:h="16838"/>
          <w:pgMar w:top="1440" w:right="1587" w:bottom="1440" w:left="1587" w:header="737" w:footer="850" w:gutter="0"/>
          <w:pgNumType w:fmt="decimal"/>
          <w:cols w:space="720" w:num="1"/>
          <w:docGrid w:type="lines" w:linePitch="410" w:charSpace="0"/>
        </w:sectPr>
      </w:pPr>
    </w:p>
    <w:p>
      <w:pPr>
        <w:widowControl w:val="0"/>
        <w:adjustRightInd w:val="0"/>
        <w:snapToGrid w:val="0"/>
        <w:spacing w:before="205" w:beforeLines="50" w:line="240" w:lineRule="auto"/>
        <w:ind w:firstLine="0" w:firstLineChars="0"/>
        <w:jc w:val="center"/>
        <w:rPr>
          <w:rFonts w:hint="eastAsia" w:ascii="方正小标宋_GBK" w:hAnsi="方正小标宋_GBK" w:eastAsia="方正小标宋_GBK" w:cs="方正小标宋_GBK"/>
          <w:color w:val="auto"/>
          <w:kern w:val="2"/>
          <w:sz w:val="24"/>
          <w:szCs w:val="24"/>
          <w:highlight w:val="none"/>
          <w:lang w:val="en-US" w:eastAsia="zh-CN" w:bidi="ar-SA"/>
        </w:rPr>
      </w:pPr>
      <w:r>
        <w:rPr>
          <w:rFonts w:hint="eastAsia" w:ascii="方正小标宋_GBK" w:hAnsi="方正小标宋_GBK" w:eastAsia="方正小标宋_GBK" w:cs="方正小标宋_GBK"/>
          <w:color w:val="auto"/>
          <w:kern w:val="2"/>
          <w:sz w:val="24"/>
          <w:szCs w:val="24"/>
          <w:highlight w:val="none"/>
          <w:lang w:val="en-US" w:eastAsia="zh-CN" w:bidi="ar-SA"/>
        </w:rPr>
        <w:t>表1  2019年青岛市商务局招商引资经费预算和使用情况一览表</w:t>
      </w:r>
    </w:p>
    <w:p>
      <w:pPr>
        <w:widowControl w:val="0"/>
        <w:adjustRightInd w:val="0"/>
        <w:snapToGrid w:val="0"/>
        <w:spacing w:before="205" w:beforeLines="50" w:line="240" w:lineRule="auto"/>
        <w:ind w:firstLine="0" w:firstLineChars="0"/>
        <w:jc w:val="right"/>
        <w:rPr>
          <w:rFonts w:hint="eastAsia" w:ascii="方正小标宋_GBK" w:hAnsi="方正小标宋_GBK" w:eastAsia="方正小标宋_GBK" w:cs="方正小标宋_GBK"/>
          <w:color w:val="auto"/>
          <w:kern w:val="2"/>
          <w:sz w:val="24"/>
          <w:szCs w:val="24"/>
          <w:highlight w:val="none"/>
          <w:lang w:val="en-US" w:eastAsia="zh-CN" w:bidi="ar-SA"/>
        </w:rPr>
      </w:pPr>
      <w:r>
        <w:rPr>
          <w:rFonts w:hint="eastAsia" w:ascii="方正小标宋_GBK" w:hAnsi="方正小标宋_GBK" w:eastAsia="方正小标宋_GBK" w:cs="方正小标宋_GBK"/>
          <w:color w:val="auto"/>
          <w:kern w:val="2"/>
          <w:sz w:val="24"/>
          <w:szCs w:val="24"/>
          <w:highlight w:val="none"/>
          <w:lang w:val="en-US" w:eastAsia="zh-CN" w:bidi="ar-SA"/>
        </w:rPr>
        <w:t>单位：万元</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978"/>
        <w:gridCol w:w="2113"/>
        <w:gridCol w:w="1954"/>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序号</w:t>
            </w:r>
          </w:p>
        </w:tc>
        <w:tc>
          <w:tcPr>
            <w:tcW w:w="1049"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项目名称</w:t>
            </w:r>
          </w:p>
        </w:tc>
        <w:tc>
          <w:tcPr>
            <w:tcW w:w="745"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预算金额</w:t>
            </w:r>
          </w:p>
        </w:tc>
        <w:tc>
          <w:tcPr>
            <w:tcW w:w="689"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执行金额</w:t>
            </w:r>
          </w:p>
        </w:tc>
        <w:tc>
          <w:tcPr>
            <w:tcW w:w="2055" w:type="pct"/>
            <w:noWrap w:val="0"/>
            <w:vAlign w:val="center"/>
          </w:tcPr>
          <w:p>
            <w:pPr>
              <w:spacing w:line="240" w:lineRule="auto"/>
              <w:ind w:firstLine="0" w:firstLineChars="0"/>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gridSpan w:val="2"/>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黑体" w:hAnsi="黑体" w:eastAsia="黑体" w:cs="黑体"/>
                <w:color w:val="auto"/>
                <w:sz w:val="21"/>
                <w:szCs w:val="21"/>
                <w:highlight w:val="none"/>
              </w:rPr>
              <w:t>合计</w:t>
            </w:r>
          </w:p>
        </w:tc>
        <w:tc>
          <w:tcPr>
            <w:tcW w:w="745"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cs="仿宋"/>
                <w:sz w:val="21"/>
                <w:szCs w:val="21"/>
                <w:highlight w:val="none"/>
              </w:rPr>
              <w:t>（3659+上</w:t>
            </w:r>
            <w:r>
              <w:rPr>
                <w:rFonts w:hint="eastAsia" w:ascii="仿宋" w:hAnsi="仿宋" w:cs="仿宋"/>
                <w:sz w:val="21"/>
                <w:szCs w:val="21"/>
                <w:highlight w:val="none"/>
                <w:lang w:val="en-US" w:eastAsia="zh-CN"/>
              </w:rPr>
              <w:t>年</w:t>
            </w:r>
            <w:r>
              <w:rPr>
                <w:rFonts w:hint="eastAsia" w:ascii="仿宋" w:hAnsi="仿宋" w:cs="仿宋"/>
                <w:sz w:val="21"/>
                <w:szCs w:val="21"/>
                <w:highlight w:val="none"/>
              </w:rPr>
              <w:t>结转524.8）4183.8</w:t>
            </w:r>
          </w:p>
        </w:tc>
        <w:tc>
          <w:tcPr>
            <w:tcW w:w="689"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3706.46</w:t>
            </w: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509" w:type="pct"/>
            <w:gridSpan w:val="2"/>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eastAsia="zh-CN"/>
              </w:rPr>
              <w:t>青岛</w:t>
            </w:r>
            <w:r>
              <w:rPr>
                <w:rFonts w:hint="eastAsia" w:ascii="仿宋" w:hAnsi="仿宋" w:eastAsia="仿宋" w:cs="仿宋"/>
                <w:color w:val="auto"/>
                <w:sz w:val="21"/>
                <w:szCs w:val="21"/>
                <w:highlight w:val="none"/>
              </w:rPr>
              <w:t>市商务局</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3344</w:t>
            </w:r>
          </w:p>
        </w:tc>
        <w:tc>
          <w:tcPr>
            <w:tcW w:w="689" w:type="pct"/>
            <w:vMerge w:val="restar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3706.46</w:t>
            </w: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49"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全市统筹使用</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545.2</w:t>
            </w:r>
          </w:p>
        </w:tc>
        <w:tc>
          <w:tcPr>
            <w:tcW w:w="689"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市级精准招商重点项目招商经费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49"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市商务局招商引资经费</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2116</w:t>
            </w:r>
          </w:p>
        </w:tc>
        <w:tc>
          <w:tcPr>
            <w:tcW w:w="689"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市商务局专业招商团队经费、出国费、六国双周经费、投资促进平台升级运维、海经委经费等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049"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招促中心重大招商活动经费</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158</w:t>
            </w:r>
          </w:p>
        </w:tc>
        <w:tc>
          <w:tcPr>
            <w:tcW w:w="689"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国际级投资促进咨询顾问机构暨新旧动能转换现代产业招商政策推介会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center"/>
          </w:tcPr>
          <w:p>
            <w:pPr>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049" w:type="pct"/>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调剂使用的总部经济资金</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524.8</w:t>
            </w:r>
          </w:p>
        </w:tc>
        <w:tc>
          <w:tcPr>
            <w:tcW w:w="689"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gridSpan w:val="2"/>
            <w:noWrap w:val="0"/>
            <w:vAlign w:val="center"/>
          </w:tcPr>
          <w:p>
            <w:pPr>
              <w:spacing w:line="240" w:lineRule="auto"/>
              <w:ind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二、发改委等25个市直部门</w:t>
            </w:r>
          </w:p>
        </w:tc>
        <w:tc>
          <w:tcPr>
            <w:tcW w:w="745" w:type="pct"/>
            <w:noWrap w:val="0"/>
            <w:vAlign w:val="center"/>
          </w:tcPr>
          <w:p>
            <w:pPr>
              <w:spacing w:line="240" w:lineRule="auto"/>
              <w:ind w:firstLine="0" w:firstLineChars="0"/>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840</w:t>
            </w:r>
          </w:p>
        </w:tc>
        <w:tc>
          <w:tcPr>
            <w:tcW w:w="689" w:type="pct"/>
            <w:vMerge w:val="continue"/>
            <w:noWrap w:val="0"/>
            <w:vAlign w:val="top"/>
          </w:tcPr>
          <w:p>
            <w:pPr>
              <w:spacing w:line="240" w:lineRule="auto"/>
              <w:ind w:firstLine="0" w:firstLineChars="0"/>
              <w:jc w:val="left"/>
              <w:rPr>
                <w:rFonts w:hint="eastAsia" w:ascii="仿宋" w:hAnsi="仿宋" w:eastAsia="仿宋" w:cs="仿宋"/>
                <w:color w:val="auto"/>
                <w:sz w:val="21"/>
                <w:szCs w:val="21"/>
                <w:highlight w:val="none"/>
              </w:rPr>
            </w:pPr>
          </w:p>
        </w:tc>
        <w:tc>
          <w:tcPr>
            <w:tcW w:w="2055" w:type="pct"/>
            <w:noWrap w:val="0"/>
            <w:vAlign w:val="top"/>
          </w:tcPr>
          <w:p>
            <w:pPr>
              <w:spacing w:line="240" w:lineRule="auto"/>
              <w:ind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专业招商团队及市直部门招商经费770+70（蓝谷10，邮轮30，机场30）</w:t>
            </w:r>
          </w:p>
        </w:tc>
      </w:tr>
    </w:tbl>
    <w:p>
      <w:pPr>
        <w:ind w:firstLine="540"/>
        <w:rPr>
          <w:rFonts w:hint="eastAsia"/>
          <w:color w:val="000000" w:themeColor="text1"/>
          <w:highlight w:val="none"/>
          <w14:textFill>
            <w14:solidFill>
              <w14:schemeClr w14:val="tx1"/>
            </w14:solidFill>
          </w14:textFill>
        </w:rPr>
        <w:sectPr>
          <w:pgSz w:w="16838" w:h="11906" w:orient="landscape"/>
          <w:pgMar w:top="1587" w:right="1440" w:bottom="1587" w:left="1440" w:header="737" w:footer="850" w:gutter="0"/>
          <w:pgNumType w:fmt="decimal"/>
          <w:cols w:space="720" w:num="1"/>
          <w:docGrid w:type="lines" w:linePitch="410" w:charSpace="0"/>
        </w:sectPr>
      </w:pPr>
    </w:p>
    <w:p>
      <w:pPr>
        <w:pStyle w:val="4"/>
        <w:numPr>
          <w:ilvl w:val="0"/>
          <w:numId w:val="1"/>
        </w:numPr>
        <w:bidi w:val="0"/>
        <w:rPr>
          <w:rFonts w:hint="eastAsia"/>
          <w:lang w:val="en-US" w:eastAsia="zh-CN"/>
        </w:rPr>
      </w:pPr>
      <w:bookmarkStart w:id="117" w:name="_Toc32158"/>
      <w:bookmarkStart w:id="118" w:name="_Toc31301"/>
      <w:bookmarkStart w:id="119" w:name="_Toc479"/>
      <w:bookmarkStart w:id="120" w:name="_Toc4904"/>
      <w:bookmarkStart w:id="121" w:name="_Toc16004"/>
      <w:bookmarkStart w:id="122" w:name="_Toc19813"/>
      <w:r>
        <w:rPr>
          <w:rFonts w:hint="eastAsia"/>
          <w:lang w:val="en-US" w:eastAsia="zh-CN"/>
        </w:rPr>
        <w:t>项目绩效目标</w:t>
      </w:r>
      <w:bookmarkEnd w:id="117"/>
      <w:bookmarkEnd w:id="118"/>
      <w:bookmarkEnd w:id="119"/>
      <w:bookmarkEnd w:id="120"/>
      <w:bookmarkEnd w:id="121"/>
      <w:bookmarkEnd w:id="122"/>
    </w:p>
    <w:p>
      <w:pPr>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绩效目标是建设项目库、编制部门预算、实施绩效监控、开展绩效评价等的重要基础和依据，指财政预算资金计划在一定期限内达到的产出和效果。其中，中长期绩效目标是指部门预算资金在跨度多年的计划期内预期达到的产出和效果。年度绩效目标是指预算资金在一个预算年度内预期达到的产出和效果。</w:t>
      </w:r>
    </w:p>
    <w:p>
      <w:pPr>
        <w:bidi w:val="0"/>
        <w:rPr>
          <w:rFonts w:hint="eastAsia"/>
          <w:lang w:val="en-US" w:eastAsia="zh-CN"/>
        </w:rPr>
      </w:pPr>
      <w:r>
        <w:rPr>
          <w:rFonts w:hint="eastAsia"/>
          <w:lang w:val="en-US" w:eastAsia="zh-CN"/>
        </w:rPr>
        <w:t>长期目标：</w:t>
      </w:r>
    </w:p>
    <w:p>
      <w:pPr>
        <w:bidi w:val="0"/>
      </w:pPr>
      <w:r>
        <w:rPr>
          <w:rFonts w:hint="eastAsia"/>
        </w:rPr>
        <w:t>紧紧围绕供给侧结构性改革，积极推进新旧动能转换，全面实施“内外资互动发展”现代产业精准招商战略，加快推动新一轮高水平对外开放，切实做到引资金与引技术、引理念、引市场、因人次、引资源、引管理、引模式、引业态相结合，制定本行动计划。</w:t>
      </w:r>
    </w:p>
    <w:p>
      <w:pPr>
        <w:bidi w:val="0"/>
        <w:rPr>
          <w:rFonts w:hint="eastAsia"/>
          <w:lang w:val="en-US" w:eastAsia="zh-CN"/>
        </w:rPr>
      </w:pPr>
      <w:r>
        <w:rPr>
          <w:rFonts w:hint="eastAsia"/>
          <w:lang w:val="en-US" w:eastAsia="zh-CN"/>
        </w:rPr>
        <w:t>年度绩效目标：</w:t>
      </w:r>
    </w:p>
    <w:p>
      <w:pPr>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2019年引进外资项目500个，利用外资年度目标FDI实际外资为60亿美元；2019年引进内资项目1050个，利用内资年度目标为2300亿元。其中世界500强企业及行业领军企业20家，国内500强企业及行业领军企业30家，新旧动能转换项目50个。根据</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市招商引资招才引智指挥部办公室《关于印发2019年招商引资工作目标的通知》</w:t>
      </w:r>
      <w:r>
        <w:rPr>
          <w:rFonts w:hint="eastAsia" w:ascii="Times New Roman"/>
          <w:color w:val="000000" w:themeColor="text1"/>
          <w:highlight w:val="none"/>
          <w:lang w:val="zh-CN"/>
          <w14:textFill>
            <w14:solidFill>
              <w14:schemeClr w14:val="tx1"/>
            </w14:solidFill>
          </w14:textFill>
        </w:rPr>
        <w:t>市直部门和专业招商团队招商引资指标设定</w:t>
      </w:r>
      <w:r>
        <w:rPr>
          <w:rFonts w:hint="eastAsia"/>
          <w:color w:val="000000" w:themeColor="text1"/>
          <w:highlight w:val="none"/>
          <w14:textFill>
            <w14:solidFill>
              <w14:schemeClr w14:val="tx1"/>
            </w14:solidFill>
          </w14:textFill>
        </w:rPr>
        <w:t>2</w:t>
      </w:r>
      <w:r>
        <w:rPr>
          <w:rFonts w:hint="eastAsia" w:ascii="Times New Roman"/>
          <w:color w:val="000000" w:themeColor="text1"/>
          <w:highlight w:val="none"/>
          <w:lang w:val="zh-CN"/>
          <w14:textFill>
            <w14:solidFill>
              <w14:schemeClr w14:val="tx1"/>
            </w14:solidFill>
          </w14:textFill>
        </w:rPr>
        <w:t>个，即</w:t>
      </w:r>
      <w:r>
        <w:rPr>
          <w:rFonts w:hint="eastAsia"/>
          <w:color w:val="000000" w:themeColor="text1"/>
          <w:highlight w:val="none"/>
          <w14:textFill>
            <w14:solidFill>
              <w14:schemeClr w14:val="tx1"/>
            </w14:solidFill>
          </w14:textFill>
        </w:rPr>
        <w:t>2019年的</w:t>
      </w:r>
      <w:r>
        <w:rPr>
          <w:rFonts w:hint="eastAsia" w:ascii="Times New Roman"/>
          <w:color w:val="000000" w:themeColor="text1"/>
          <w:highlight w:val="none"/>
          <w:lang w:val="zh-CN"/>
          <w14:textFill>
            <w14:solidFill>
              <w14:schemeClr w14:val="tx1"/>
            </w14:solidFill>
          </w14:textFill>
        </w:rPr>
        <w:t>合同外资和签约内资。</w:t>
      </w:r>
    </w:p>
    <w:p>
      <w:pPr>
        <w:pStyle w:val="3"/>
        <w:bidi w:val="0"/>
        <w:rPr>
          <w:rFonts w:hint="eastAsia"/>
          <w:lang w:val="en-US" w:eastAsia="zh-CN"/>
        </w:rPr>
        <w:sectPr>
          <w:headerReference r:id="rId12" w:type="default"/>
          <w:pgSz w:w="11906" w:h="16838"/>
          <w:pgMar w:top="1440" w:right="1587" w:bottom="1440" w:left="1587" w:header="737" w:footer="850" w:gutter="0"/>
          <w:pgNumType w:fmt="decimal"/>
          <w:cols w:space="720" w:num="1"/>
          <w:docGrid w:type="lines" w:linePitch="410" w:charSpace="0"/>
        </w:sectPr>
      </w:pPr>
      <w:bookmarkStart w:id="123" w:name="_Toc31306"/>
      <w:bookmarkStart w:id="124" w:name="_Toc30826"/>
      <w:bookmarkStart w:id="125" w:name="_Toc10750"/>
      <w:bookmarkStart w:id="126" w:name="_Toc16718"/>
      <w:bookmarkStart w:id="127" w:name="_Toc15285"/>
      <w:bookmarkStart w:id="128" w:name="_Toc20982"/>
    </w:p>
    <w:p>
      <w:pPr>
        <w:pStyle w:val="3"/>
        <w:bidi w:val="0"/>
        <w:rPr>
          <w:rFonts w:hint="eastAsia"/>
          <w:lang w:val="en-US" w:eastAsia="zh-CN"/>
        </w:rPr>
      </w:pPr>
      <w:r>
        <w:rPr>
          <w:rFonts w:hint="eastAsia"/>
          <w:lang w:val="en-US" w:eastAsia="zh-CN"/>
        </w:rPr>
        <w:t>二、绩效评价工作开展情况</w:t>
      </w:r>
      <w:bookmarkEnd w:id="123"/>
      <w:bookmarkEnd w:id="124"/>
      <w:bookmarkEnd w:id="125"/>
      <w:bookmarkEnd w:id="126"/>
      <w:bookmarkEnd w:id="127"/>
      <w:bookmarkEnd w:id="128"/>
      <w:bookmarkStart w:id="129" w:name="_Toc19232"/>
    </w:p>
    <w:p>
      <w:pPr>
        <w:pStyle w:val="4"/>
        <w:bidi w:val="0"/>
        <w:rPr>
          <w:lang w:val="en-US" w:eastAsia="zh-CN"/>
        </w:rPr>
      </w:pPr>
      <w:bookmarkStart w:id="130" w:name="_Toc13589"/>
      <w:bookmarkStart w:id="131" w:name="_Toc19403"/>
      <w:bookmarkStart w:id="132" w:name="_Toc18348"/>
      <w:bookmarkStart w:id="133" w:name="_Toc9131"/>
      <w:bookmarkStart w:id="134" w:name="_Toc16727"/>
      <w:bookmarkStart w:id="135" w:name="_Toc16297"/>
      <w:r>
        <w:rPr>
          <w:rFonts w:hint="eastAsia"/>
          <w:lang w:val="en-US" w:eastAsia="zh-CN"/>
        </w:rPr>
        <w:t>（一）绩效评价目的</w:t>
      </w:r>
      <w:bookmarkEnd w:id="129"/>
      <w:bookmarkEnd w:id="130"/>
      <w:bookmarkEnd w:id="131"/>
      <w:bookmarkEnd w:id="132"/>
      <w:bookmarkEnd w:id="133"/>
      <w:bookmarkEnd w:id="134"/>
      <w:bookmarkEnd w:id="135"/>
    </w:p>
    <w:p>
      <w:pPr>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针对</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2019年招商引资专项资金绩效评价，逐项调查项目执行过程中的项目决策、项目管理、项目绩效情况，主要涉及项目执行过程中的投入建设、管理制度建设、资金使用规范性、项目资金的使用和产出效果等，全面评价项目绩效状况。在此基础上，针对项目执行过程中存在的问题及不足，提出针对性的改进意见，以促进项目单位的项目管理水平，提升政策实施效果和财政资金的使用效益，为下一步的预算资金安排和完善提供参考。</w:t>
      </w:r>
    </w:p>
    <w:p>
      <w:pPr>
        <w:pStyle w:val="4"/>
        <w:bidi w:val="0"/>
        <w:rPr>
          <w:lang w:val="en-US" w:eastAsia="zh-CN"/>
        </w:rPr>
      </w:pPr>
      <w:bookmarkStart w:id="136" w:name="_Toc5692"/>
      <w:bookmarkStart w:id="137" w:name="_Toc27819"/>
      <w:bookmarkStart w:id="138" w:name="_Toc26418"/>
      <w:bookmarkStart w:id="139" w:name="_Toc31931"/>
      <w:bookmarkStart w:id="140" w:name="_Toc10278"/>
      <w:bookmarkStart w:id="141" w:name="_Toc24804"/>
      <w:bookmarkStart w:id="142" w:name="_Toc19925"/>
      <w:r>
        <w:rPr>
          <w:rFonts w:hint="eastAsia"/>
          <w:lang w:val="en-US" w:eastAsia="zh-CN"/>
        </w:rPr>
        <w:t>（二）评价对象与范围</w:t>
      </w:r>
      <w:bookmarkEnd w:id="136"/>
      <w:bookmarkEnd w:id="137"/>
      <w:bookmarkEnd w:id="138"/>
      <w:bookmarkEnd w:id="139"/>
      <w:bookmarkEnd w:id="140"/>
      <w:bookmarkEnd w:id="141"/>
      <w:bookmarkEnd w:id="142"/>
    </w:p>
    <w:p>
      <w:pPr>
        <w:ind w:firstLine="540"/>
        <w:rPr>
          <w:color w:val="auto"/>
          <w:highlight w:val="none"/>
        </w:rPr>
      </w:pPr>
      <w:bookmarkStart w:id="143" w:name="_Toc7158"/>
      <w:bookmarkStart w:id="144" w:name="_Toc2703"/>
      <w:bookmarkStart w:id="145" w:name="_Toc9274"/>
      <w:bookmarkStart w:id="146" w:name="_Toc29602"/>
      <w:bookmarkStart w:id="147" w:name="_Toc491"/>
      <w:bookmarkStart w:id="148" w:name="_Toc12306"/>
      <w:bookmarkStart w:id="149" w:name="_Toc24171"/>
      <w:bookmarkStart w:id="150" w:name="_Toc1277_WPSOffice_Level2"/>
      <w:r>
        <w:rPr>
          <w:rFonts w:hint="eastAsia"/>
          <w:color w:val="auto"/>
          <w:highlight w:val="none"/>
        </w:rPr>
        <w:t>本次绩效评价由山东德睿融投资咨询有限公司对所有项目资料进行书面评审、调查问卷、现场评价的基础上完成。绩效评价的评价对象为</w:t>
      </w:r>
      <w:r>
        <w:rPr>
          <w:rFonts w:hint="eastAsia"/>
          <w:color w:val="auto"/>
          <w:highlight w:val="none"/>
          <w:lang w:eastAsia="zh-CN"/>
        </w:rPr>
        <w:t>青岛</w:t>
      </w:r>
      <w:r>
        <w:rPr>
          <w:rFonts w:hint="eastAsia"/>
          <w:color w:val="auto"/>
          <w:highlight w:val="none"/>
        </w:rPr>
        <w:t>市2019年招商引资专项资金的使用绩效，该项资金的预算金额为</w:t>
      </w:r>
      <w:r>
        <w:rPr>
          <w:rFonts w:hint="eastAsia"/>
          <w:color w:val="auto"/>
          <w:highlight w:val="none"/>
          <w:lang w:eastAsia="zh-CN"/>
        </w:rPr>
        <w:t>青岛</w:t>
      </w:r>
      <w:r>
        <w:rPr>
          <w:rFonts w:hint="eastAsia"/>
          <w:color w:val="auto"/>
          <w:highlight w:val="none"/>
        </w:rPr>
        <w:t>市商务局招商引资经费4184万元。主要包括以下几个方面：市商务局和资金使用单位（见</w:t>
      </w:r>
      <w:r>
        <w:rPr>
          <w:rFonts w:hint="eastAsia"/>
          <w:color w:val="auto"/>
          <w:highlight w:val="none"/>
          <w:lang w:val="en-US" w:eastAsia="zh-CN"/>
        </w:rPr>
        <w:t>表</w:t>
      </w:r>
      <w:r>
        <w:rPr>
          <w:rFonts w:hint="eastAsia"/>
          <w:color w:val="auto"/>
          <w:highlight w:val="none"/>
        </w:rPr>
        <w:t>1）的招商引资专项经费，截至2019年12月31日，支出3706.46万元；预算执行率</w:t>
      </w:r>
      <w:r>
        <w:rPr>
          <w:rFonts w:hint="eastAsia"/>
          <w:color w:val="auto"/>
          <w:highlight w:val="none"/>
          <w:lang w:val="en-US" w:eastAsia="zh-CN"/>
        </w:rPr>
        <w:t>88.59</w:t>
      </w:r>
      <w:r>
        <w:rPr>
          <w:rFonts w:hint="eastAsia"/>
          <w:color w:val="auto"/>
          <w:highlight w:val="none"/>
        </w:rPr>
        <w:t>%。</w:t>
      </w:r>
    </w:p>
    <w:p>
      <w:pPr>
        <w:pStyle w:val="4"/>
        <w:bidi w:val="0"/>
        <w:rPr>
          <w:lang w:val="en-US" w:eastAsia="zh-CN"/>
        </w:rPr>
      </w:pPr>
      <w:r>
        <w:rPr>
          <w:rFonts w:hint="eastAsia"/>
          <w:lang w:val="en-US" w:eastAsia="zh-CN"/>
        </w:rPr>
        <w:t>（三）绩效评价原则</w:t>
      </w:r>
      <w:bookmarkEnd w:id="143"/>
      <w:bookmarkEnd w:id="144"/>
      <w:bookmarkEnd w:id="145"/>
      <w:bookmarkEnd w:id="146"/>
      <w:bookmarkEnd w:id="147"/>
      <w:bookmarkEnd w:id="148"/>
      <w:bookmarkEnd w:id="149"/>
    </w:p>
    <w:bookmarkEnd w:id="150"/>
    <w:p>
      <w:pPr>
        <w:ind w:firstLine="54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本次绩效评价受</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市财政局委托，进行第三方绩效评价，评价过程遵循以下原则：科学规范原则、绩效相关原则、政策相符原则、经济合理原则、依据充分原则、独立评价原则、回避原则、反馈原则、保密原则等。</w:t>
      </w:r>
    </w:p>
    <w:p>
      <w:pPr>
        <w:pStyle w:val="4"/>
        <w:bidi w:val="0"/>
        <w:rPr>
          <w:lang w:val="en-US" w:eastAsia="zh-CN"/>
        </w:rPr>
      </w:pPr>
      <w:bookmarkStart w:id="151" w:name="_Toc65_WPSOffice_Level2"/>
      <w:bookmarkStart w:id="152" w:name="_Toc21409"/>
      <w:bookmarkStart w:id="153" w:name="_Toc12633"/>
      <w:bookmarkStart w:id="154" w:name="_Toc20283"/>
      <w:bookmarkStart w:id="155" w:name="_Toc823"/>
      <w:bookmarkStart w:id="156" w:name="_Toc318"/>
      <w:bookmarkStart w:id="157" w:name="_Toc28999"/>
      <w:bookmarkStart w:id="158" w:name="_Toc23708"/>
      <w:r>
        <w:rPr>
          <w:rFonts w:hint="eastAsia"/>
          <w:lang w:val="en-US" w:eastAsia="zh-CN"/>
        </w:rPr>
        <w:t>（四）绩效评价方法</w:t>
      </w:r>
      <w:bookmarkEnd w:id="151"/>
      <w:bookmarkEnd w:id="152"/>
      <w:bookmarkEnd w:id="153"/>
      <w:bookmarkEnd w:id="154"/>
      <w:bookmarkEnd w:id="155"/>
      <w:bookmarkEnd w:id="156"/>
      <w:bookmarkEnd w:id="157"/>
      <w:bookmarkEnd w:id="158"/>
    </w:p>
    <w:p>
      <w:pPr>
        <w:ind w:firstLine="54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本次绩效评价主要通过案卷资料审阅、现场调研、问卷调查、数据比对分析等方法</w:t>
      </w:r>
      <w:r>
        <w:rPr>
          <w:rFonts w:hint="eastAsia"/>
          <w:color w:val="000000" w:themeColor="text1"/>
          <w:highlight w:val="none"/>
          <w:lang w:eastAsia="zh-CN"/>
          <w14:textFill>
            <w14:solidFill>
              <w14:schemeClr w14:val="tx1"/>
            </w14:solidFill>
          </w14:textFill>
        </w:rPr>
        <w:t>。</w:t>
      </w:r>
    </w:p>
    <w:p>
      <w:pPr>
        <w:pStyle w:val="4"/>
        <w:bidi w:val="0"/>
        <w:rPr>
          <w:lang w:val="en-US" w:eastAsia="zh-CN"/>
        </w:rPr>
      </w:pPr>
      <w:bookmarkStart w:id="159" w:name="_Toc25885_WPSOffice_Level2"/>
      <w:bookmarkStart w:id="160" w:name="_Toc6302"/>
      <w:bookmarkStart w:id="161" w:name="_Toc15897"/>
      <w:bookmarkStart w:id="162" w:name="_Toc2273"/>
      <w:bookmarkStart w:id="163" w:name="_Toc24587"/>
      <w:bookmarkStart w:id="164" w:name="_Toc31644"/>
      <w:bookmarkStart w:id="165" w:name="_Toc13238"/>
      <w:bookmarkStart w:id="166" w:name="_Toc21314"/>
      <w:bookmarkStart w:id="167" w:name="_Toc13956"/>
      <w:bookmarkStart w:id="168" w:name="_Toc10644"/>
      <w:bookmarkStart w:id="169" w:name="_Toc9323"/>
      <w:bookmarkStart w:id="170" w:name="_Toc32462_WPSOffice_Level3"/>
      <w:bookmarkStart w:id="171" w:name="_Toc29013"/>
      <w:r>
        <w:rPr>
          <w:rFonts w:hint="eastAsia"/>
          <w:lang w:val="en-US" w:eastAsia="zh-CN"/>
        </w:rPr>
        <w:t>（五）评价指标体系</w:t>
      </w:r>
      <w:bookmarkEnd w:id="159"/>
      <w:bookmarkEnd w:id="160"/>
      <w:bookmarkEnd w:id="161"/>
      <w:bookmarkEnd w:id="162"/>
      <w:bookmarkEnd w:id="163"/>
      <w:bookmarkEnd w:id="164"/>
      <w:bookmarkEnd w:id="165"/>
      <w:bookmarkEnd w:id="166"/>
    </w:p>
    <w:p>
      <w:pPr>
        <w:bidi w:val="0"/>
        <w:rPr>
          <w:rFonts w:hint="eastAsia"/>
          <w:lang w:val="en-US" w:eastAsia="zh-CN"/>
        </w:rPr>
      </w:pPr>
      <w:bookmarkStart w:id="172" w:name="_Toc11694_WPSOffice_Level3"/>
      <w:r>
        <w:rPr>
          <w:rFonts w:hint="eastAsia"/>
          <w:lang w:val="en-US" w:eastAsia="zh-CN"/>
        </w:rPr>
        <w:t>1.指标设计总体思路</w:t>
      </w:r>
      <w:bookmarkEnd w:id="172"/>
    </w:p>
    <w:p>
      <w:pPr>
        <w:bidi w:val="0"/>
        <w:rPr>
          <w:rFonts w:hint="eastAsia"/>
        </w:rPr>
      </w:pPr>
      <w:r>
        <w:rPr>
          <w:rFonts w:hint="eastAsia"/>
        </w:rPr>
        <w:t>根据本次评价项目属性和特点等项目的实际情况，结合</w:t>
      </w:r>
      <w:r>
        <w:rPr>
          <w:rFonts w:hint="eastAsia"/>
          <w:lang w:eastAsia="zh-CN"/>
        </w:rPr>
        <w:t>青岛</w:t>
      </w:r>
      <w:r>
        <w:rPr>
          <w:rFonts w:hint="eastAsia"/>
        </w:rPr>
        <w:t>市财政局关于转发《财政部关于印发〈项目支出绩效评价管理办法〉的通知》的通知（青财绩〔2020〕5号）</w:t>
      </w:r>
      <w:r>
        <w:rPr>
          <w:rFonts w:hint="eastAsia"/>
          <w:lang w:val="en-US" w:eastAsia="zh-CN"/>
        </w:rPr>
        <w:t>等文件</w:t>
      </w:r>
      <w:r>
        <w:rPr>
          <w:rFonts w:hint="eastAsia"/>
        </w:rPr>
        <w:t>的要求，结合</w:t>
      </w:r>
      <w:r>
        <w:rPr>
          <w:rFonts w:hint="eastAsia"/>
          <w:lang w:eastAsia="zh-CN"/>
        </w:rPr>
        <w:t>青岛</w:t>
      </w:r>
      <w:r>
        <w:rPr>
          <w:rFonts w:hint="eastAsia"/>
        </w:rPr>
        <w:t>市2019年招商引资专项资金项目的具体情况，对相关指标进行了细化和增删，形成</w:t>
      </w:r>
      <w:r>
        <w:rPr>
          <w:rFonts w:hint="eastAsia"/>
          <w:lang w:eastAsia="zh-CN"/>
        </w:rPr>
        <w:t>青岛</w:t>
      </w:r>
      <w:r>
        <w:rPr>
          <w:rFonts w:hint="eastAsia"/>
        </w:rPr>
        <w:t>市2019年招商引资专项资金绩效评价指标体系。</w:t>
      </w:r>
    </w:p>
    <w:bookmarkEnd w:id="167"/>
    <w:bookmarkEnd w:id="168"/>
    <w:bookmarkEnd w:id="169"/>
    <w:bookmarkEnd w:id="170"/>
    <w:bookmarkEnd w:id="171"/>
    <w:p>
      <w:pPr>
        <w:bidi w:val="0"/>
        <w:rPr>
          <w:rFonts w:hint="eastAsia"/>
          <w:lang w:val="en-US" w:eastAsia="zh-CN"/>
        </w:rPr>
      </w:pPr>
      <w:bookmarkStart w:id="173" w:name="_Toc3552"/>
      <w:bookmarkStart w:id="174" w:name="_Toc9329"/>
      <w:bookmarkStart w:id="175" w:name="_Toc2152_WPSOffice_Level3"/>
      <w:bookmarkStart w:id="176" w:name="_Toc32167"/>
      <w:bookmarkStart w:id="177" w:name="_Toc517"/>
      <w:r>
        <w:rPr>
          <w:rFonts w:hint="eastAsia"/>
          <w:lang w:val="en-US" w:eastAsia="zh-CN"/>
        </w:rPr>
        <w:t>2.评价结果的评级分类</w:t>
      </w:r>
      <w:bookmarkEnd w:id="173"/>
      <w:bookmarkEnd w:id="174"/>
      <w:bookmarkEnd w:id="175"/>
      <w:bookmarkEnd w:id="176"/>
      <w:bookmarkEnd w:id="177"/>
    </w:p>
    <w:p>
      <w:pPr>
        <w:bidi w:val="0"/>
      </w:pPr>
      <w:r>
        <w:rPr>
          <w:rFonts w:hint="eastAsia"/>
        </w:rPr>
        <w:t>本次绩效评价综合绩效级别根据</w:t>
      </w:r>
      <w:r>
        <w:rPr>
          <w:rFonts w:hint="eastAsia"/>
          <w:lang w:eastAsia="zh-CN"/>
        </w:rPr>
        <w:t>青岛市财政局</w:t>
      </w:r>
      <w:r>
        <w:rPr>
          <w:rFonts w:hint="eastAsia"/>
          <w:lang w:val="zh-TW" w:eastAsia="zh-CN"/>
        </w:rPr>
        <w:t>关于印发《</w:t>
      </w:r>
      <w:r>
        <w:rPr>
          <w:rFonts w:hint="eastAsia"/>
          <w:lang w:val="zh-TW" w:eastAsia="zh-TW"/>
        </w:rPr>
        <w:t>市级</w:t>
      </w:r>
      <w:r>
        <w:rPr>
          <w:rFonts w:hint="eastAsia"/>
          <w:lang w:val="zh-TW" w:eastAsia="zh-CN"/>
        </w:rPr>
        <w:t>项目支出部门绩效评价操作规程》的通知（</w:t>
      </w:r>
      <w:r>
        <w:rPr>
          <w:rFonts w:hint="eastAsia"/>
          <w:lang w:eastAsia="zh-CN"/>
        </w:rPr>
        <w:t>青财绩〔2020〕8号</w:t>
      </w:r>
      <w:r>
        <w:rPr>
          <w:rFonts w:hint="eastAsia"/>
          <w:lang w:val="zh-TW" w:eastAsia="zh-CN"/>
        </w:rPr>
        <w:t>）</w:t>
      </w:r>
      <w:r>
        <w:rPr>
          <w:rFonts w:hint="eastAsia"/>
        </w:rPr>
        <w:t>相关规定确定，综合绩效级别分为4个等级：综合得分在90～100分（含90分）以上为优秀；综合得分在80～90分（含80分）为良好；综合得分在70～80分（含70分）为中；综合得分在70分以下为较差。</w:t>
      </w:r>
    </w:p>
    <w:p>
      <w:pPr>
        <w:pStyle w:val="3"/>
        <w:bidi w:val="0"/>
        <w:rPr>
          <w:rFonts w:hint="eastAsia"/>
          <w:lang w:val="en-US" w:eastAsia="zh-CN"/>
        </w:rPr>
      </w:pPr>
      <w:bookmarkStart w:id="178" w:name="_Toc28238"/>
      <w:bookmarkStart w:id="179" w:name="_Toc21926"/>
      <w:bookmarkStart w:id="180" w:name="_Toc18698"/>
      <w:bookmarkStart w:id="181" w:name="_Toc19177"/>
      <w:bookmarkStart w:id="182" w:name="_Toc5691"/>
      <w:bookmarkStart w:id="183" w:name="_Toc28078"/>
      <w:r>
        <w:rPr>
          <w:rFonts w:hint="eastAsia"/>
          <w:lang w:val="en-US" w:eastAsia="zh-CN"/>
        </w:rPr>
        <w:t>三、综合评价情况及评价结论</w:t>
      </w:r>
      <w:bookmarkEnd w:id="178"/>
      <w:bookmarkEnd w:id="179"/>
      <w:bookmarkEnd w:id="180"/>
      <w:bookmarkEnd w:id="181"/>
      <w:bookmarkEnd w:id="182"/>
      <w:bookmarkEnd w:id="183"/>
    </w:p>
    <w:p>
      <w:pPr>
        <w:bidi w:val="0"/>
      </w:pPr>
      <w:r>
        <w:rPr>
          <w:rFonts w:hint="eastAsia"/>
        </w:rPr>
        <w:t>在分别履行了评价程序后，对全部子项目进行了综合评价，根据每个子项目综合评价得分，按预算资金占比为权重，加权计算整个项目综合评价得分。</w:t>
      </w:r>
    </w:p>
    <w:p>
      <w:pPr>
        <w:bidi w:val="0"/>
        <w:rPr>
          <w:rFonts w:hint="default"/>
          <w:lang w:val="en-US" w:eastAsia="zh-CN"/>
        </w:rPr>
        <w:sectPr>
          <w:pgSz w:w="11906" w:h="16838"/>
          <w:pgMar w:top="1440" w:right="1587" w:bottom="1440" w:left="1587" w:header="737" w:footer="850" w:gutter="0"/>
          <w:pgNumType w:fmt="decimal"/>
          <w:cols w:space="720" w:num="1"/>
          <w:docGrid w:type="lines" w:linePitch="410" w:charSpace="0"/>
        </w:sectPr>
      </w:pPr>
      <w:r>
        <w:rPr>
          <w:rFonts w:hint="eastAsia"/>
          <w:lang w:eastAsia="zh-CN"/>
        </w:rPr>
        <w:t>青岛</w:t>
      </w:r>
      <w:r>
        <w:rPr>
          <w:rFonts w:hint="eastAsia"/>
        </w:rPr>
        <w:t>市2019年度招商引资专项资金绩效综合评价得分7</w:t>
      </w:r>
      <w:r>
        <w:rPr>
          <w:rFonts w:hint="eastAsia"/>
          <w:lang w:val="en-US" w:eastAsia="zh-CN"/>
        </w:rPr>
        <w:t>6.81</w:t>
      </w:r>
      <w:r>
        <w:rPr>
          <w:rFonts w:hint="eastAsia"/>
        </w:rPr>
        <w:t>分（为加权平均得分），绩效级别中。</w:t>
      </w:r>
    </w:p>
    <w:p>
      <w:pPr>
        <w:pStyle w:val="6"/>
        <w:keepNext/>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_GBK" w:hAnsi="方正小标宋_GBK" w:eastAsia="方正小标宋_GBK" w:cs="方正小标宋_GBK"/>
          <w:color w:val="auto"/>
          <w:sz w:val="24"/>
          <w:highlight w:val="none"/>
        </w:rPr>
      </w:pPr>
      <w:bookmarkStart w:id="184" w:name="_Toc9108"/>
      <w:bookmarkStart w:id="185" w:name="_Toc15184"/>
      <w:bookmarkStart w:id="186" w:name="_Toc30106"/>
      <w:bookmarkStart w:id="187" w:name="_Toc31925"/>
      <w:r>
        <w:rPr>
          <w:rFonts w:hint="eastAsia" w:ascii="方正小标宋_GBK" w:hAnsi="方正小标宋_GBK" w:eastAsia="方正小标宋_GBK" w:cs="方正小标宋_GBK"/>
          <w:color w:val="auto"/>
          <w:sz w:val="24"/>
          <w:highlight w:val="none"/>
        </w:rPr>
        <w:t>表</w:t>
      </w:r>
      <w:r>
        <w:rPr>
          <w:rFonts w:hint="eastAsia" w:ascii="方正小标宋_GBK" w:hAnsi="方正小标宋_GBK" w:eastAsia="方正小标宋_GBK" w:cs="方正小标宋_GBK"/>
          <w:color w:val="auto"/>
          <w:sz w:val="24"/>
          <w:highlight w:val="none"/>
          <w:lang w:val="en-US" w:eastAsia="zh-CN"/>
        </w:rPr>
        <w:t>2</w:t>
      </w:r>
      <w:r>
        <w:rPr>
          <w:rFonts w:hint="eastAsia" w:ascii="方正小标宋_GBK" w:hAnsi="方正小标宋_GBK" w:eastAsia="方正小标宋_GBK" w:cs="方正小标宋_GBK"/>
          <w:color w:val="auto"/>
          <w:sz w:val="24"/>
          <w:highlight w:val="none"/>
        </w:rPr>
        <w:t xml:space="preserve"> 项目得分情况统计</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7"/>
        <w:gridCol w:w="1949"/>
        <w:gridCol w:w="2595"/>
        <w:gridCol w:w="751"/>
        <w:gridCol w:w="2020"/>
        <w:gridCol w:w="2020"/>
        <w:gridCol w:w="2209"/>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335" w:type="pct"/>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rPr>
            </w:pPr>
            <w:r>
              <w:rPr>
                <w:rFonts w:hint="eastAsia" w:ascii="黑体" w:hAnsi="黑体" w:eastAsia="黑体" w:cs="黑体"/>
                <w:bCs/>
                <w:color w:val="auto"/>
                <w:kern w:val="0"/>
                <w:sz w:val="21"/>
                <w:szCs w:val="21"/>
                <w:highlight w:val="none"/>
                <w:lang w:bidi="ar"/>
              </w:rPr>
              <w:t>一级</w:t>
            </w:r>
            <w:r>
              <w:rPr>
                <w:rFonts w:hint="eastAsia" w:ascii="黑体" w:hAnsi="黑体" w:eastAsia="黑体" w:cs="黑体"/>
                <w:bCs/>
                <w:color w:val="auto"/>
                <w:kern w:val="0"/>
                <w:sz w:val="21"/>
                <w:szCs w:val="21"/>
                <w:highlight w:val="none"/>
                <w:lang w:bidi="ar"/>
              </w:rPr>
              <w:br w:type="textWrapping"/>
            </w:r>
            <w:r>
              <w:rPr>
                <w:rFonts w:hint="eastAsia" w:ascii="黑体" w:hAnsi="黑体" w:eastAsia="黑体" w:cs="黑体"/>
                <w:bCs/>
                <w:color w:val="auto"/>
                <w:kern w:val="0"/>
                <w:sz w:val="21"/>
                <w:szCs w:val="21"/>
                <w:highlight w:val="none"/>
                <w:lang w:bidi="ar"/>
              </w:rPr>
              <w:t>指标</w:t>
            </w:r>
          </w:p>
        </w:tc>
        <w:tc>
          <w:tcPr>
            <w:tcW w:w="711" w:type="pct"/>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rPr>
            </w:pPr>
            <w:r>
              <w:rPr>
                <w:rFonts w:hint="eastAsia" w:ascii="黑体" w:hAnsi="黑体" w:eastAsia="黑体" w:cs="黑体"/>
                <w:bCs/>
                <w:color w:val="auto"/>
                <w:kern w:val="0"/>
                <w:sz w:val="21"/>
                <w:szCs w:val="21"/>
                <w:highlight w:val="none"/>
                <w:lang w:bidi="ar"/>
              </w:rPr>
              <w:t>二级指标</w:t>
            </w:r>
          </w:p>
        </w:tc>
        <w:tc>
          <w:tcPr>
            <w:tcW w:w="947" w:type="pct"/>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rPr>
            </w:pPr>
            <w:r>
              <w:rPr>
                <w:rFonts w:hint="eastAsia" w:ascii="黑体" w:hAnsi="黑体" w:eastAsia="黑体" w:cs="黑体"/>
                <w:bCs/>
                <w:color w:val="auto"/>
                <w:kern w:val="0"/>
                <w:sz w:val="21"/>
                <w:szCs w:val="21"/>
                <w:highlight w:val="none"/>
                <w:lang w:bidi="ar"/>
              </w:rPr>
              <w:t>三级指标</w:t>
            </w:r>
          </w:p>
        </w:tc>
        <w:tc>
          <w:tcPr>
            <w:tcW w:w="274" w:type="pct"/>
            <w:vMerge w:val="restart"/>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rPr>
            </w:pPr>
            <w:r>
              <w:rPr>
                <w:rFonts w:hint="eastAsia" w:ascii="黑体" w:hAnsi="黑体" w:eastAsia="黑体" w:cs="黑体"/>
                <w:bCs/>
                <w:color w:val="auto"/>
                <w:kern w:val="0"/>
                <w:sz w:val="21"/>
                <w:szCs w:val="21"/>
                <w:highlight w:val="none"/>
                <w:lang w:bidi="ar"/>
              </w:rPr>
              <w:t>权重</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r>
              <w:rPr>
                <w:rFonts w:hint="eastAsia" w:ascii="黑体" w:hAnsi="黑体" w:eastAsia="黑体" w:cs="黑体"/>
                <w:bCs/>
                <w:color w:val="auto"/>
                <w:kern w:val="0"/>
                <w:sz w:val="21"/>
                <w:szCs w:val="21"/>
                <w:highlight w:val="none"/>
                <w:lang w:bidi="ar"/>
              </w:rPr>
              <w:t>商务局</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黑体" w:hAnsi="黑体" w:eastAsia="黑体" w:cs="黑体"/>
                <w:bCs/>
                <w:color w:val="auto"/>
                <w:kern w:val="0"/>
                <w:sz w:val="21"/>
                <w:szCs w:val="21"/>
                <w:highlight w:val="none"/>
                <w:lang w:bidi="ar"/>
              </w:rPr>
            </w:pPr>
            <w:r>
              <w:rPr>
                <w:rFonts w:hint="eastAsia" w:ascii="黑体" w:hAnsi="黑体" w:eastAsia="黑体" w:cs="黑体"/>
                <w:bCs/>
                <w:color w:val="auto"/>
                <w:kern w:val="0"/>
                <w:sz w:val="21"/>
                <w:szCs w:val="21"/>
                <w:highlight w:val="none"/>
                <w:lang w:bidi="ar"/>
              </w:rPr>
              <w:t>各资金使用单位</w:t>
            </w:r>
          </w:p>
        </w:tc>
        <w:tc>
          <w:tcPr>
            <w:tcW w:w="806"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得分</w:t>
            </w:r>
          </w:p>
        </w:tc>
        <w:tc>
          <w:tcPr>
            <w:tcW w:w="448"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val="en-US" w:eastAsia="zh-CN" w:bidi="ar"/>
              </w:rPr>
            </w:pPr>
            <w:r>
              <w:rPr>
                <w:rFonts w:hint="eastAsia" w:ascii="黑体" w:hAnsi="黑体" w:eastAsia="黑体" w:cs="黑体"/>
                <w:bCs/>
                <w:color w:val="auto"/>
                <w:kern w:val="0"/>
                <w:sz w:val="21"/>
                <w:szCs w:val="21"/>
                <w:highlight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35" w:type="pct"/>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p>
        </w:tc>
        <w:tc>
          <w:tcPr>
            <w:tcW w:w="711" w:type="pct"/>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p>
        </w:tc>
        <w:tc>
          <w:tcPr>
            <w:tcW w:w="947" w:type="pct"/>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p>
        </w:tc>
        <w:tc>
          <w:tcPr>
            <w:tcW w:w="274" w:type="pct"/>
            <w:vMerge w:val="continue"/>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r>
              <w:rPr>
                <w:rFonts w:hint="eastAsia" w:ascii="黑体" w:hAnsi="黑体" w:eastAsia="黑体" w:cs="黑体"/>
                <w:bCs/>
                <w:color w:val="auto"/>
                <w:sz w:val="21"/>
                <w:szCs w:val="21"/>
                <w:highlight w:val="none"/>
              </w:rPr>
              <w:t>评价得分</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kern w:val="0"/>
                <w:sz w:val="21"/>
                <w:szCs w:val="21"/>
                <w:highlight w:val="none"/>
                <w:lang w:bidi="ar"/>
              </w:rPr>
            </w:pPr>
            <w:r>
              <w:rPr>
                <w:rFonts w:hint="eastAsia" w:ascii="黑体" w:hAnsi="黑体" w:eastAsia="黑体" w:cs="黑体"/>
                <w:bCs/>
                <w:color w:val="auto"/>
                <w:sz w:val="21"/>
                <w:szCs w:val="21"/>
                <w:highlight w:val="none"/>
              </w:rPr>
              <w:t>评价得分</w:t>
            </w:r>
          </w:p>
        </w:tc>
        <w:tc>
          <w:tcPr>
            <w:tcW w:w="806"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lang w:eastAsia="zh-CN"/>
              </w:rPr>
            </w:pPr>
            <w:r>
              <w:rPr>
                <w:rFonts w:hint="eastAsia" w:ascii="黑体" w:hAnsi="黑体" w:eastAsia="黑体" w:cs="黑体"/>
                <w:bCs/>
                <w:color w:val="auto"/>
                <w:sz w:val="21"/>
                <w:szCs w:val="21"/>
                <w:highlight w:val="none"/>
                <w:lang w:eastAsia="zh-CN"/>
              </w:rPr>
              <w:t>（</w:t>
            </w:r>
            <w:r>
              <w:rPr>
                <w:rFonts w:hint="eastAsia" w:ascii="黑体" w:hAnsi="黑体" w:eastAsia="黑体" w:cs="黑体"/>
                <w:bCs/>
                <w:color w:val="auto"/>
                <w:sz w:val="21"/>
                <w:szCs w:val="21"/>
                <w:highlight w:val="none"/>
                <w:lang w:val="en-US" w:eastAsia="zh-CN"/>
              </w:rPr>
              <w:t>按预算资金加权</w:t>
            </w:r>
            <w:r>
              <w:rPr>
                <w:rFonts w:hint="eastAsia" w:ascii="黑体" w:hAnsi="黑体" w:eastAsia="黑体" w:cs="黑体"/>
                <w:bCs/>
                <w:color w:val="auto"/>
                <w:sz w:val="21"/>
                <w:szCs w:val="21"/>
                <w:highlight w:val="none"/>
                <w:lang w:eastAsia="zh-CN"/>
              </w:rPr>
              <w:t>）</w:t>
            </w:r>
          </w:p>
        </w:tc>
        <w:tc>
          <w:tcPr>
            <w:tcW w:w="44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决策</w:t>
            </w:r>
            <w:r>
              <w:rPr>
                <w:rFonts w:hint="eastAsia" w:ascii="仿宋" w:hAnsi="仿宋" w:eastAsia="仿宋" w:cs="仿宋"/>
                <w:color w:val="auto"/>
                <w:kern w:val="0"/>
                <w:sz w:val="21"/>
                <w:szCs w:val="21"/>
                <w:highlight w:val="none"/>
                <w:lang w:bidi="ar"/>
              </w:rPr>
              <w:br w:type="textWrapping"/>
            </w:r>
            <w:r>
              <w:rPr>
                <w:rFonts w:hint="eastAsia" w:ascii="仿宋" w:hAnsi="仿宋" w:eastAsia="仿宋" w:cs="仿宋"/>
                <w:color w:val="auto"/>
                <w:kern w:val="0"/>
                <w:sz w:val="21"/>
                <w:szCs w:val="21"/>
                <w:highlight w:val="none"/>
                <w:lang w:bidi="ar"/>
              </w:rPr>
              <w:t>（20分）</w:t>
            </w: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项目立项（6分）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立项依据充分性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3.0</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3.00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立项程序规范性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3.0</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3.00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绩效目标（6分）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绩效目标合理性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2</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2.31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绩效指标明确性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2</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2.31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资金投入（8分）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预算编制科学性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4.0</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4.00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资金分配合理性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4.0</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4.00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过程</w:t>
            </w:r>
            <w:r>
              <w:rPr>
                <w:rFonts w:hint="eastAsia" w:ascii="仿宋" w:hAnsi="仿宋" w:eastAsia="仿宋" w:cs="仿宋"/>
                <w:color w:val="auto"/>
                <w:kern w:val="0"/>
                <w:sz w:val="21"/>
                <w:szCs w:val="21"/>
                <w:highlight w:val="none"/>
                <w:lang w:bidi="ar"/>
              </w:rPr>
              <w:br w:type="textWrapping"/>
            </w:r>
            <w:r>
              <w:rPr>
                <w:rFonts w:hint="eastAsia" w:ascii="仿宋" w:hAnsi="仿宋" w:eastAsia="仿宋" w:cs="仿宋"/>
                <w:color w:val="auto"/>
                <w:kern w:val="0"/>
                <w:sz w:val="21"/>
                <w:szCs w:val="21"/>
                <w:highlight w:val="none"/>
                <w:lang w:bidi="ar"/>
              </w:rPr>
              <w:t>（20分）</w:t>
            </w: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资金管理（8分）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资金到位率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1.95</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1.98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99.24%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预算执行率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cs="仿宋"/>
                <w:color w:val="auto"/>
                <w:kern w:val="0"/>
                <w:sz w:val="21"/>
                <w:szCs w:val="21"/>
                <w:highlight w:val="none"/>
                <w:lang w:val="en-US" w:eastAsia="zh-CN" w:bidi="ar"/>
              </w:rPr>
              <w:t>0.86</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1.29</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0.99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资金使用合规性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4</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0.91</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3.05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组织实施（12分）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管理制度健全性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1.22</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3.15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自评情况</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cs="仿宋"/>
                <w:color w:val="auto"/>
                <w:kern w:val="0"/>
                <w:sz w:val="21"/>
                <w:szCs w:val="21"/>
                <w:highlight w:val="none"/>
                <w:lang w:val="en-US" w:eastAsia="zh-CN" w:bidi="ar"/>
              </w:rPr>
              <w:t>3</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2.85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制度执行有效性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4</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3.54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产出</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（25分）</w:t>
            </w: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产出数量（10分）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实际完成率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5.00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数量变动率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4.33</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4.45</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4.37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87.33%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产出质量（5分）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质量达标率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cs="仿宋"/>
                <w:color w:val="auto"/>
                <w:kern w:val="0"/>
                <w:sz w:val="21"/>
                <w:szCs w:val="21"/>
                <w:highlight w:val="none"/>
                <w:lang w:val="en-US" w:eastAsia="zh-CN" w:bidi="ar"/>
              </w:rPr>
              <w:t>3</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2.89</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2.97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59.33%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产出时效（5分）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完成及时率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4</w:t>
            </w:r>
            <w:r>
              <w:rPr>
                <w:rFonts w:hint="eastAsia" w:ascii="仿宋" w:hAnsi="仿宋" w:cs="仿宋"/>
                <w:color w:val="auto"/>
                <w:kern w:val="0"/>
                <w:sz w:val="21"/>
                <w:szCs w:val="21"/>
                <w:highlight w:val="none"/>
                <w:lang w:val="en-US" w:eastAsia="zh-CN" w:bidi="ar"/>
              </w:rPr>
              <w:t>.5</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4.65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93.06%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产出成本（5分）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成本节约率</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3.13</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4.43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效益（35分）</w:t>
            </w:r>
          </w:p>
        </w:tc>
        <w:tc>
          <w:tcPr>
            <w:tcW w:w="711"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项目效益（25分）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经济效益</w:t>
            </w:r>
          </w:p>
        </w:tc>
        <w:tc>
          <w:tcPr>
            <w:tcW w:w="274"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w:t>
            </w:r>
          </w:p>
        </w:tc>
        <w:tc>
          <w:tcPr>
            <w:tcW w:w="737" w:type="pct"/>
            <w:vMerge w:val="restar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w:t>
            </w:r>
            <w:r>
              <w:rPr>
                <w:rFonts w:hint="eastAsia" w:ascii="仿宋" w:hAnsi="仿宋" w:cs="仿宋"/>
                <w:color w:val="auto"/>
                <w:kern w:val="0"/>
                <w:sz w:val="21"/>
                <w:szCs w:val="21"/>
                <w:highlight w:val="none"/>
                <w:lang w:val="en-US" w:eastAsia="zh-CN" w:bidi="ar"/>
              </w:rPr>
              <w:t>.02</w:t>
            </w:r>
          </w:p>
        </w:tc>
        <w:tc>
          <w:tcPr>
            <w:tcW w:w="737" w:type="pct"/>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12.77</w:t>
            </w:r>
          </w:p>
        </w:tc>
        <w:tc>
          <w:tcPr>
            <w:tcW w:w="2256"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12.25 </w:t>
            </w:r>
          </w:p>
        </w:tc>
        <w:tc>
          <w:tcPr>
            <w:tcW w:w="1254"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社会效益</w:t>
            </w:r>
          </w:p>
        </w:tc>
        <w:tc>
          <w:tcPr>
            <w:tcW w:w="274"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p>
        </w:tc>
        <w:tc>
          <w:tcPr>
            <w:tcW w:w="737"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737" w:type="pct"/>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p>
        </w:tc>
        <w:tc>
          <w:tcPr>
            <w:tcW w:w="806"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44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生态效益</w:t>
            </w:r>
          </w:p>
        </w:tc>
        <w:tc>
          <w:tcPr>
            <w:tcW w:w="274"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p>
        </w:tc>
        <w:tc>
          <w:tcPr>
            <w:tcW w:w="737"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737" w:type="pct"/>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p>
        </w:tc>
        <w:tc>
          <w:tcPr>
            <w:tcW w:w="806"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448"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sz w:val="21"/>
                <w:szCs w:val="21"/>
                <w:highlight w:val="none"/>
              </w:rPr>
              <w:t>可持续影响（2分）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政策可持续性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val="en-US" w:eastAsia="zh-CN" w:bidi="ar"/>
              </w:rPr>
              <w:t>1</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1.00</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1.00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vMerge w:val="continue"/>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项目发展机制可持续性</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0.</w:t>
            </w:r>
            <w:r>
              <w:rPr>
                <w:rFonts w:hint="eastAsia" w:ascii="仿宋" w:hAnsi="仿宋" w:cs="仿宋"/>
                <w:color w:val="auto"/>
                <w:kern w:val="0"/>
                <w:sz w:val="21"/>
                <w:szCs w:val="21"/>
                <w:highlight w:val="none"/>
                <w:lang w:val="en-US" w:eastAsia="zh-CN" w:bidi="ar"/>
              </w:rPr>
              <w:t>7</w:t>
            </w:r>
            <w:r>
              <w:rPr>
                <w:rFonts w:hint="eastAsia" w:ascii="仿宋" w:hAnsi="仿宋" w:eastAsia="仿宋" w:cs="仿宋"/>
                <w:color w:val="auto"/>
                <w:kern w:val="0"/>
                <w:sz w:val="21"/>
                <w:szCs w:val="21"/>
                <w:highlight w:val="none"/>
                <w:lang w:bidi="ar"/>
              </w:rPr>
              <w:t>5</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0.81</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0.77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71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sz w:val="21"/>
                <w:szCs w:val="21"/>
                <w:highlight w:val="none"/>
              </w:rPr>
              <w:t>满意度（8分）</w:t>
            </w: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服务对象满意度</w:t>
            </w: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w:t>
            </w:r>
          </w:p>
        </w:tc>
        <w:tc>
          <w:tcPr>
            <w:tcW w:w="737" w:type="pc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5.38</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 xml:space="preserve">7.20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5"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711" w:type="pc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 w:hAnsi="仿宋" w:eastAsia="仿宋" w:cs="仿宋"/>
                <w:color w:val="auto"/>
                <w:sz w:val="21"/>
                <w:szCs w:val="21"/>
                <w:highlight w:val="none"/>
              </w:rPr>
            </w:pPr>
          </w:p>
        </w:tc>
        <w:tc>
          <w:tcPr>
            <w:tcW w:w="94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sz w:val="21"/>
                <w:szCs w:val="21"/>
                <w:highlight w:val="none"/>
              </w:rPr>
            </w:pPr>
          </w:p>
        </w:tc>
        <w:tc>
          <w:tcPr>
            <w:tcW w:w="274"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100</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w:t>
            </w:r>
            <w:r>
              <w:rPr>
                <w:rFonts w:hint="eastAsia" w:ascii="仿宋" w:hAnsi="仿宋" w:cs="仿宋"/>
                <w:color w:val="auto"/>
                <w:kern w:val="0"/>
                <w:sz w:val="21"/>
                <w:szCs w:val="21"/>
                <w:highlight w:val="none"/>
                <w:lang w:val="en-US" w:eastAsia="zh-CN" w:bidi="ar"/>
              </w:rPr>
              <w:t>9</w:t>
            </w:r>
            <w:r>
              <w:rPr>
                <w:rFonts w:hint="eastAsia" w:ascii="仿宋" w:hAnsi="仿宋" w:eastAsia="仿宋" w:cs="仿宋"/>
                <w:color w:val="auto"/>
                <w:kern w:val="0"/>
                <w:sz w:val="21"/>
                <w:szCs w:val="21"/>
                <w:highlight w:val="none"/>
                <w:lang w:val="en-US" w:eastAsia="zh-CN" w:bidi="ar"/>
              </w:rPr>
              <w:t>.</w:t>
            </w:r>
            <w:r>
              <w:rPr>
                <w:rFonts w:hint="eastAsia" w:ascii="仿宋" w:hAnsi="仿宋" w:cs="仿宋"/>
                <w:color w:val="auto"/>
                <w:kern w:val="0"/>
                <w:sz w:val="21"/>
                <w:szCs w:val="21"/>
                <w:highlight w:val="none"/>
                <w:lang w:val="en-US" w:eastAsia="zh-CN" w:bidi="ar"/>
              </w:rPr>
              <w:t>46</w:t>
            </w:r>
          </w:p>
        </w:tc>
        <w:tc>
          <w:tcPr>
            <w:tcW w:w="737" w:type="pct"/>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7</w:t>
            </w:r>
            <w:r>
              <w:rPr>
                <w:rFonts w:hint="eastAsia" w:ascii="仿宋" w:hAnsi="仿宋" w:eastAsia="仿宋" w:cs="仿宋"/>
                <w:color w:val="auto"/>
                <w:kern w:val="0"/>
                <w:sz w:val="21"/>
                <w:szCs w:val="21"/>
                <w:highlight w:val="none"/>
                <w:lang w:val="en-US" w:eastAsia="zh-CN" w:bidi="ar"/>
              </w:rPr>
              <w:t>0.77</w:t>
            </w:r>
          </w:p>
        </w:tc>
        <w:tc>
          <w:tcPr>
            <w:tcW w:w="225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u w:val="none"/>
                <w:lang w:val="en-US" w:eastAsia="zh-CN" w:bidi="ar"/>
              </w:rPr>
              <w:t xml:space="preserve">76.81 </w:t>
            </w:r>
          </w:p>
        </w:tc>
        <w:tc>
          <w:tcPr>
            <w:tcW w:w="125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i w:val="0"/>
                <w:color w:val="auto"/>
                <w:kern w:val="0"/>
                <w:sz w:val="22"/>
                <w:szCs w:val="22"/>
                <w:u w:val="none"/>
                <w:lang w:val="en-US" w:eastAsia="zh-CN" w:bidi="ar"/>
              </w:rPr>
              <w:t>76.81%</w:t>
            </w:r>
          </w:p>
        </w:tc>
      </w:tr>
    </w:tbl>
    <w:p>
      <w:pPr>
        <w:bidi w:val="0"/>
        <w:rPr>
          <w:rFonts w:hint="eastAsia"/>
          <w:color w:val="auto"/>
          <w:sz w:val="24"/>
          <w:szCs w:val="24"/>
          <w:highlight w:val="none"/>
          <w:lang w:val="en-US" w:eastAsia="zh-CN"/>
        </w:rPr>
      </w:pPr>
      <w:r>
        <w:rPr>
          <w:rFonts w:hint="eastAsia"/>
          <w:color w:val="auto"/>
          <w:sz w:val="24"/>
          <w:szCs w:val="24"/>
          <w:highlight w:val="none"/>
          <w:lang w:val="en-US" w:eastAsia="zh-CN"/>
        </w:rPr>
        <w:t>注：各资金使用单位的具体得分情况见附件3-3。其中市文化与旅游局、市人民政府外事办公室等得分较高，评价结果为良。市教育局等未提供绩效评价相关材料，得分低于70分，评价结果为差。</w:t>
      </w:r>
    </w:p>
    <w:p>
      <w:pPr>
        <w:keepNext w:val="0"/>
        <w:keepLines w:val="0"/>
        <w:pageBreakBefore w:val="0"/>
        <w:widowControl w:val="0"/>
        <w:kinsoku/>
        <w:wordWrap/>
        <w:overflowPunct/>
        <w:topLinePunct w:val="0"/>
        <w:autoSpaceDE/>
        <w:autoSpaceDN/>
        <w:bidi w:val="0"/>
        <w:adjustRightInd/>
        <w:snapToGrid/>
        <w:spacing w:before="157" w:beforeLines="50"/>
        <w:ind w:firstLine="540"/>
        <w:textAlignment w:val="auto"/>
        <w:rPr>
          <w:rFonts w:hint="default" w:eastAsia="宋体"/>
          <w:color w:val="auto"/>
          <w:highlight w:val="none"/>
          <w:lang w:val="en-US" w:eastAsia="zh-CN"/>
        </w:rPr>
      </w:pPr>
      <w:r>
        <w:rPr>
          <w:rFonts w:hint="eastAsia"/>
          <w:color w:val="auto"/>
          <w:highlight w:val="none"/>
        </w:rPr>
        <w:t>根据上述各子项目的评价得分，商务局招商引资项目，评价得分为</w:t>
      </w:r>
      <w:r>
        <w:rPr>
          <w:rFonts w:hint="eastAsia"/>
          <w:color w:val="auto"/>
          <w:highlight w:val="none"/>
          <w:lang w:val="en-US" w:eastAsia="zh-CN"/>
        </w:rPr>
        <w:t>79.46</w:t>
      </w:r>
      <w:r>
        <w:rPr>
          <w:rFonts w:hint="eastAsia"/>
          <w:color w:val="auto"/>
          <w:highlight w:val="none"/>
        </w:rPr>
        <w:t>，评价结果</w:t>
      </w:r>
      <w:r>
        <w:rPr>
          <w:rFonts w:hint="eastAsia"/>
          <w:color w:val="auto"/>
          <w:highlight w:val="none"/>
          <w:lang w:val="en-US" w:eastAsia="zh-CN"/>
        </w:rPr>
        <w:t>中</w:t>
      </w:r>
      <w:r>
        <w:rPr>
          <w:rFonts w:hint="eastAsia"/>
          <w:color w:val="auto"/>
          <w:highlight w:val="none"/>
        </w:rPr>
        <w:t>，各资金使用单位评价得分为7</w:t>
      </w:r>
      <w:r>
        <w:rPr>
          <w:rFonts w:hint="eastAsia"/>
          <w:color w:val="auto"/>
          <w:highlight w:val="none"/>
          <w:lang w:val="en-US" w:eastAsia="zh-CN"/>
        </w:rPr>
        <w:t>0.77</w:t>
      </w:r>
      <w:r>
        <w:rPr>
          <w:rFonts w:hint="eastAsia"/>
          <w:color w:val="auto"/>
          <w:highlight w:val="none"/>
        </w:rPr>
        <w:t>，评价结果中。结合各子项目的预算资金安排，按预算资金占比为权重，加权计算整个项目综合评价得分</w:t>
      </w:r>
      <w:r>
        <w:rPr>
          <w:rFonts w:hint="eastAsia"/>
          <w:color w:val="auto"/>
          <w:highlight w:val="none"/>
          <w:lang w:val="en-US" w:eastAsia="zh-CN"/>
        </w:rPr>
        <w:t>76.81</w:t>
      </w:r>
      <w:r>
        <w:rPr>
          <w:rFonts w:hint="eastAsia"/>
          <w:color w:val="auto"/>
          <w:highlight w:val="none"/>
        </w:rPr>
        <w:t>分，评价结果为中。</w:t>
      </w:r>
      <w:r>
        <w:rPr>
          <w:rFonts w:hint="eastAsia"/>
          <w:color w:val="auto"/>
          <w:highlight w:val="none"/>
          <w:lang w:val="en-US" w:eastAsia="zh-CN"/>
        </w:rPr>
        <w:t>各资金使用单位得分和排名情况见附件3-3。</w:t>
      </w:r>
    </w:p>
    <w:p>
      <w:pPr>
        <w:ind w:firstLine="480"/>
        <w:jc w:val="center"/>
        <w:rPr>
          <w:rFonts w:ascii="方正小标宋_GBK" w:hAnsi="方正小标宋_GBK" w:eastAsia="方正小标宋_GBK" w:cs="方正小标宋_GBK"/>
          <w:color w:val="auto"/>
          <w:sz w:val="24"/>
          <w:highlight w:val="none"/>
        </w:rPr>
      </w:pPr>
      <w:r>
        <w:rPr>
          <w:rFonts w:hint="eastAsia" w:ascii="方正小标宋_GBK" w:hAnsi="方正小标宋_GBK" w:eastAsia="方正小标宋_GBK" w:cs="方正小标宋_GBK"/>
          <w:color w:val="auto"/>
          <w:sz w:val="24"/>
          <w:highlight w:val="none"/>
        </w:rPr>
        <w:t>表</w:t>
      </w:r>
      <w:r>
        <w:rPr>
          <w:rFonts w:hint="eastAsia" w:ascii="方正小标宋_GBK" w:hAnsi="方正小标宋_GBK" w:eastAsia="方正小标宋_GBK" w:cs="方正小标宋_GBK"/>
          <w:color w:val="auto"/>
          <w:sz w:val="24"/>
          <w:highlight w:val="none"/>
          <w:lang w:val="en-US" w:eastAsia="zh-CN"/>
        </w:rPr>
        <w:t>3</w:t>
      </w:r>
      <w:r>
        <w:rPr>
          <w:rFonts w:hint="eastAsia" w:ascii="方正小标宋_GBK" w:hAnsi="方正小标宋_GBK" w:eastAsia="方正小标宋_GBK" w:cs="方正小标宋_GBK"/>
          <w:color w:val="auto"/>
          <w:sz w:val="24"/>
          <w:highlight w:val="none"/>
        </w:rPr>
        <w:t xml:space="preserve">  2019年招商引资专项资金绩效评价总体评价得分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5342"/>
        <w:gridCol w:w="5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4" w:type="dxa"/>
            <w:noWrap w:val="0"/>
            <w:vAlign w:val="center"/>
          </w:tcPr>
          <w:p>
            <w:pPr>
              <w:keepNext w:val="0"/>
              <w:keepLines w:val="0"/>
              <w:pageBreakBefore w:val="0"/>
              <w:kinsoku/>
              <w:wordWrap/>
              <w:overflowPunct/>
              <w:topLinePunct w:val="0"/>
              <w:autoSpaceDE/>
              <w:autoSpaceDN/>
              <w:bidi w:val="0"/>
              <w:spacing w:line="240" w:lineRule="auto"/>
              <w:ind w:firstLine="420"/>
              <w:jc w:val="center"/>
              <w:rPr>
                <w:rFonts w:hint="eastAsia" w:ascii="黑体" w:hAnsi="黑体" w:eastAsia="黑体"/>
                <w:color w:val="auto"/>
                <w:sz w:val="21"/>
                <w:szCs w:val="21"/>
                <w:highlight w:val="none"/>
              </w:rPr>
            </w:pPr>
          </w:p>
        </w:tc>
        <w:tc>
          <w:tcPr>
            <w:tcW w:w="5342"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olor w:val="auto"/>
                <w:sz w:val="21"/>
                <w:szCs w:val="21"/>
                <w:highlight w:val="none"/>
              </w:rPr>
            </w:pPr>
            <w:r>
              <w:rPr>
                <w:rFonts w:hint="eastAsia" w:ascii="黑体" w:hAnsi="黑体" w:eastAsia="黑体" w:cs="黑体"/>
                <w:bCs/>
                <w:color w:val="auto"/>
                <w:kern w:val="0"/>
                <w:sz w:val="21"/>
                <w:szCs w:val="21"/>
                <w:highlight w:val="none"/>
                <w:lang w:bidi="ar"/>
              </w:rPr>
              <w:t>商务局</w:t>
            </w:r>
          </w:p>
        </w:tc>
        <w:tc>
          <w:tcPr>
            <w:tcW w:w="5396"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olor w:val="auto"/>
                <w:sz w:val="21"/>
                <w:szCs w:val="21"/>
                <w:highlight w:val="none"/>
              </w:rPr>
            </w:pPr>
            <w:r>
              <w:rPr>
                <w:rFonts w:hint="eastAsia" w:ascii="黑体" w:hAnsi="黑体" w:eastAsia="黑体" w:cs="黑体"/>
                <w:bCs/>
                <w:color w:val="auto"/>
                <w:kern w:val="0"/>
                <w:sz w:val="21"/>
                <w:szCs w:val="21"/>
                <w:highlight w:val="none"/>
                <w:lang w:bidi="ar"/>
              </w:rPr>
              <w:t>各资金使用单位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4"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ascii="黑体" w:hAnsi="黑体" w:eastAsia="黑体" w:cs="黑体"/>
                <w:bCs/>
                <w:color w:val="auto"/>
                <w:sz w:val="21"/>
                <w:szCs w:val="21"/>
                <w:highlight w:val="none"/>
              </w:rPr>
            </w:pPr>
            <w:r>
              <w:rPr>
                <w:rFonts w:hint="eastAsia" w:ascii="黑体" w:hAnsi="黑体" w:eastAsia="黑体" w:cs="黑体"/>
                <w:bCs/>
                <w:color w:val="auto"/>
                <w:sz w:val="21"/>
                <w:szCs w:val="21"/>
                <w:highlight w:val="none"/>
              </w:rPr>
              <w:t>预算金额</w:t>
            </w:r>
          </w:p>
        </w:tc>
        <w:tc>
          <w:tcPr>
            <w:tcW w:w="5342"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2904</w:t>
            </w:r>
          </w:p>
        </w:tc>
        <w:tc>
          <w:tcPr>
            <w:tcW w:w="5396"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4"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ascii="黑体" w:hAnsi="黑体" w:eastAsia="黑体" w:cs="黑体"/>
                <w:bCs/>
                <w:color w:val="auto"/>
                <w:sz w:val="21"/>
                <w:szCs w:val="21"/>
                <w:highlight w:val="none"/>
              </w:rPr>
            </w:pPr>
            <w:r>
              <w:rPr>
                <w:rFonts w:hint="eastAsia" w:ascii="黑体" w:hAnsi="黑体" w:eastAsia="黑体" w:cs="黑体"/>
                <w:bCs/>
                <w:color w:val="auto"/>
                <w:sz w:val="21"/>
                <w:szCs w:val="21"/>
                <w:highlight w:val="none"/>
              </w:rPr>
              <w:t>子项目得分</w:t>
            </w:r>
          </w:p>
        </w:tc>
        <w:tc>
          <w:tcPr>
            <w:tcW w:w="53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 w:hAnsi="仿宋" w:eastAsia="仿宋" w:cs="仿宋"/>
                <w:bCs/>
                <w:color w:val="auto"/>
                <w:sz w:val="21"/>
                <w:szCs w:val="21"/>
                <w:highlight w:val="none"/>
                <w:lang w:val="en-US"/>
              </w:rPr>
            </w:pPr>
            <w:r>
              <w:rPr>
                <w:rFonts w:hint="eastAsia" w:ascii="仿宋" w:hAnsi="仿宋" w:eastAsia="仿宋" w:cs="仿宋"/>
                <w:color w:val="auto"/>
                <w:kern w:val="0"/>
                <w:sz w:val="21"/>
                <w:szCs w:val="21"/>
                <w:highlight w:val="none"/>
                <w:lang w:val="en-US" w:eastAsia="zh-CN" w:bidi="ar"/>
              </w:rPr>
              <w:t>7</w:t>
            </w:r>
            <w:r>
              <w:rPr>
                <w:rFonts w:hint="eastAsia" w:ascii="仿宋" w:hAnsi="仿宋" w:cs="仿宋"/>
                <w:color w:val="auto"/>
                <w:kern w:val="0"/>
                <w:sz w:val="21"/>
                <w:szCs w:val="21"/>
                <w:highlight w:val="none"/>
                <w:lang w:val="en-US" w:eastAsia="zh-CN" w:bidi="ar"/>
              </w:rPr>
              <w:t>9.46</w:t>
            </w:r>
          </w:p>
        </w:tc>
        <w:tc>
          <w:tcPr>
            <w:tcW w:w="5396"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bCs/>
                <w:color w:val="auto"/>
                <w:sz w:val="21"/>
                <w:szCs w:val="21"/>
                <w:highlight w:val="none"/>
                <w:lang w:val="en-US" w:eastAsia="zh-CN"/>
              </w:rPr>
            </w:pPr>
            <w:r>
              <w:rPr>
                <w:rFonts w:hint="eastAsia" w:ascii="仿宋" w:hAnsi="仿宋" w:eastAsia="仿宋" w:cs="仿宋"/>
                <w:color w:val="auto"/>
                <w:kern w:val="0"/>
                <w:sz w:val="21"/>
                <w:szCs w:val="21"/>
                <w:highlight w:val="none"/>
                <w:lang w:bidi="ar"/>
              </w:rPr>
              <w:t>7</w:t>
            </w:r>
            <w:r>
              <w:rPr>
                <w:rFonts w:hint="eastAsia" w:ascii="仿宋" w:hAnsi="仿宋" w:eastAsia="仿宋" w:cs="仿宋"/>
                <w:color w:val="auto"/>
                <w:kern w:val="0"/>
                <w:sz w:val="21"/>
                <w:szCs w:val="21"/>
                <w:highlight w:val="none"/>
                <w:lang w:val="en-US" w:eastAsia="zh-CN" w:bidi="ar"/>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4" w:type="dxa"/>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黑体" w:hAnsi="黑体" w:eastAsia="黑体" w:cs="黑体"/>
                <w:bCs/>
                <w:color w:val="auto"/>
                <w:sz w:val="21"/>
                <w:szCs w:val="21"/>
                <w:highlight w:val="none"/>
              </w:rPr>
            </w:pPr>
            <w:r>
              <w:rPr>
                <w:rFonts w:hint="eastAsia" w:ascii="黑体" w:hAnsi="黑体" w:eastAsia="黑体" w:cs="黑体"/>
                <w:bCs/>
                <w:color w:val="auto"/>
                <w:sz w:val="21"/>
                <w:szCs w:val="21"/>
                <w:highlight w:val="none"/>
              </w:rPr>
              <w:t>总分</w:t>
            </w:r>
          </w:p>
        </w:tc>
        <w:tc>
          <w:tcPr>
            <w:tcW w:w="10738" w:type="dxa"/>
            <w:gridSpan w:val="2"/>
            <w:noWrap w:val="0"/>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7</w:t>
            </w:r>
            <w:r>
              <w:rPr>
                <w:rFonts w:hint="eastAsia" w:ascii="仿宋" w:hAnsi="仿宋" w:cs="仿宋"/>
                <w:bCs/>
                <w:color w:val="auto"/>
                <w:sz w:val="21"/>
                <w:szCs w:val="21"/>
                <w:highlight w:val="none"/>
                <w:lang w:val="en-US" w:eastAsia="zh-CN"/>
              </w:rPr>
              <w:t>6</w:t>
            </w:r>
            <w:r>
              <w:rPr>
                <w:rFonts w:hint="eastAsia" w:ascii="仿宋" w:hAnsi="仿宋" w:eastAsia="仿宋" w:cs="仿宋"/>
                <w:bCs/>
                <w:color w:val="auto"/>
                <w:sz w:val="21"/>
                <w:szCs w:val="21"/>
                <w:highlight w:val="none"/>
                <w:lang w:val="en-US" w:eastAsia="zh-CN"/>
              </w:rPr>
              <w:t>.8</w:t>
            </w:r>
            <w:r>
              <w:rPr>
                <w:rFonts w:hint="eastAsia" w:ascii="仿宋" w:hAnsi="仿宋" w:cs="仿宋"/>
                <w:bCs/>
                <w:color w:val="auto"/>
                <w:sz w:val="21"/>
                <w:szCs w:val="21"/>
                <w:highlight w:val="none"/>
                <w:lang w:val="en-US" w:eastAsia="zh-CN"/>
              </w:rPr>
              <w:t>1</w:t>
            </w:r>
            <w:r>
              <w:rPr>
                <w:rFonts w:hint="eastAsia" w:ascii="仿宋" w:hAnsi="仿宋" w:eastAsia="仿宋" w:cs="仿宋"/>
                <w:bCs/>
                <w:color w:val="auto"/>
                <w:sz w:val="21"/>
                <w:szCs w:val="21"/>
                <w:highlight w:val="none"/>
              </w:rPr>
              <w:t>分</w:t>
            </w:r>
          </w:p>
        </w:tc>
      </w:tr>
    </w:tbl>
    <w:p>
      <w:pPr>
        <w:bidi w:val="0"/>
        <w:rPr>
          <w:rFonts w:hint="eastAsia"/>
          <w:color w:val="auto"/>
          <w:highlight w:val="none"/>
          <w:lang w:val="en-US" w:eastAsia="zh-CN"/>
        </w:rPr>
      </w:pPr>
    </w:p>
    <w:p>
      <w:pPr>
        <w:bidi w:val="0"/>
        <w:rPr>
          <w:rFonts w:hint="eastAsia"/>
          <w:lang w:val="en-US" w:eastAsia="zh-CN"/>
        </w:rPr>
        <w:sectPr>
          <w:headerReference r:id="rId13" w:type="default"/>
          <w:headerReference r:id="rId14" w:type="even"/>
          <w:pgSz w:w="16838" w:h="11906" w:orient="landscape"/>
          <w:pgMar w:top="1440" w:right="1587"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lang w:val="en-US" w:eastAsia="zh-CN"/>
        </w:rPr>
      </w:pPr>
      <w:bookmarkStart w:id="188" w:name="_Toc26541"/>
      <w:bookmarkStart w:id="189" w:name="_Toc2544"/>
      <w:r>
        <w:rPr>
          <w:rFonts w:hint="eastAsia"/>
          <w:lang w:val="en-US" w:eastAsia="zh-CN"/>
        </w:rPr>
        <w:t>四、主要经验及做法、存在的问题及原因分析</w:t>
      </w:r>
      <w:bookmarkEnd w:id="184"/>
      <w:bookmarkEnd w:id="185"/>
      <w:bookmarkEnd w:id="186"/>
      <w:bookmarkEnd w:id="187"/>
      <w:bookmarkEnd w:id="188"/>
      <w:bookmarkEnd w:id="189"/>
    </w:p>
    <w:p>
      <w:pPr>
        <w:pStyle w:val="4"/>
        <w:bidi w:val="0"/>
        <w:rPr>
          <w:rFonts w:hint="eastAsia"/>
          <w:lang w:val="en-US" w:eastAsia="zh-CN"/>
        </w:rPr>
      </w:pPr>
      <w:bookmarkStart w:id="190" w:name="_Toc6556"/>
      <w:bookmarkStart w:id="191" w:name="_Toc16388"/>
      <w:bookmarkStart w:id="192" w:name="_Toc9001"/>
      <w:bookmarkStart w:id="193" w:name="_Toc3665"/>
      <w:bookmarkStart w:id="194" w:name="_Toc29525"/>
      <w:bookmarkStart w:id="195" w:name="_Toc10509"/>
      <w:r>
        <w:rPr>
          <w:rFonts w:hint="eastAsia"/>
          <w:lang w:val="en-US" w:eastAsia="zh-CN"/>
        </w:rPr>
        <w:t>（一）主要经验及做法</w:t>
      </w:r>
      <w:bookmarkEnd w:id="190"/>
      <w:bookmarkEnd w:id="191"/>
      <w:bookmarkEnd w:id="192"/>
      <w:bookmarkEnd w:id="193"/>
      <w:bookmarkEnd w:id="194"/>
      <w:bookmarkEnd w:id="195"/>
    </w:p>
    <w:p>
      <w:pPr>
        <w:bidi w:val="0"/>
        <w:rPr>
          <w:rFonts w:hint="eastAsia"/>
          <w:color w:val="000000" w:themeColor="text1"/>
          <w:highlight w:val="none"/>
          <w14:textFill>
            <w14:solidFill>
              <w14:schemeClr w14:val="tx1"/>
            </w14:solidFill>
          </w14:textFill>
        </w:rPr>
      </w:pPr>
      <w:r>
        <w:rPr>
          <w:rFonts w:hint="eastAsia"/>
          <w:lang w:val="en-US" w:eastAsia="zh-CN"/>
        </w:rPr>
        <w:t>2019年青岛市商务局</w:t>
      </w:r>
      <w:r>
        <w:rPr>
          <w:rFonts w:hint="eastAsia"/>
          <w:color w:val="000000" w:themeColor="text1"/>
          <w:highlight w:val="none"/>
          <w14:textFill>
            <w14:solidFill>
              <w14:schemeClr w14:val="tx1"/>
            </w14:solidFill>
          </w14:textFill>
        </w:rPr>
        <w:t>以平台思维做发展乘法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在全市搭建平台230个。落实平台法推进机制，聚集发展要素资源，放大平台聚才效应，促进产才融合。建立双招双引公众号，发布各类展会投资意向信息264个。以首届跨国公司领导人</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峰会为代表，承办</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余场重大活动，签约重点项目1</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0余个。谋划建设展示面向中日、中韩、中德、中以和上合国家的“国际客厅”，展示</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形象，拓展全球渠道。把</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放在山东、全国、全球的大格局中优化配置项目资源。</w:t>
      </w:r>
      <w:r>
        <w:rPr>
          <w:rFonts w:hint="eastAsia"/>
          <w:color w:val="000000" w:themeColor="text1"/>
          <w:highlight w:val="none"/>
          <w:lang w:val="en-US" w:eastAsia="zh-CN"/>
          <w14:textFill>
            <w14:solidFill>
              <w14:schemeClr w14:val="tx1"/>
            </w14:solidFill>
          </w14:textFill>
        </w:rPr>
        <w:t>市商务局</w:t>
      </w:r>
      <w:r>
        <w:rPr>
          <w:rFonts w:hint="eastAsia"/>
          <w:color w:val="000000" w:themeColor="text1"/>
          <w:highlight w:val="none"/>
          <w14:textFill>
            <w14:solidFill>
              <w14:schemeClr w14:val="tx1"/>
            </w14:solidFill>
          </w14:textFill>
        </w:rPr>
        <w:t>制定《</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市</w:t>
      </w:r>
      <w:r>
        <w:rPr>
          <w:color w:val="000000" w:themeColor="text1"/>
          <w:highlight w:val="none"/>
          <w14:textFill>
            <w14:solidFill>
              <w14:schemeClr w14:val="tx1"/>
            </w14:solidFill>
          </w14:textFill>
        </w:rPr>
        <w:t>促进社会化专业招商引资奖励政策</w:t>
      </w:r>
      <w:r>
        <w:rPr>
          <w:rFonts w:hint="eastAsia"/>
          <w:color w:val="000000" w:themeColor="text1"/>
          <w:highlight w:val="none"/>
          <w14:textFill>
            <w14:solidFill>
              <w14:schemeClr w14:val="tx1"/>
            </w14:solidFill>
          </w14:textFill>
        </w:rPr>
        <w:t>》、《社会化专业招商中介机构招商促进办法》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大力推进专业化、社会化、市场化招商，</w:t>
      </w:r>
      <w:r>
        <w:rPr>
          <w:color w:val="000000" w:themeColor="text1"/>
          <w:highlight w:val="none"/>
          <w14:textFill>
            <w14:solidFill>
              <w14:schemeClr w14:val="tx1"/>
            </w14:solidFill>
          </w14:textFill>
        </w:rPr>
        <w:t>对促成项目落户的</w:t>
      </w:r>
      <w:r>
        <w:rPr>
          <w:rFonts w:hint="eastAsia"/>
          <w:color w:val="000000" w:themeColor="text1"/>
          <w:highlight w:val="none"/>
          <w14:textFill>
            <w14:solidFill>
              <w14:schemeClr w14:val="tx1"/>
            </w14:solidFill>
          </w14:textFill>
        </w:rPr>
        <w:t>引荐</w:t>
      </w:r>
      <w:r>
        <w:rPr>
          <w:color w:val="000000" w:themeColor="text1"/>
          <w:highlight w:val="none"/>
          <w14:textFill>
            <w14:solidFill>
              <w14:schemeClr w14:val="tx1"/>
            </w14:solidFill>
          </w14:textFill>
        </w:rPr>
        <w:t>人</w:t>
      </w:r>
      <w:r>
        <w:rPr>
          <w:rFonts w:hint="eastAsia"/>
          <w:color w:val="000000" w:themeColor="text1"/>
          <w:highlight w:val="none"/>
          <w14:textFill>
            <w14:solidFill>
              <w14:schemeClr w14:val="tx1"/>
            </w14:solidFill>
          </w14:textFill>
        </w:rPr>
        <w:t>加大</w:t>
      </w:r>
      <w:r>
        <w:rPr>
          <w:color w:val="000000" w:themeColor="text1"/>
          <w:highlight w:val="none"/>
          <w14:textFill>
            <w14:solidFill>
              <w14:schemeClr w14:val="tx1"/>
            </w14:solidFill>
          </w14:textFill>
        </w:rPr>
        <w:t>奖励，</w:t>
      </w:r>
      <w:r>
        <w:rPr>
          <w:rFonts w:hint="eastAsia"/>
          <w:color w:val="000000" w:themeColor="text1"/>
          <w:highlight w:val="none"/>
          <w14:textFill>
            <w14:solidFill>
              <w14:schemeClr w14:val="tx1"/>
            </w14:solidFill>
          </w14:textFill>
        </w:rPr>
        <w:t>强化</w:t>
      </w:r>
      <w:r>
        <w:rPr>
          <w:rFonts w:hint="eastAsia"/>
          <w:color w:val="000000" w:themeColor="text1"/>
          <w:highlight w:val="none"/>
          <w:lang w:eastAsia="zh-CN"/>
          <w14:textFill>
            <w14:solidFill>
              <w14:schemeClr w14:val="tx1"/>
            </w14:solidFill>
          </w14:textFill>
        </w:rPr>
        <w:t>青岛</w:t>
      </w:r>
      <w:r>
        <w:rPr>
          <w:color w:val="000000" w:themeColor="text1"/>
          <w:highlight w:val="none"/>
          <w14:textFill>
            <w14:solidFill>
              <w14:schemeClr w14:val="tx1"/>
            </w14:solidFill>
          </w14:textFill>
        </w:rPr>
        <w:t>嫁接全球高端资源能力</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大力推进和深入开展“千企招商大走访”活动，</w:t>
      </w:r>
      <w:r>
        <w:rPr>
          <w:rFonts w:hint="eastAsia"/>
          <w:color w:val="000000" w:themeColor="text1"/>
          <w:highlight w:val="none"/>
          <w14:textFill>
            <w14:solidFill>
              <w14:schemeClr w14:val="tx1"/>
            </w14:solidFill>
          </w14:textFill>
        </w:rPr>
        <w:t>制定《世界500强及重点国企、民企走访计划》《跨国公司领导人</w:t>
      </w:r>
      <w:r>
        <w:rPr>
          <w:rFonts w:hint="eastAsia"/>
          <w:color w:val="000000" w:themeColor="text1"/>
          <w:highlight w:val="none"/>
          <w:lang w:eastAsia="zh-CN"/>
          <w14:textFill>
            <w14:solidFill>
              <w14:schemeClr w14:val="tx1"/>
            </w14:solidFill>
          </w14:textFill>
        </w:rPr>
        <w:t>青岛</w:t>
      </w:r>
      <w:r>
        <w:rPr>
          <w:rFonts w:hint="eastAsia"/>
          <w:color w:val="000000" w:themeColor="text1"/>
          <w:highlight w:val="none"/>
          <w14:textFill>
            <w14:solidFill>
              <w14:schemeClr w14:val="tx1"/>
            </w14:solidFill>
          </w14:textFill>
        </w:rPr>
        <w:t>峰会走访分工计划》等四项走访行动</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细化落实上合示范区总体方案，重点加快推进基础设施和功能载体项目建设，打造国际物流中转枢纽，完善多式联运中心综合服务功能。</w:t>
      </w:r>
    </w:p>
    <w:p>
      <w:pPr>
        <w:pStyle w:val="4"/>
        <w:bidi w:val="0"/>
        <w:rPr>
          <w:rFonts w:hint="default"/>
          <w:lang w:val="en-US" w:eastAsia="zh-CN"/>
        </w:rPr>
      </w:pPr>
      <w:bookmarkStart w:id="196" w:name="_Toc18118"/>
      <w:bookmarkStart w:id="197" w:name="_Toc26939"/>
      <w:bookmarkStart w:id="198" w:name="_Toc7056"/>
      <w:bookmarkStart w:id="199" w:name="_Toc13437"/>
      <w:bookmarkStart w:id="200" w:name="_Toc3192"/>
      <w:bookmarkStart w:id="201" w:name="_Toc4083"/>
      <w:r>
        <w:rPr>
          <w:rFonts w:hint="eastAsia"/>
          <w:lang w:val="en-US" w:eastAsia="zh-CN"/>
        </w:rPr>
        <w:t>（二）存在的问题及原因分析</w:t>
      </w:r>
      <w:bookmarkEnd w:id="196"/>
      <w:bookmarkEnd w:id="197"/>
      <w:bookmarkEnd w:id="198"/>
      <w:bookmarkEnd w:id="199"/>
      <w:bookmarkEnd w:id="200"/>
      <w:bookmarkEnd w:id="201"/>
    </w:p>
    <w:p>
      <w:pPr>
        <w:ind w:firstLine="640"/>
        <w:rPr>
          <w:highlight w:val="none"/>
        </w:rPr>
      </w:pPr>
      <w:bookmarkStart w:id="202" w:name="_Toc10818"/>
      <w:r>
        <w:rPr>
          <w:rFonts w:hint="eastAsia"/>
          <w:highlight w:val="none"/>
        </w:rPr>
        <w:t>1、决策存在的问题</w:t>
      </w:r>
    </w:p>
    <w:p>
      <w:pPr>
        <w:ind w:firstLine="640"/>
        <w:rPr>
          <w:highlight w:val="none"/>
        </w:rPr>
      </w:pPr>
      <w:r>
        <w:rPr>
          <w:rFonts w:hint="eastAsia"/>
          <w:highlight w:val="none"/>
        </w:rPr>
        <w:t>（1）预算项目绩效目标填报不合理</w:t>
      </w:r>
    </w:p>
    <w:p>
      <w:pPr>
        <w:ind w:firstLine="640"/>
        <w:rPr>
          <w:highlight w:val="none"/>
        </w:rPr>
      </w:pPr>
      <w:r>
        <w:rPr>
          <w:rFonts w:hint="eastAsia"/>
          <w:highlight w:val="none"/>
        </w:rPr>
        <w:t>从2019年青岛市商务局对招商项目的绩效目标申报表可以看出，没有针对该招商经费专项资金项目做单独的绩效目标申报表，均是将其作为某个项目的其中一部分进行绩效目标填报。同时，市商务局填报的目标内容针对性不强、指标值和项目真实情况不吻合、与下达给各资金使用单位的具体“合同外资和签约内资”的任务目标没有结合。如市商务局2019年招商经费绩效目标制定为“2019年引进外资项目500个，利用外资年度目标FDI实际外资为60亿美元；2019年引进内资项目1050个，利用内资年度目标为2300亿元。其中世界500强企业及行业领军企业20家，国内500强企业及行业领军企业30家，新旧动能转换项目50个”。而市商务局招商经费给各招商团队下达的任务目标是内资940亿元，外资352000万美元，两个绩效或政策目标</w:t>
      </w:r>
      <w:r>
        <w:rPr>
          <w:rFonts w:hint="eastAsia"/>
          <w:highlight w:val="none"/>
          <w:lang w:val="en-US" w:eastAsia="zh-CN"/>
        </w:rPr>
        <w:t>表述</w:t>
      </w:r>
      <w:r>
        <w:rPr>
          <w:rFonts w:hint="eastAsia"/>
          <w:highlight w:val="none"/>
        </w:rPr>
        <w:t>不符。</w:t>
      </w:r>
    </w:p>
    <w:p>
      <w:pPr>
        <w:ind w:firstLine="640"/>
        <w:rPr>
          <w:highlight w:val="none"/>
        </w:rPr>
      </w:pPr>
      <w:r>
        <w:rPr>
          <w:rFonts w:hint="eastAsia"/>
          <w:highlight w:val="none"/>
        </w:rPr>
        <w:t>2、过程存在的问题</w:t>
      </w:r>
    </w:p>
    <w:p>
      <w:pPr>
        <w:ind w:firstLine="640"/>
        <w:rPr>
          <w:highlight w:val="none"/>
        </w:rPr>
      </w:pPr>
      <w:r>
        <w:rPr>
          <w:rFonts w:hint="eastAsia"/>
          <w:highlight w:val="none"/>
        </w:rPr>
        <w:t>（1）多个资金使用单位没有固定招商专门机构，积极性不高</w:t>
      </w:r>
    </w:p>
    <w:p>
      <w:pPr>
        <w:ind w:firstLine="640"/>
        <w:rPr>
          <w:highlight w:val="none"/>
        </w:rPr>
      </w:pPr>
      <w:r>
        <w:rPr>
          <w:rFonts w:hint="eastAsia"/>
          <w:highlight w:val="none"/>
        </w:rPr>
        <w:t>除工信局、发改委、市地方金融监管局、市场监管局等成立了固定的招商处室外，多个资金使用单位没有固定招商专门机构，招商引资的人员分散在各个处室的现象具有一定的普遍性，造成凝聚力不强、战斗力弱，信息沟通能力差。</w:t>
      </w:r>
    </w:p>
    <w:p>
      <w:pPr>
        <w:ind w:firstLine="640"/>
        <w:rPr>
          <w:highlight w:val="none"/>
        </w:rPr>
      </w:pPr>
      <w:r>
        <w:rPr>
          <w:rFonts w:hint="eastAsia"/>
          <w:highlight w:val="none"/>
        </w:rPr>
        <w:t>（2）缺少市商务局、牵头单位和定向招商团队牵头协调机制</w:t>
      </w:r>
    </w:p>
    <w:p>
      <w:pPr>
        <w:ind w:firstLine="640"/>
        <w:rPr>
          <w:highlight w:val="none"/>
        </w:rPr>
      </w:pPr>
      <w:r>
        <w:rPr>
          <w:rFonts w:hint="eastAsia"/>
          <w:highlight w:val="none"/>
        </w:rPr>
        <w:t>根据《青岛市现代产业精准招商30个专业团队2018年工作方案汇编》，方案要求牵头单位和定向招商团队应该建立互通互联的协同工作机制。要求专业团队各成员定期上报招商工作情况，实现对走访工作的动态信息采集，建立重点项目调度工作机制。任务安排而不是沟通交流，导致招引政策执行部门满意度不高，且无法发现执行部门和团队的困难和不足，无法及时进行调整与更正。评价过程中，要求各资金使用单位提供绩效评价相关材料，因为缺乏互联互通的协同工作机制，导致部分资金使用单位未提供相关评价材料，评价得分低于70分。</w:t>
      </w:r>
    </w:p>
    <w:p>
      <w:pPr>
        <w:ind w:firstLine="640"/>
        <w:rPr>
          <w:highlight w:val="none"/>
        </w:rPr>
      </w:pPr>
      <w:r>
        <w:rPr>
          <w:rFonts w:hint="eastAsia"/>
          <w:highlight w:val="none"/>
        </w:rPr>
        <w:t>（3）对招商项目缺乏有效的跟踪和调度</w:t>
      </w:r>
    </w:p>
    <w:p>
      <w:pPr>
        <w:ind w:firstLine="640"/>
        <w:rPr>
          <w:highlight w:val="none"/>
        </w:rPr>
      </w:pPr>
      <w:r>
        <w:rPr>
          <w:rFonts w:hint="eastAsia"/>
          <w:highlight w:val="none"/>
        </w:rPr>
        <w:t>市商务局对新引进当年的外资项目税收情况、营业收入、吸收就业情况等，进行了调度，但未持续进行跟踪调度，内资项目的跟踪调度机制缺失，无法了解已经完成任务的招商引资项目真正产生的效果。</w:t>
      </w:r>
    </w:p>
    <w:p>
      <w:pPr>
        <w:ind w:firstLine="640"/>
        <w:rPr>
          <w:highlight w:val="none"/>
        </w:rPr>
      </w:pPr>
      <w:r>
        <w:rPr>
          <w:rFonts w:hint="eastAsia"/>
          <w:highlight w:val="none"/>
        </w:rPr>
        <w:t>（4）将“合同外资和签约内资”作为考核指标合理性有待商榷</w:t>
      </w:r>
    </w:p>
    <w:p>
      <w:pPr>
        <w:ind w:firstLine="640"/>
        <w:rPr>
          <w:highlight w:val="none"/>
        </w:rPr>
      </w:pPr>
      <w:r>
        <w:rPr>
          <w:rFonts w:hint="eastAsia"/>
          <w:highlight w:val="none"/>
        </w:rPr>
        <w:t>2019年，</w:t>
      </w:r>
      <w:r>
        <w:rPr>
          <w:rFonts w:hint="eastAsia"/>
          <w:highlight w:val="none"/>
          <w:lang w:val="zh-CN"/>
        </w:rPr>
        <w:t>市直部门和专业招商团队招商引资指标设定</w:t>
      </w:r>
      <w:r>
        <w:rPr>
          <w:rFonts w:hint="eastAsia"/>
          <w:highlight w:val="none"/>
        </w:rPr>
        <w:t>2</w:t>
      </w:r>
      <w:r>
        <w:rPr>
          <w:rFonts w:hint="eastAsia"/>
          <w:highlight w:val="none"/>
          <w:lang w:val="zh-CN"/>
        </w:rPr>
        <w:t>个，即合同外资和签约内资。</w:t>
      </w:r>
      <w:r>
        <w:rPr>
          <w:rFonts w:hint="eastAsia"/>
          <w:highlight w:val="none"/>
        </w:rPr>
        <w:t>青岛市对区（市）的招商引资的考核指标为到位资金。将“合同外资和签约内资”作为考核指标，可能导致表面上签约金额很高，实际上到位资金很低甚至为零的现象普遍存在。同时部分部门(如科技局）承担了科研机构的引进工作，不存在合同签约金额，但是引进科研机构也会对青岛市长期带来巨大的正向影响。故仅仅将“合同外资和签约内资”作为考核指标的合理性和有效性有待商榷。</w:t>
      </w:r>
    </w:p>
    <w:p>
      <w:pPr>
        <w:ind w:firstLine="640"/>
        <w:rPr>
          <w:highlight w:val="none"/>
        </w:rPr>
      </w:pPr>
      <w:r>
        <w:rPr>
          <w:rFonts w:hint="eastAsia"/>
          <w:highlight w:val="none"/>
        </w:rPr>
        <w:t>（5）招商引资任务完成，奖励制度未落实到位</w:t>
      </w:r>
    </w:p>
    <w:p>
      <w:pPr>
        <w:ind w:firstLine="640"/>
        <w:rPr>
          <w:highlight w:val="none"/>
        </w:rPr>
      </w:pPr>
      <w:r>
        <w:rPr>
          <w:rFonts w:hint="eastAsia"/>
          <w:highlight w:val="none"/>
        </w:rPr>
        <w:t>根据《青岛市专业招商团队和市直部门招商引资绩效考核办法》，绩效考核完成目标任务：予以全市通报表彰；对年度招商经费有结余的，可转为部门公用经费统筹使用；对当年招商经费不足的通过绩效激励经费给予奖励补足，按照每超额完成外资目标 1 亿美元，安排绩效激励经费 3 万元，内资目标参照同一标准进行折算。据与市商务局投促处和各资金使用单位访谈，该项资金已经按照办法进行考核，未兑现奖励。</w:t>
      </w:r>
    </w:p>
    <w:p>
      <w:pPr>
        <w:ind w:firstLine="640"/>
        <w:rPr>
          <w:highlight w:val="none"/>
        </w:rPr>
      </w:pPr>
      <w:r>
        <w:rPr>
          <w:rFonts w:hint="eastAsia"/>
          <w:highlight w:val="none"/>
        </w:rPr>
        <w:t>（6）经费使用办法和绩效考核办法部分条款存在冲突</w:t>
      </w:r>
    </w:p>
    <w:p>
      <w:pPr>
        <w:ind w:firstLine="640"/>
        <w:rPr>
          <w:highlight w:val="none"/>
        </w:rPr>
      </w:pPr>
      <w:r>
        <w:rPr>
          <w:rFonts w:hint="eastAsia"/>
          <w:highlight w:val="none"/>
        </w:rPr>
        <w:t>关于印发《青岛市专业招商团队和市直部门招商引资绩效考核办法》的通知（青招促字〔2018〕3 号）文件中，“绩效考核完成目标任务：予以全市通报表彰；对年度招商经费有结余的，可转为部门公用经费统筹使用”，未规定具体的考核时间。</w:t>
      </w:r>
    </w:p>
    <w:p>
      <w:pPr>
        <w:ind w:firstLine="640"/>
        <w:rPr>
          <w:highlight w:val="none"/>
        </w:rPr>
      </w:pPr>
      <w:r>
        <w:rPr>
          <w:rFonts w:hint="eastAsia"/>
          <w:highlight w:val="none"/>
        </w:rPr>
        <w:t>据访谈和了解，2019年的招商绩效目标任务考核结果在2020年1月份发布。部分资金使用单位2019年不清楚绩效考核任务是否完成，在转为公用经费统筹使用时存疑，存在已完成任务但未进行考核，未能按文件要求将剩余资金转为公用经费统筹使用</w:t>
      </w:r>
      <w:r>
        <w:rPr>
          <w:rFonts w:hint="eastAsia"/>
          <w:highlight w:val="none"/>
          <w:lang w:val="en-US" w:eastAsia="zh-CN"/>
        </w:rPr>
        <w:t>的现象</w:t>
      </w:r>
      <w:r>
        <w:rPr>
          <w:rFonts w:hint="eastAsia"/>
          <w:highlight w:val="none"/>
        </w:rPr>
        <w:t>，导致预算执行率低。</w:t>
      </w:r>
    </w:p>
    <w:p>
      <w:pPr>
        <w:ind w:firstLine="640"/>
        <w:rPr>
          <w:highlight w:val="none"/>
        </w:rPr>
      </w:pPr>
      <w:r>
        <w:rPr>
          <w:rFonts w:hint="eastAsia"/>
          <w:highlight w:val="none"/>
        </w:rPr>
        <w:t>（7）资金分配存在一定程度的不合理</w:t>
      </w:r>
    </w:p>
    <w:p>
      <w:pPr>
        <w:ind w:firstLine="640"/>
        <w:rPr>
          <w:highlight w:val="none"/>
        </w:rPr>
      </w:pPr>
      <w:r>
        <w:rPr>
          <w:rFonts w:hint="eastAsia"/>
          <w:highlight w:val="none"/>
        </w:rPr>
        <w:t>根据青岛市财政局 青岛商务局关于印发《青岛市扩大对外开放专项资金管理办法》的通知，青财企〔2018〕3号中《青岛市现代产业精准招商专项经费管理办法》，对团队和部门招商工作经费、重大招商活动经费等规定了资金分配方式和测算依据，预算安排内容与专项资金设立目的和工作重点匹配程度存在部分不吻合。如部分资金使用单位（如市生态环境局）年度经费尚存在结余，部分资金使用单位（如市科技局）反映年度经费不够。</w:t>
      </w:r>
    </w:p>
    <w:p>
      <w:pPr>
        <w:ind w:left="640" w:leftChars="200" w:firstLine="0" w:firstLineChars="0"/>
        <w:rPr>
          <w:highlight w:val="none"/>
        </w:rPr>
      </w:pPr>
      <w:r>
        <w:rPr>
          <w:rFonts w:hint="eastAsia"/>
          <w:highlight w:val="none"/>
        </w:rPr>
        <w:t>3、产出存在的问题</w:t>
      </w:r>
    </w:p>
    <w:p>
      <w:pPr>
        <w:ind w:firstLine="640"/>
        <w:rPr>
          <w:highlight w:val="none"/>
        </w:rPr>
      </w:pPr>
      <w:r>
        <w:rPr>
          <w:rFonts w:hint="eastAsia"/>
          <w:highlight w:val="none"/>
        </w:rPr>
        <w:t>（1）项目到位资金、落地情况、开工情况等质量指标未能有效提供，没有建立相关质量数据获取机制</w:t>
      </w:r>
    </w:p>
    <w:p>
      <w:pPr>
        <w:ind w:firstLine="640"/>
        <w:rPr>
          <w:highlight w:val="none"/>
        </w:rPr>
      </w:pPr>
      <w:r>
        <w:rPr>
          <w:rFonts w:hint="eastAsia"/>
          <w:highlight w:val="none"/>
        </w:rPr>
        <w:t>政策的产出质量如到位资金、落地情况、开工情况等质量指标均无法全面和可持续地获取数据，其原因在于商务局和各资金使用单位均未执行有效的政策项目跟踪和调度机制，缺乏与所引进项目的进一步沟通的机制。</w:t>
      </w:r>
    </w:p>
    <w:p>
      <w:pPr>
        <w:ind w:firstLine="640"/>
        <w:rPr>
          <w:highlight w:val="none"/>
        </w:rPr>
      </w:pPr>
      <w:r>
        <w:rPr>
          <w:rFonts w:hint="eastAsia"/>
          <w:highlight w:val="none"/>
        </w:rPr>
        <w:t>4、项目效益方面的问题</w:t>
      </w:r>
    </w:p>
    <w:p>
      <w:pPr>
        <w:ind w:firstLine="640"/>
        <w:rPr>
          <w:highlight w:val="none"/>
        </w:rPr>
      </w:pPr>
      <w:r>
        <w:rPr>
          <w:rFonts w:hint="eastAsia"/>
          <w:highlight w:val="none"/>
        </w:rPr>
        <w:t>（1）引进项目的产业类别结构有待进一步优化</w:t>
      </w:r>
    </w:p>
    <w:p>
      <w:pPr>
        <w:ind w:firstLine="640"/>
        <w:rPr>
          <w:highlight w:val="none"/>
        </w:rPr>
      </w:pPr>
      <w:r>
        <w:rPr>
          <w:rFonts w:hint="eastAsia"/>
          <w:highlight w:val="none"/>
        </w:rPr>
        <w:t>通过市商务局外资处提供的2019年的引进外资项目清单和2019年市直部门和专业招商团队引进的内资项目清单，发现引进工业制造业特别是高科技制造业项目数量偏少，重大产业项目偏少，国际著名大项目偏少，带动产业链集聚的头部企业项目偏少，具有隐形冠军潜质的项目偏少等问题。</w:t>
      </w:r>
    </w:p>
    <w:p>
      <w:pPr>
        <w:ind w:firstLine="640"/>
        <w:rPr>
          <w:highlight w:val="none"/>
        </w:rPr>
      </w:pPr>
      <w:r>
        <w:rPr>
          <w:rFonts w:hint="eastAsia"/>
          <w:highlight w:val="none"/>
        </w:rPr>
        <w:t>（2）针对项目的经济效益指标，没有建立政策效益等数据获取机制</w:t>
      </w:r>
    </w:p>
    <w:p>
      <w:pPr>
        <w:ind w:firstLine="640"/>
        <w:rPr>
          <w:highlight w:val="none"/>
        </w:rPr>
      </w:pPr>
      <w:r>
        <w:rPr>
          <w:rFonts w:hint="eastAsia"/>
          <w:highlight w:val="none"/>
        </w:rPr>
        <w:t>项目的经济效益如营业收入增长率、税收增长率，社会效益的就业增加率均无法全面和可持续地获取数据，其原因在于商务局和各资金使用单位均未执行有效的政策项目跟踪和调度机制，缺乏与所引进项目的进一步沟通的机制。</w:t>
      </w:r>
    </w:p>
    <w:p>
      <w:pPr>
        <w:pStyle w:val="3"/>
        <w:ind w:firstLine="640"/>
        <w:rPr>
          <w:highlight w:val="none"/>
        </w:rPr>
      </w:pPr>
      <w:bookmarkStart w:id="203" w:name="_Toc2958"/>
      <w:bookmarkStart w:id="204" w:name="_Toc15422"/>
      <w:bookmarkStart w:id="205" w:name="_Toc16820"/>
      <w:r>
        <w:rPr>
          <w:rFonts w:hint="eastAsia"/>
          <w:highlight w:val="none"/>
        </w:rPr>
        <w:t>六、有关建议</w:t>
      </w:r>
      <w:bookmarkEnd w:id="202"/>
      <w:bookmarkEnd w:id="203"/>
      <w:bookmarkEnd w:id="204"/>
      <w:bookmarkEnd w:id="205"/>
    </w:p>
    <w:p>
      <w:pPr>
        <w:ind w:firstLine="640"/>
        <w:rPr>
          <w:highlight w:val="none"/>
        </w:rPr>
      </w:pPr>
      <w:bookmarkStart w:id="206" w:name="_Toc15311"/>
      <w:r>
        <w:rPr>
          <w:rStyle w:val="13"/>
          <w:rFonts w:hint="eastAsia"/>
          <w:highlight w:val="none"/>
        </w:rPr>
        <w:t>（一）规范绩效目标填报和完善目标考核。</w:t>
      </w:r>
      <w:r>
        <w:rPr>
          <w:rFonts w:hint="eastAsia"/>
          <w:highlight w:val="none"/>
        </w:rPr>
        <w:t>按照招商引资政策未来能够达到的预期目标，结合十四五规划的长期目标，单独填报2021年度的年度政策或项目的绩效目标，结合2020年的经费拨付方式和招引效果的变化，从产出（数量、质量、成本、时效）和效益（经济、社会、生态和可持续影响）两个方面，在申报2021年预算时填报2021年的绩效目标，注意绩效目标填报的指标细化、量化和可衡量。根据对招商团队的实际情况的调研和访谈，摸清各招商团队对考核指标的要求，确定绩效目标的产出指标用多元化的指标来度量，如：到位资金+多元化指标，多元化指标可以选择税收、就业、投资总额等。对市直行业主管部门、</w:t>
      </w:r>
      <w:r>
        <w:rPr>
          <w:highlight w:val="none"/>
        </w:rPr>
        <w:t>市直综合部门</w:t>
      </w:r>
      <w:r>
        <w:rPr>
          <w:rFonts w:hint="eastAsia"/>
          <w:highlight w:val="none"/>
        </w:rPr>
        <w:t>实行分类指导、区别考核。</w:t>
      </w:r>
    </w:p>
    <w:p>
      <w:pPr>
        <w:ind w:firstLine="640"/>
        <w:rPr>
          <w:highlight w:val="none"/>
        </w:rPr>
      </w:pPr>
      <w:r>
        <w:rPr>
          <w:rStyle w:val="13"/>
          <w:rFonts w:hint="eastAsia"/>
          <w:highlight w:val="none"/>
        </w:rPr>
        <w:t>（二）制定完善合理的招商经费使用管理方法。</w:t>
      </w:r>
      <w:r>
        <w:rPr>
          <w:rFonts w:hint="eastAsia"/>
          <w:highlight w:val="none"/>
        </w:rPr>
        <w:t>2020年市商务局制定了“十强产业+重点项目”的招商经费拨付办法，顺应山东省新旧动能转化的的政策要求，但也将需要该项资金的部门（如市科技局、市市场监管局等）排除在外。建议进一步对各招引部门进行调研和深度访谈，了解各部门的招引工作模式和经费短缺情况，将需要该项资金又急缺资金的部门纳入经费拨付范围，将不需该项经费的部门排除在经费拨付范围，合理制定2021年的经费拨付新模式，打好十四五期间招商引资的开局之战。</w:t>
      </w:r>
    </w:p>
    <w:p>
      <w:pPr>
        <w:ind w:firstLine="640"/>
        <w:rPr>
          <w:highlight w:val="none"/>
        </w:rPr>
      </w:pPr>
      <w:r>
        <w:rPr>
          <w:rStyle w:val="13"/>
          <w:rFonts w:hint="eastAsia"/>
          <w:highlight w:val="none"/>
        </w:rPr>
        <w:t>（三）建立定期跟踪、调度分析机制。</w:t>
      </w:r>
      <w:r>
        <w:rPr>
          <w:rFonts w:hint="eastAsia"/>
          <w:highlight w:val="none"/>
        </w:rPr>
        <w:t>签约仅仅是实现了招引第一步，应当制定完善的跟踪、协调、监督、调度和信息沟通机制，确保项目的落地开花，实时做好企业经营发展的收入利润信息、环境影响信息、就业信息和税收信息，确保招引项目带来较好的经济效益、社会效益和生态效益。鉴于商务局和各市直部门现有人员不足，工作压力大，无法有效进行政策执行情况的跟踪监控，可以委托第三方进行全程跟踪和监督，实时总结汇总签约信息和落地信息，并进行问题汇总和反馈。</w:t>
      </w:r>
    </w:p>
    <w:p>
      <w:pPr>
        <w:ind w:firstLine="640"/>
        <w:rPr>
          <w:highlight w:val="none"/>
        </w:rPr>
      </w:pPr>
      <w:r>
        <w:rPr>
          <w:rStyle w:val="13"/>
          <w:rFonts w:hint="eastAsia"/>
          <w:szCs w:val="32"/>
          <w:highlight w:val="none"/>
        </w:rPr>
        <w:t>（四）建立资金牵头机制，实现部门协同效应。</w:t>
      </w:r>
      <w:r>
        <w:rPr>
          <w:rFonts w:hint="eastAsia"/>
          <w:highlight w:val="none"/>
        </w:rPr>
        <w:t>该项政策涉及商务局和各资金使用单位。建议市商务局作为预算牵头部门，负责编制整体目标、开展绩效监控和评价，反映资金整体绩效情况。市商务局应制定资金协调、监督及考核机制，定期跟踪各单位资金执行进度、项目进展及预期目标实现情况，明确考核指标及结果应用，充分调动各单位积极性，并将考核结果应用到下年预算安排中。市商务局应建立统一指挥、分工协作、权责对等、协同高效的资金管理模式，提高财政资金使用效益。</w:t>
      </w:r>
    </w:p>
    <w:p>
      <w:pPr>
        <w:ind w:firstLine="640"/>
        <w:rPr>
          <w:highlight w:val="none"/>
        </w:rPr>
      </w:pPr>
      <w:r>
        <w:rPr>
          <w:rStyle w:val="13"/>
          <w:rFonts w:hint="eastAsia"/>
          <w:highlight w:val="none"/>
        </w:rPr>
        <w:t>（五）完善考核办法，激发各招商团队的积极性，奖励到位。</w:t>
      </w:r>
      <w:r>
        <w:rPr>
          <w:rFonts w:hint="eastAsia"/>
          <w:highlight w:val="none"/>
        </w:rPr>
        <w:t>考核办法没有制定招引任务目标考核时间，导致“招引任务完成，剩余招引经费可以转为公用经费统筹”的规定操作性不强，建议在考核文件中规定具体的考核时间，或者针对制定“根据上年度考核结果，如果上年度考核完成任务目标，本年度可以对招引经费转为公用经费统筹”等类似规定。针对部分未成立招商处室的部门，应该建立机制促进松散的招商团队凝聚精神，通过奖励到位、与处室考核奖结合等方式，凝聚松散的招商团队的招引积极性。同时，鉴于招引的经费的特殊性，可以对招商引资的资金使用范围报销的严格程序松绑，制定较为宽松的招引经费报销程序，激发各招商团队对招引工作的积极性。</w:t>
      </w:r>
    </w:p>
    <w:p>
      <w:pPr>
        <w:ind w:firstLine="640"/>
        <w:rPr>
          <w:highlight w:val="none"/>
        </w:rPr>
      </w:pPr>
      <w:r>
        <w:rPr>
          <w:rStyle w:val="13"/>
          <w:rFonts w:hint="eastAsia"/>
          <w:highlight w:val="none"/>
        </w:rPr>
        <w:t>（六）制定引导招商团队引进大项目、头部、瞪羚等优质项目机制。</w:t>
      </w:r>
      <w:r>
        <w:rPr>
          <w:rFonts w:hint="eastAsia"/>
          <w:highlight w:val="none"/>
        </w:rPr>
        <w:t>通过研究制定引导招商团队引进工业制造业特别是高科技制造业项目，重大产业项目，国际著名大项目，带动产业链集聚的头部企业项目，具有隐形冠军潜质项目的机制和政策，在奖励等相关政策方面进行倾斜，如引进上述优质项目的合同签约金额</w:t>
      </w:r>
      <w:r>
        <w:rPr>
          <w:rFonts w:hint="eastAsia"/>
          <w:highlight w:val="none"/>
          <w:lang w:val="en-US" w:eastAsia="zh-CN"/>
        </w:rPr>
        <w:t>不设</w:t>
      </w:r>
      <w:r>
        <w:rPr>
          <w:rFonts w:hint="eastAsia"/>
          <w:highlight w:val="none"/>
        </w:rPr>
        <w:t>具体规定或者可以一个</w:t>
      </w:r>
      <w:r>
        <w:rPr>
          <w:rFonts w:hint="eastAsia"/>
          <w:highlight w:val="none"/>
          <w:lang w:val="en-US" w:eastAsia="zh-CN"/>
        </w:rPr>
        <w:t>算作</w:t>
      </w:r>
      <w:r>
        <w:rPr>
          <w:rFonts w:hint="eastAsia"/>
          <w:highlight w:val="none"/>
        </w:rPr>
        <w:t>两个等类似政策规定。</w:t>
      </w:r>
    </w:p>
    <w:p>
      <w:pPr>
        <w:ind w:firstLine="640"/>
        <w:rPr>
          <w:highlight w:val="none"/>
        </w:rPr>
      </w:pPr>
      <w:r>
        <w:rPr>
          <w:rStyle w:val="13"/>
          <w:rFonts w:hint="eastAsia"/>
          <w:highlight w:val="none"/>
        </w:rPr>
        <w:t>（七）形成一套系统可推广的方案，扩大政策的辐射作用。</w:t>
      </w:r>
      <w:r>
        <w:rPr>
          <w:rFonts w:hint="eastAsia"/>
          <w:highlight w:val="none"/>
        </w:rPr>
        <w:t>根据近三年招引的经验，摸索招引的工作规律，对市直部门和定向招商团队分类管理，结合产业需求进行分类招商，按照我省新旧动能转换“十强产业+重点领域”的招商方式，形成一套系统可推广的体制机制和招引方案，扩大青岛招引的辐射作用。同时，加快对2020年的招商经费的分配和拨付。</w:t>
      </w:r>
    </w:p>
    <w:p>
      <w:pPr>
        <w:ind w:firstLine="640"/>
        <w:rPr>
          <w:highlight w:val="none"/>
        </w:rPr>
      </w:pPr>
      <w:r>
        <w:rPr>
          <w:rStyle w:val="13"/>
          <w:rFonts w:hint="eastAsia"/>
          <w:highlight w:val="none"/>
        </w:rPr>
        <w:t>（八）认真做好绩效评价的自评工作，建立完善档案管理和基础数据库。</w:t>
      </w:r>
      <w:r>
        <w:rPr>
          <w:rFonts w:hint="eastAsia"/>
          <w:highlight w:val="none"/>
        </w:rPr>
        <w:t>市商务局相关档案管理工作有待提高，对于项目的连续性，应做好人员接续的档案衔接和交接工作，完善招引的相关档案和基础数据。特别是对绩效评价的自评工作，市商务局和各资金使用单位应该认真对待，做好自评报告的撰写和该项目绩效评价材料的提供和整理。</w:t>
      </w:r>
    </w:p>
    <w:bookmarkEnd w:id="206"/>
    <w:p/>
    <w:sectPr>
      <w:pgSz w:w="11906" w:h="16838"/>
      <w:pgMar w:top="1587" w:right="1440" w:bottom="158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文星简黑体">
    <w:altName w:val="方正黑体_GBK"/>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0" w:leftChars="0" w:firstLine="0" w:firstLineChars="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7"/>
                      <w:ind w:left="0" w:leftChars="0" w:firstLine="0" w:firstLineChars="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560" w:lineRule="exact"/>
      <w:ind w:firstLine="360" w:firstLineChars="20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spacing w:line="560" w:lineRule="exact"/>
                            <w:ind w:firstLine="0" w:firstLineChars="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77</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GmCS9MAAAAFAQAADwAAAAAAAAABACAAAAA4AAAAZHJzL2Rv&#10;d25yZXYueG1sUEsBAhQAFAAAAAgAh07iQA9Ivt+3AQAAVwMAAA4AAAAAAAAAAQAgAAAAOAEAAGRy&#10;cy9lMm9Eb2MueG1sUEsFBgAAAAAGAAYAWQEAAGEFAAAAAA==&#10;">
              <v:fill on="f" focussize="0,0"/>
              <v:stroke on="f" weight="1.25pt"/>
              <v:imagedata o:title=""/>
              <o:lock v:ext="edit" aspectratio="f"/>
              <v:textbox inset="0mm,0mm,0mm,0mm" style="mso-fit-shape-to-text:t;">
                <w:txbxContent>
                  <w:p>
                    <w:pPr>
                      <w:widowControl w:val="0"/>
                      <w:snapToGrid w:val="0"/>
                      <w:spacing w:line="560" w:lineRule="exact"/>
                      <w:ind w:firstLine="0" w:firstLineChars="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77</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A49A"/>
    <w:multiLevelType w:val="singleLevel"/>
    <w:tmpl w:val="6B28A4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20605"/>
    <w:rsid w:val="012E2D64"/>
    <w:rsid w:val="12FB5F5A"/>
    <w:rsid w:val="1C043E1B"/>
    <w:rsid w:val="1CD87DB9"/>
    <w:rsid w:val="1DA42CC4"/>
    <w:rsid w:val="242E5E36"/>
    <w:rsid w:val="267E19D5"/>
    <w:rsid w:val="2AA45F90"/>
    <w:rsid w:val="2B561209"/>
    <w:rsid w:val="2BC92798"/>
    <w:rsid w:val="338E1CF9"/>
    <w:rsid w:val="3A21525B"/>
    <w:rsid w:val="3A652943"/>
    <w:rsid w:val="3C380032"/>
    <w:rsid w:val="49822392"/>
    <w:rsid w:val="4B297B60"/>
    <w:rsid w:val="4C8159FD"/>
    <w:rsid w:val="4E3F17D7"/>
    <w:rsid w:val="50A427C8"/>
    <w:rsid w:val="55D20605"/>
    <w:rsid w:val="58840100"/>
    <w:rsid w:val="5ABD4B43"/>
    <w:rsid w:val="5C7B4331"/>
    <w:rsid w:val="5DC84964"/>
    <w:rsid w:val="61325AEC"/>
    <w:rsid w:val="62C96C5B"/>
    <w:rsid w:val="63B33BC5"/>
    <w:rsid w:val="64A85074"/>
    <w:rsid w:val="72B335D6"/>
    <w:rsid w:val="757A694E"/>
    <w:rsid w:val="76EE5C3F"/>
    <w:rsid w:val="79547AD7"/>
    <w:rsid w:val="7DC573B2"/>
    <w:rsid w:val="F277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24"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qFormat/>
    <w:uiPriority w:val="99"/>
    <w:pPr>
      <w:keepNext/>
      <w:keepLines/>
      <w:spacing w:line="560" w:lineRule="exact"/>
      <w:ind w:firstLine="624" w:firstLineChars="200"/>
      <w:outlineLvl w:val="0"/>
    </w:pPr>
    <w:rPr>
      <w:rFonts w:ascii="黑体" w:hAnsi="黑体" w:eastAsia="黑体"/>
      <w:bCs/>
      <w:kern w:val="44"/>
      <w:sz w:val="32"/>
      <w:szCs w:val="44"/>
    </w:rPr>
  </w:style>
  <w:style w:type="paragraph" w:styleId="4">
    <w:name w:val="heading 2"/>
    <w:basedOn w:val="1"/>
    <w:next w:val="1"/>
    <w:link w:val="15"/>
    <w:unhideWhenUsed/>
    <w:qFormat/>
    <w:uiPriority w:val="9"/>
    <w:pPr>
      <w:keepNext/>
      <w:keepLines/>
      <w:spacing w:line="560" w:lineRule="exact"/>
      <w:ind w:firstLine="643" w:firstLineChars="200"/>
      <w:outlineLvl w:val="1"/>
    </w:pPr>
    <w:rPr>
      <w:rFonts w:ascii="楷体" w:hAnsi="楷体" w:eastAsia="楷体"/>
      <w:sz w:val="32"/>
    </w:rPr>
  </w:style>
  <w:style w:type="paragraph" w:styleId="5">
    <w:name w:val="heading 3"/>
    <w:basedOn w:val="1"/>
    <w:next w:val="1"/>
    <w:unhideWhenUsed/>
    <w:qFormat/>
    <w:uiPriority w:val="0"/>
    <w:pPr>
      <w:keepNext/>
      <w:keepLines/>
      <w:spacing w:line="560" w:lineRule="exact"/>
      <w:ind w:firstLine="420" w:firstLineChars="200"/>
      <w:outlineLvl w:val="2"/>
    </w:pPr>
    <w:rPr>
      <w:rFonts w:ascii="楷体" w:hAnsi="楷体" w:eastAsia="楷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eastAsia="黑体"/>
      <w:sz w:val="28"/>
    </w:rPr>
  </w:style>
  <w:style w:type="paragraph" w:styleId="6">
    <w:name w:val="caption"/>
    <w:next w:val="1"/>
    <w:qFormat/>
    <w:uiPriority w:val="0"/>
    <w:pPr>
      <w:keepNext/>
      <w:widowControl w:val="0"/>
      <w:spacing w:line="560" w:lineRule="exact"/>
      <w:ind w:firstLine="420" w:firstLineChars="200"/>
      <w:jc w:val="both"/>
    </w:pPr>
    <w:rPr>
      <w:rFonts w:ascii="Arial" w:hAnsi="Arial" w:eastAsia="黑体" w:cs="Times New Roman"/>
      <w:kern w:val="2"/>
      <w:sz w:val="20"/>
      <w:szCs w:val="24"/>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39"/>
    <w:pPr>
      <w:ind w:left="420" w:leftChars="200"/>
    </w:pPr>
    <w:rPr>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4"/>
    <w:qFormat/>
    <w:uiPriority w:val="9"/>
    <w:rPr>
      <w:rFonts w:ascii="楷体" w:hAnsi="楷体" w:eastAsia="楷体"/>
    </w:rPr>
  </w:style>
  <w:style w:type="paragraph" w:customStyle="1" w:styleId="14">
    <w:name w:val="闻政页码"/>
    <w:qFormat/>
    <w:uiPriority w:val="6"/>
    <w:pPr>
      <w:jc w:val="center"/>
    </w:pPr>
    <w:rPr>
      <w:rFonts w:ascii="Times New Roman" w:hAnsi="Times New Roman" w:eastAsia="Times New Roman" w:cs="Times New Roman"/>
      <w:sz w:val="21"/>
      <w:szCs w:val="28"/>
      <w:lang w:val="en-US" w:eastAsia="zh-CN" w:bidi="ar-SA"/>
    </w:rPr>
  </w:style>
  <w:style w:type="character" w:customStyle="1" w:styleId="15">
    <w:name w:val="标题 2 Char1"/>
    <w:link w:val="4"/>
    <w:qFormat/>
    <w:uiPriority w:val="9"/>
    <w:rPr>
      <w:rFonts w:ascii="楷体" w:hAnsi="楷体"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16509</Words>
  <Characters>18054</Characters>
  <Lines>0</Lines>
  <Paragraphs>0</Paragraphs>
  <TotalTime>224</TotalTime>
  <ScaleCrop>false</ScaleCrop>
  <LinksUpToDate>false</LinksUpToDate>
  <CharactersWithSpaces>18110</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2020-10-18T22:50:00Z</dcterms:created>
  <dc:creator>周红根</dc:creator>
  <cp:lastModifiedBy>suma</cp:lastModifiedBy>
  <dcterms:modified xsi:type="dcterms:W3CDTF">2024-10-30T17:12:56Z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