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05F27">
      <w:pPr>
        <w:adjustRightInd w:val="0"/>
        <w:snapToGrid w:val="0"/>
        <w:jc w:val="center"/>
        <w:rPr>
          <w:rFonts w:ascii="Times New Roman" w:hAnsi="Times New Roman" w:eastAsia="黑体"/>
          <w:sz w:val="48"/>
          <w:szCs w:val="48"/>
        </w:rPr>
      </w:pPr>
    </w:p>
    <w:p w14:paraId="3CD31840">
      <w:pPr>
        <w:adjustRightInd w:val="0"/>
        <w:snapToGrid w:val="0"/>
        <w:jc w:val="center"/>
        <w:rPr>
          <w:rFonts w:ascii="Times New Roman" w:hAnsi="Times New Roman" w:eastAsia="黑体"/>
          <w:sz w:val="48"/>
          <w:szCs w:val="48"/>
        </w:rPr>
      </w:pPr>
    </w:p>
    <w:p w14:paraId="6C43355F">
      <w:pPr>
        <w:adjustRightInd w:val="0"/>
        <w:snapToGrid w:val="0"/>
        <w:jc w:val="center"/>
        <w:rPr>
          <w:rFonts w:hint="eastAsia" w:ascii="楷体_GB2312" w:hAnsi="楷体_GB2312" w:eastAsia="楷体_GB2312" w:cs="楷体_GB2312"/>
          <w:sz w:val="44"/>
          <w:szCs w:val="44"/>
          <w:lang w:eastAsia="zh-CN"/>
        </w:rPr>
      </w:pPr>
    </w:p>
    <w:p w14:paraId="624EB525">
      <w:pPr>
        <w:adjustRightInd w:val="0"/>
        <w:snapToGrid w:val="0"/>
        <w:jc w:val="center"/>
        <w:rPr>
          <w:rFonts w:hint="eastAsia" w:ascii="楷体_GB2312" w:hAnsi="楷体_GB2312" w:eastAsia="楷体_GB2312" w:cs="楷体_GB2312"/>
          <w:sz w:val="44"/>
          <w:szCs w:val="44"/>
          <w:lang w:eastAsia="zh-CN"/>
        </w:rPr>
      </w:pPr>
      <w:r>
        <w:rPr>
          <w:rFonts w:hint="eastAsia" w:ascii="楷体_GB2312" w:hAnsi="楷体_GB2312" w:eastAsia="楷体_GB2312" w:cs="楷体_GB2312"/>
          <w:sz w:val="44"/>
          <w:szCs w:val="44"/>
          <w:lang w:eastAsia="zh-CN"/>
        </w:rPr>
        <w:t>2023—2025年科技创业孵化股权投资资金</w:t>
      </w:r>
    </w:p>
    <w:p w14:paraId="7A208A59">
      <w:pPr>
        <w:adjustRightInd w:val="0"/>
        <w:snapToGrid w:val="0"/>
        <w:jc w:val="center"/>
        <w:rPr>
          <w:rFonts w:hint="eastAsia" w:ascii="楷体_GB2312" w:hAnsi="楷体_GB2312" w:eastAsia="楷体_GB2312" w:cs="楷体_GB2312"/>
          <w:sz w:val="32"/>
          <w:szCs w:val="32"/>
        </w:rPr>
      </w:pPr>
    </w:p>
    <w:p w14:paraId="56F82BD5">
      <w:pPr>
        <w:adjustRightInd w:val="0"/>
        <w:snapToGrid w:val="0"/>
        <w:jc w:val="center"/>
        <w:rPr>
          <w:rFonts w:hint="eastAsia" w:ascii="楷体_GB2312" w:hAnsi="楷体_GB2312" w:eastAsia="楷体_GB2312" w:cs="楷体_GB2312"/>
          <w:sz w:val="32"/>
          <w:szCs w:val="32"/>
        </w:rPr>
      </w:pPr>
    </w:p>
    <w:p w14:paraId="30F6615D">
      <w:pPr>
        <w:jc w:val="center"/>
      </w:pPr>
    </w:p>
    <w:p w14:paraId="7406E2D8">
      <w:pPr>
        <w:jc w:val="center"/>
      </w:pPr>
    </w:p>
    <w:p w14:paraId="014EE38B">
      <w:pPr>
        <w:adjustRightInd w:val="0"/>
        <w:snapToGrid w:val="0"/>
        <w:jc w:val="center"/>
      </w:pPr>
    </w:p>
    <w:p w14:paraId="41680D3F">
      <w:pPr>
        <w:adjustRightInd w:val="0"/>
        <w:snapToGrid w:val="0"/>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绩效评价报告</w:t>
      </w:r>
    </w:p>
    <w:p w14:paraId="37F39AEF">
      <w:pPr>
        <w:jc w:val="center"/>
      </w:pPr>
    </w:p>
    <w:p w14:paraId="5CEBFB15">
      <w:pPr>
        <w:jc w:val="center"/>
      </w:pPr>
    </w:p>
    <w:p w14:paraId="622B707B">
      <w:pPr>
        <w:jc w:val="center"/>
      </w:pPr>
    </w:p>
    <w:p w14:paraId="7A93F2DF">
      <w:pPr>
        <w:jc w:val="center"/>
      </w:pPr>
    </w:p>
    <w:p w14:paraId="025BB14F">
      <w:pPr>
        <w:jc w:val="center"/>
      </w:pPr>
    </w:p>
    <w:p w14:paraId="5F09CC62">
      <w:pPr>
        <w:jc w:val="center"/>
      </w:pPr>
    </w:p>
    <w:p w14:paraId="0D605E18">
      <w:pPr>
        <w:jc w:val="center"/>
      </w:pPr>
    </w:p>
    <w:p w14:paraId="12A06CA4">
      <w:pPr>
        <w:jc w:val="center"/>
      </w:pPr>
    </w:p>
    <w:p w14:paraId="15B03350">
      <w:pPr>
        <w:jc w:val="center"/>
      </w:pPr>
    </w:p>
    <w:p w14:paraId="0C3E1E17">
      <w:pPr>
        <w:jc w:val="center"/>
      </w:pPr>
    </w:p>
    <w:p w14:paraId="1BB7BE1A">
      <w:pPr>
        <w:jc w:val="center"/>
      </w:pPr>
    </w:p>
    <w:p w14:paraId="65BBF8C0">
      <w:pPr>
        <w:jc w:val="center"/>
      </w:pPr>
    </w:p>
    <w:p w14:paraId="0C613C03">
      <w:pPr>
        <w:jc w:val="center"/>
      </w:pPr>
    </w:p>
    <w:p w14:paraId="347C3F34">
      <w:pPr>
        <w:jc w:val="center"/>
      </w:pPr>
    </w:p>
    <w:p w14:paraId="429D981B">
      <w:pPr>
        <w:jc w:val="center"/>
      </w:pPr>
    </w:p>
    <w:p w14:paraId="2D657C9E">
      <w:pPr>
        <w:jc w:val="center"/>
      </w:pPr>
    </w:p>
    <w:p w14:paraId="07F9E0A0">
      <w:pPr>
        <w:jc w:val="center"/>
      </w:pPr>
    </w:p>
    <w:p w14:paraId="6F190397">
      <w:pPr>
        <w:jc w:val="center"/>
      </w:pPr>
    </w:p>
    <w:p w14:paraId="46CA5803">
      <w:pPr>
        <w:jc w:val="center"/>
      </w:pPr>
    </w:p>
    <w:p w14:paraId="53DB4942">
      <w:pPr>
        <w:jc w:val="center"/>
      </w:pPr>
    </w:p>
    <w:p w14:paraId="00F8284E">
      <w:pPr>
        <w:jc w:val="center"/>
      </w:pPr>
    </w:p>
    <w:p w14:paraId="68A0E459">
      <w:pPr>
        <w:spacing w:line="560" w:lineRule="exact"/>
      </w:pPr>
      <w:bookmarkStart w:id="0" w:name="_Toc1810248770"/>
      <w:r>
        <w:rPr>
          <w:rFonts w:hint="eastAsia" w:ascii="楷体_GB2312" w:eastAsia="楷体_GB2312" w:cs="楷体_GB2312" w:hAnsiTheme="majorEastAsia"/>
          <w:sz w:val="36"/>
          <w:szCs w:val="36"/>
        </w:rPr>
        <w:t>第三方机构名称：山东华科仁杰信息咨询有限公司</w:t>
      </w:r>
      <w:bookmarkEnd w:id="0"/>
    </w:p>
    <w:p w14:paraId="753C2470">
      <w:pPr>
        <w:spacing w:line="560" w:lineRule="exact"/>
        <w:rPr>
          <w:rFonts w:hint="eastAsia" w:ascii="楷体_GB2312" w:eastAsia="楷体_GB2312" w:cs="楷体_GB2312" w:hAnsiTheme="majorEastAsia"/>
          <w:sz w:val="36"/>
          <w:szCs w:val="36"/>
        </w:rPr>
      </w:pPr>
    </w:p>
    <w:p w14:paraId="6C742D82">
      <w:pPr>
        <w:spacing w:line="560" w:lineRule="exact"/>
        <w:rPr>
          <w:rFonts w:hint="eastAsia" w:ascii="楷体_GB2312" w:eastAsia="楷体_GB2312" w:cs="楷体_GB2312" w:hAnsiTheme="majorEastAsia"/>
          <w:sz w:val="36"/>
          <w:szCs w:val="36"/>
          <w:lang w:val="en-US" w:eastAsia="zh-CN"/>
        </w:rPr>
      </w:pPr>
      <w:r>
        <w:rPr>
          <w:rFonts w:hint="eastAsia" w:ascii="楷体_GB2312" w:eastAsia="楷体_GB2312" w:cs="楷体_GB2312" w:hAnsiTheme="majorEastAsia"/>
          <w:sz w:val="36"/>
          <w:szCs w:val="36"/>
        </w:rPr>
        <w:t>项目主评人：</w:t>
      </w:r>
    </w:p>
    <w:p w14:paraId="7BC6496B">
      <w:pPr>
        <w:adjustRightInd w:val="0"/>
        <w:snapToGrid w:val="0"/>
        <w:jc w:val="center"/>
        <w:rPr>
          <w:rFonts w:hint="eastAsia" w:cs="楷体_GB2312" w:asciiTheme="majorEastAsia" w:hAnsiTheme="majorEastAsia" w:eastAsiaTheme="majorEastAsia"/>
          <w:sz w:val="36"/>
          <w:szCs w:val="36"/>
        </w:rPr>
      </w:pPr>
    </w:p>
    <w:p w14:paraId="2C5DB549">
      <w:pPr>
        <w:adjustRightInd w:val="0"/>
        <w:snapToGrid w:val="0"/>
        <w:jc w:val="center"/>
        <w:rPr>
          <w:rFonts w:hint="eastAsia" w:cs="楷体_GB2312" w:asciiTheme="majorEastAsia" w:hAnsiTheme="majorEastAsia" w:eastAsiaTheme="majorEastAsia"/>
          <w:sz w:val="36"/>
          <w:szCs w:val="36"/>
        </w:rPr>
      </w:pPr>
    </w:p>
    <w:p w14:paraId="50F7FC96">
      <w:pPr>
        <w:jc w:val="center"/>
        <w:rPr>
          <w:rFonts w:hint="eastAsia" w:ascii="楷体_GB2312" w:hAnsi="楷体_GB2312" w:eastAsia="楷体_GB2312" w:cs="楷体_GB2312"/>
          <w:kern w:val="0"/>
          <w:sz w:val="36"/>
          <w:szCs w:val="36"/>
        </w:rPr>
      </w:pPr>
      <w:r>
        <w:rPr>
          <w:rFonts w:hint="eastAsia" w:ascii="楷体_GB2312" w:hAnsi="楷体_GB2312" w:eastAsia="楷体_GB2312" w:cs="楷体_GB2312"/>
          <w:kern w:val="0"/>
          <w:sz w:val="36"/>
          <w:szCs w:val="36"/>
        </w:rPr>
        <w:t>202</w:t>
      </w:r>
      <w:r>
        <w:rPr>
          <w:rFonts w:hint="eastAsia" w:ascii="楷体_GB2312" w:hAnsi="楷体_GB2312" w:eastAsia="楷体_GB2312" w:cs="楷体_GB2312"/>
          <w:kern w:val="0"/>
          <w:sz w:val="36"/>
          <w:szCs w:val="36"/>
          <w:lang w:val="en-US" w:eastAsia="zh-CN"/>
        </w:rPr>
        <w:t>6</w:t>
      </w:r>
      <w:r>
        <w:rPr>
          <w:rFonts w:hint="eastAsia" w:ascii="楷体_GB2312" w:hAnsi="楷体_GB2312" w:eastAsia="楷体_GB2312" w:cs="楷体_GB2312"/>
          <w:kern w:val="0"/>
          <w:sz w:val="36"/>
          <w:szCs w:val="36"/>
        </w:rPr>
        <w:t>年7月</w:t>
      </w:r>
    </w:p>
    <w:p w14:paraId="4BD4F3C8">
      <w:pPr>
        <w:spacing w:line="600" w:lineRule="exact"/>
        <w:rPr>
          <w:rFonts w:ascii="Times New Roman" w:hAnsi="Times New Roman" w:eastAsia="黑体"/>
          <w:sz w:val="30"/>
          <w:szCs w:val="30"/>
        </w:rPr>
      </w:pPr>
    </w:p>
    <w:p w14:paraId="3D485D1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eastAsia="zh-CN"/>
        </w:rPr>
        <w:t>2023—2025年科技创业孵化股权投资资金</w:t>
      </w:r>
      <w:r>
        <w:rPr>
          <w:rFonts w:hint="eastAsia" w:ascii="方正小标宋简体" w:hAnsi="方正小标宋简体" w:eastAsia="方正小标宋简体" w:cs="方正小标宋简体"/>
          <w:sz w:val="32"/>
          <w:szCs w:val="32"/>
        </w:rPr>
        <w:t>政策绩效评价</w:t>
      </w:r>
    </w:p>
    <w:p w14:paraId="7C7C5D6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总览表</w:t>
      </w:r>
    </w:p>
    <w:tbl>
      <w:tblPr>
        <w:tblStyle w:val="18"/>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1985"/>
        <w:gridCol w:w="1916"/>
        <w:gridCol w:w="378"/>
        <w:gridCol w:w="2141"/>
      </w:tblGrid>
      <w:tr w14:paraId="152A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2B476E3C">
            <w:pPr>
              <w:widowControl/>
              <w:snapToGrid w:val="0"/>
              <w:spacing w:line="400" w:lineRule="exact"/>
              <w:jc w:val="center"/>
              <w:rPr>
                <w:rFonts w:hint="eastAsia" w:ascii="黑体" w:hAnsi="黑体" w:eastAsia="黑体"/>
                <w:b/>
                <w:bCs/>
                <w:sz w:val="24"/>
              </w:rPr>
            </w:pPr>
            <w:r>
              <w:rPr>
                <w:rFonts w:hint="eastAsia" w:ascii="黑体" w:hAnsi="黑体" w:eastAsia="黑体"/>
                <w:b w:val="0"/>
                <w:bCs w:val="0"/>
                <w:sz w:val="24"/>
              </w:rPr>
              <w:t>一、</w:t>
            </w:r>
            <w:r>
              <w:rPr>
                <w:rFonts w:hint="eastAsia" w:ascii="黑体" w:hAnsi="黑体" w:eastAsia="黑体"/>
                <w:b w:val="0"/>
                <w:bCs w:val="0"/>
                <w:sz w:val="24"/>
                <w:lang w:val="en-US" w:eastAsia="zh-CN"/>
              </w:rPr>
              <w:t>政策</w:t>
            </w:r>
            <w:r>
              <w:rPr>
                <w:rFonts w:hint="eastAsia" w:ascii="黑体" w:hAnsi="黑体" w:eastAsia="黑体"/>
                <w:b w:val="0"/>
                <w:bCs w:val="0"/>
                <w:sz w:val="24"/>
              </w:rPr>
              <w:t>预算资金安排和使用情况</w:t>
            </w:r>
          </w:p>
        </w:tc>
      </w:tr>
      <w:tr w14:paraId="2F04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0F1C5128">
            <w:pPr>
              <w:widowControl/>
              <w:adjustRightInd w:val="0"/>
              <w:snapToGrid w:val="0"/>
              <w:spacing w:line="400" w:lineRule="exact"/>
              <w:rPr>
                <w:rFonts w:hint="eastAsia" w:ascii="仿宋" w:hAnsi="仿宋" w:eastAsia="仿宋"/>
                <w:bCs/>
                <w:sz w:val="24"/>
                <w:lang w:eastAsia="zh-CN"/>
              </w:rPr>
            </w:pPr>
            <w:r>
              <w:rPr>
                <w:rFonts w:hint="eastAsia" w:ascii="仿宋" w:hAnsi="仿宋" w:eastAsia="仿宋"/>
                <w:b/>
                <w:sz w:val="24"/>
              </w:rPr>
              <w:t>项目名称：</w:t>
            </w:r>
            <w:r>
              <w:rPr>
                <w:rFonts w:hint="eastAsia" w:ascii="仿宋_GB2312" w:hAnsi="仿宋_GB2312" w:eastAsia="仿宋_GB2312" w:cs="仿宋_GB2312"/>
                <w:bCs/>
                <w:sz w:val="24"/>
                <w:lang w:eastAsia="zh-CN"/>
              </w:rPr>
              <w:t>2023—2025年科技创业孵化股权投资资金</w:t>
            </w:r>
          </w:p>
        </w:tc>
      </w:tr>
      <w:tr w14:paraId="623C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23" w:type="dxa"/>
            <w:gridSpan w:val="2"/>
            <w:shd w:val="clear" w:color="auto" w:fill="auto"/>
            <w:vAlign w:val="center"/>
          </w:tcPr>
          <w:p w14:paraId="371286A7">
            <w:pPr>
              <w:widowControl/>
              <w:snapToGrid w:val="0"/>
              <w:spacing w:line="400" w:lineRule="exact"/>
              <w:rPr>
                <w:rFonts w:hint="eastAsia" w:ascii="仿宋" w:hAnsi="仿宋" w:eastAsia="仿宋"/>
                <w:bCs/>
                <w:sz w:val="24"/>
                <w:lang w:eastAsia="zh-CN"/>
              </w:rPr>
            </w:pPr>
            <w:r>
              <w:rPr>
                <w:rFonts w:hint="eastAsia" w:ascii="仿宋" w:hAnsi="仿宋" w:eastAsia="仿宋"/>
                <w:b/>
                <w:sz w:val="24"/>
              </w:rPr>
              <w:t>主管部门：</w:t>
            </w:r>
            <w:r>
              <w:rPr>
                <w:rFonts w:hint="eastAsia" w:ascii="Times New Roman Regular" w:hAnsi="Times New Roman Regular" w:eastAsia="仿宋_GB2312" w:cs="Times New Roman Regular"/>
                <w:bCs/>
                <w:sz w:val="24"/>
                <w:lang w:eastAsia="zh-CN"/>
              </w:rPr>
              <w:t>青岛市科学技术局</w:t>
            </w:r>
          </w:p>
        </w:tc>
        <w:tc>
          <w:tcPr>
            <w:tcW w:w="4435" w:type="dxa"/>
            <w:gridSpan w:val="3"/>
            <w:shd w:val="clear" w:color="auto" w:fill="auto"/>
            <w:vAlign w:val="center"/>
          </w:tcPr>
          <w:p w14:paraId="62E88019">
            <w:pPr>
              <w:widowControl/>
              <w:snapToGrid w:val="0"/>
              <w:spacing w:line="400" w:lineRule="exact"/>
              <w:rPr>
                <w:rFonts w:hint="default" w:ascii="仿宋" w:hAnsi="仿宋" w:eastAsia="仿宋"/>
                <w:bCs/>
                <w:sz w:val="24"/>
                <w:lang w:val="en-US" w:eastAsia="zh-CN"/>
              </w:rPr>
            </w:pPr>
            <w:r>
              <w:rPr>
                <w:rFonts w:hint="eastAsia" w:ascii="仿宋" w:hAnsi="仿宋" w:eastAsia="仿宋"/>
                <w:b/>
                <w:sz w:val="24"/>
              </w:rPr>
              <w:t>实施单位：</w:t>
            </w:r>
            <w:r>
              <w:rPr>
                <w:rFonts w:hint="eastAsia" w:ascii="Times New Roman Regular" w:hAnsi="Times New Roman Regular" w:eastAsia="仿宋_GB2312" w:cs="Times New Roman Regular"/>
                <w:bCs/>
                <w:sz w:val="24"/>
                <w:lang w:eastAsia="zh-CN"/>
              </w:rPr>
              <w:t>青岛财通集团有限公司</w:t>
            </w:r>
          </w:p>
        </w:tc>
      </w:tr>
      <w:tr w14:paraId="135F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23" w:type="dxa"/>
            <w:gridSpan w:val="2"/>
            <w:shd w:val="clear" w:color="auto" w:fill="auto"/>
            <w:vAlign w:val="center"/>
          </w:tcPr>
          <w:p w14:paraId="7B23D374">
            <w:pPr>
              <w:widowControl/>
              <w:snapToGrid w:val="0"/>
              <w:spacing w:line="400" w:lineRule="exact"/>
              <w:jc w:val="center"/>
              <w:rPr>
                <w:rFonts w:hint="eastAsia" w:ascii="仿宋_GB2312" w:hAnsi="仿宋_GB2312" w:eastAsia="仿宋_GB2312" w:cs="仿宋_GB2312"/>
                <w:b/>
                <w:sz w:val="24"/>
              </w:rPr>
            </w:pPr>
            <w:r>
              <w:rPr>
                <w:rFonts w:hint="eastAsia" w:ascii="仿宋_GB2312" w:hAnsi="仿宋_GB2312" w:eastAsia="仿宋_GB2312" w:cs="仿宋_GB2312"/>
                <w:b/>
                <w:sz w:val="24"/>
              </w:rPr>
              <w:t>预算安排（万元）</w:t>
            </w:r>
          </w:p>
        </w:tc>
        <w:tc>
          <w:tcPr>
            <w:tcW w:w="4435" w:type="dxa"/>
            <w:gridSpan w:val="3"/>
            <w:shd w:val="clear" w:color="auto" w:fill="auto"/>
            <w:vAlign w:val="center"/>
          </w:tcPr>
          <w:p w14:paraId="106C7A7A">
            <w:pPr>
              <w:widowControl/>
              <w:snapToGrid w:val="0"/>
              <w:spacing w:line="400" w:lineRule="exact"/>
              <w:jc w:val="center"/>
              <w:rPr>
                <w:rFonts w:hint="eastAsia" w:ascii="仿宋_GB2312" w:hAnsi="仿宋_GB2312" w:eastAsia="仿宋_GB2312" w:cs="仿宋_GB2312"/>
                <w:bCs/>
                <w:sz w:val="24"/>
              </w:rPr>
            </w:pPr>
            <w:r>
              <w:rPr>
                <w:rFonts w:hint="eastAsia" w:ascii="仿宋_GB2312" w:hAnsi="仿宋_GB2312" w:eastAsia="仿宋_GB2312" w:cs="仿宋_GB2312"/>
                <w:bCs/>
                <w:sz w:val="24"/>
              </w:rPr>
              <w:t>8400万元</w:t>
            </w:r>
          </w:p>
        </w:tc>
      </w:tr>
      <w:tr w14:paraId="4688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23" w:type="dxa"/>
            <w:gridSpan w:val="2"/>
            <w:shd w:val="clear" w:color="auto" w:fill="auto"/>
            <w:vAlign w:val="center"/>
          </w:tcPr>
          <w:p w14:paraId="0C2F1F63">
            <w:pPr>
              <w:widowControl/>
              <w:snapToGrid w:val="0"/>
              <w:spacing w:line="400" w:lineRule="exact"/>
              <w:jc w:val="center"/>
              <w:rPr>
                <w:rFonts w:hint="eastAsia" w:ascii="仿宋_GB2312" w:hAnsi="仿宋_GB2312" w:eastAsia="仿宋_GB2312" w:cs="仿宋_GB2312"/>
                <w:b/>
                <w:sz w:val="24"/>
              </w:rPr>
            </w:pPr>
            <w:r>
              <w:rPr>
                <w:rFonts w:hint="eastAsia" w:ascii="仿宋_GB2312" w:hAnsi="仿宋_GB2312" w:eastAsia="仿宋_GB2312" w:cs="仿宋_GB2312"/>
                <w:b/>
                <w:sz w:val="24"/>
              </w:rPr>
              <w:t>其中：</w:t>
            </w:r>
          </w:p>
        </w:tc>
        <w:tc>
          <w:tcPr>
            <w:tcW w:w="1916" w:type="dxa"/>
            <w:shd w:val="clear" w:color="auto" w:fill="auto"/>
            <w:vAlign w:val="center"/>
          </w:tcPr>
          <w:p w14:paraId="1DE938EF">
            <w:pPr>
              <w:widowControl/>
              <w:snapToGrid w:val="0"/>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财政拨款</w:t>
            </w:r>
          </w:p>
        </w:tc>
        <w:tc>
          <w:tcPr>
            <w:tcW w:w="2519" w:type="dxa"/>
            <w:gridSpan w:val="2"/>
            <w:shd w:val="clear" w:color="auto" w:fill="auto"/>
            <w:vAlign w:val="center"/>
          </w:tcPr>
          <w:p w14:paraId="0A7CB5B7">
            <w:pPr>
              <w:widowControl/>
              <w:snapToGrid w:val="0"/>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8400万元</w:t>
            </w:r>
          </w:p>
        </w:tc>
      </w:tr>
      <w:tr w14:paraId="2F39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23" w:type="dxa"/>
            <w:gridSpan w:val="2"/>
            <w:shd w:val="clear" w:color="auto" w:fill="auto"/>
            <w:vAlign w:val="center"/>
          </w:tcPr>
          <w:p w14:paraId="6D991A9C">
            <w:pPr>
              <w:widowControl/>
              <w:snapToGrid w:val="0"/>
              <w:spacing w:line="400" w:lineRule="exact"/>
              <w:jc w:val="center"/>
              <w:rPr>
                <w:rFonts w:hint="eastAsia" w:ascii="仿宋_GB2312" w:hAnsi="仿宋_GB2312" w:eastAsia="仿宋_GB2312" w:cs="仿宋_GB2312"/>
                <w:b/>
                <w:sz w:val="24"/>
              </w:rPr>
            </w:pPr>
            <w:r>
              <w:rPr>
                <w:rFonts w:hint="eastAsia" w:ascii="仿宋_GB2312" w:hAnsi="仿宋_GB2312" w:eastAsia="仿宋_GB2312" w:cs="仿宋_GB2312"/>
                <w:b/>
                <w:sz w:val="24"/>
              </w:rPr>
              <w:t>实际</w:t>
            </w:r>
            <w:r>
              <w:rPr>
                <w:rFonts w:hint="eastAsia" w:ascii="仿宋_GB2312" w:hAnsi="仿宋_GB2312" w:eastAsia="仿宋_GB2312" w:cs="仿宋_GB2312"/>
                <w:b/>
                <w:sz w:val="24"/>
                <w:lang w:val="en-US" w:eastAsia="zh-CN"/>
              </w:rPr>
              <w:t>拨付</w:t>
            </w:r>
            <w:r>
              <w:rPr>
                <w:rFonts w:hint="eastAsia" w:ascii="仿宋_GB2312" w:hAnsi="仿宋_GB2312" w:eastAsia="仿宋_GB2312" w:cs="仿宋_GB2312"/>
                <w:b/>
                <w:sz w:val="24"/>
              </w:rPr>
              <w:t>（万元）</w:t>
            </w:r>
          </w:p>
        </w:tc>
        <w:tc>
          <w:tcPr>
            <w:tcW w:w="4435" w:type="dxa"/>
            <w:gridSpan w:val="3"/>
            <w:shd w:val="clear" w:color="auto" w:fill="auto"/>
            <w:vAlign w:val="center"/>
          </w:tcPr>
          <w:p w14:paraId="5AA0C2E9">
            <w:pPr>
              <w:widowControl/>
              <w:snapToGrid w:val="0"/>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8400万元</w:t>
            </w:r>
          </w:p>
        </w:tc>
      </w:tr>
      <w:tr w14:paraId="2A121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5A7A3117">
            <w:pPr>
              <w:widowControl/>
              <w:snapToGrid w:val="0"/>
              <w:spacing w:line="400" w:lineRule="exact"/>
              <w:jc w:val="center"/>
              <w:rPr>
                <w:rFonts w:hint="eastAsia" w:ascii="仿宋" w:hAnsi="仿宋" w:eastAsia="仿宋"/>
                <w:bCs/>
                <w:sz w:val="24"/>
              </w:rPr>
            </w:pPr>
            <w:r>
              <w:rPr>
                <w:rFonts w:hint="eastAsia" w:ascii="黑体" w:hAnsi="黑体" w:eastAsia="黑体"/>
                <w:b w:val="0"/>
                <w:bCs w:val="0"/>
                <w:sz w:val="24"/>
              </w:rPr>
              <w:t>二、</w:t>
            </w:r>
            <w:r>
              <w:rPr>
                <w:rFonts w:hint="eastAsia" w:ascii="黑体" w:hAnsi="黑体" w:eastAsia="黑体"/>
                <w:b w:val="0"/>
                <w:bCs w:val="0"/>
                <w:sz w:val="24"/>
                <w:lang w:val="en-US" w:eastAsia="zh-CN"/>
              </w:rPr>
              <w:t>政策</w:t>
            </w:r>
            <w:r>
              <w:rPr>
                <w:rFonts w:hint="eastAsia" w:ascii="黑体" w:hAnsi="黑体" w:eastAsia="黑体"/>
                <w:b w:val="0"/>
                <w:bCs w:val="0"/>
                <w:sz w:val="24"/>
              </w:rPr>
              <w:t>绩效目标</w:t>
            </w:r>
          </w:p>
        </w:tc>
      </w:tr>
      <w:tr w14:paraId="1725E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2C02979F">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（一）绩效目标</w:t>
            </w:r>
          </w:p>
          <w:p w14:paraId="173EF906">
            <w:pPr>
              <w:widowControl/>
              <w:snapToGrid w:val="0"/>
              <w:spacing w:line="400" w:lineRule="exact"/>
              <w:ind w:firstLine="480" w:firstLineChars="200"/>
              <w:rPr>
                <w:rFonts w:hint="eastAsia" w:ascii="仿宋_GB2312" w:hAnsi="仿宋_GB2312" w:eastAsia="仿宋_GB2312" w:cs="仿宋_GB2312"/>
                <w:sz w:val="24"/>
              </w:rPr>
            </w:pPr>
            <w:r>
              <w:rPr>
                <w:rFonts w:hint="eastAsia" w:ascii="Times New Roman Regular" w:hAnsi="Times New Roman Regular" w:eastAsia="仿宋_GB2312" w:cs="Times New Roman Regular"/>
                <w:sz w:val="24"/>
              </w:rPr>
              <w:t>创新财政资金投入方式，深化财政科技资金“拨改投”改革，发挥财政资金引导、放大作用，鼓励投早、投小、投科技。通过设立科技创业孵化股权投资资金，以股权投资赋能科技企业孵化器、科技园区、产业链专业园区建设，强化孵化器培育科技企业功能，破解科技型中小微企业融资难题，支持科技成果项目中试、工程化和产业化，促进科技团队创办科技企业，加速科技成果向现实生产力转化</w:t>
            </w:r>
            <w:r>
              <w:rPr>
                <w:rFonts w:ascii="Times New Roman Regular" w:hAnsi="Times New Roman Regular" w:eastAsia="仿宋_GB2312" w:cs="Times New Roman Regular"/>
                <w:sz w:val="24"/>
              </w:rPr>
              <w:t>。</w:t>
            </w:r>
          </w:p>
          <w:p w14:paraId="68047242">
            <w:pPr>
              <w:widowControl/>
              <w:snapToGrid w:val="0"/>
              <w:spacing w:line="400" w:lineRule="exact"/>
              <w:ind w:firstLine="480" w:firstLineChars="200"/>
              <w:rPr>
                <w:rFonts w:hint="eastAsia" w:ascii="仿宋_GB2312" w:hAnsi="仿宋_GB2312" w:eastAsia="仿宋_GB2312" w:cs="仿宋_GB2312"/>
                <w:sz w:val="24"/>
              </w:rPr>
            </w:pPr>
            <w:bookmarkStart w:id="1" w:name="_Toc1450250341"/>
            <w:bookmarkStart w:id="2" w:name="_Toc1830962383"/>
            <w:r>
              <w:rPr>
                <w:rFonts w:hint="eastAsia" w:ascii="仿宋_GB2312" w:hAnsi="仿宋_GB2312" w:eastAsia="仿宋_GB2312" w:cs="仿宋_GB2312"/>
                <w:sz w:val="24"/>
              </w:rPr>
              <w:t>（二）主要指标</w:t>
            </w:r>
            <w:bookmarkEnd w:id="1"/>
            <w:bookmarkEnd w:id="2"/>
          </w:p>
          <w:p w14:paraId="2B5BBF49">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2023—2025年，通过“股权直投+参股赋能基金”模式，</w:t>
            </w:r>
            <w:r>
              <w:rPr>
                <w:rFonts w:hint="eastAsia" w:ascii="仿宋_GB2312" w:hAnsi="仿宋_GB2312" w:eastAsia="仿宋_GB2312" w:cs="仿宋_GB2312"/>
                <w:sz w:val="24"/>
                <w:highlight w:val="none"/>
              </w:rPr>
              <w:t>投资进度达到80%。</w:t>
            </w:r>
            <w:r>
              <w:rPr>
                <w:rFonts w:hint="eastAsia" w:ascii="仿宋_GB2312" w:hAnsi="仿宋_GB2312" w:eastAsia="仿宋_GB2312" w:cs="仿宋_GB2312"/>
                <w:sz w:val="24"/>
              </w:rPr>
              <w:t>投资项目符合政策要求的投资方向，初创期企业投资占比≥70%，赋能基金返投倍数≥1.1倍。加大被投企业研发投入力度，推进科技成果项目实现中试、工程化和产业化，加快科技成果转化落地。健全长效管控与资金可持续运行机制，保障项目规范化管理与长效平稳运行。</w:t>
            </w:r>
          </w:p>
        </w:tc>
      </w:tr>
      <w:tr w14:paraId="7DB5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26B8DCB1">
            <w:pPr>
              <w:widowControl/>
              <w:snapToGrid w:val="0"/>
              <w:spacing w:line="400" w:lineRule="exact"/>
              <w:jc w:val="center"/>
              <w:rPr>
                <w:rFonts w:hint="eastAsia" w:ascii="黑体" w:hAnsi="黑体" w:eastAsia="黑体"/>
                <w:b/>
                <w:bCs/>
                <w:sz w:val="24"/>
              </w:rPr>
            </w:pPr>
            <w:r>
              <w:rPr>
                <w:rFonts w:hint="eastAsia" w:ascii="黑体" w:hAnsi="黑体" w:eastAsia="黑体"/>
                <w:b w:val="0"/>
                <w:bCs w:val="0"/>
                <w:sz w:val="24"/>
              </w:rPr>
              <w:t>三、实施成效</w:t>
            </w:r>
          </w:p>
        </w:tc>
      </w:tr>
      <w:tr w14:paraId="13A4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6" w:hRule="atLeast"/>
          <w:jc w:val="center"/>
        </w:trPr>
        <w:tc>
          <w:tcPr>
            <w:tcW w:w="8558" w:type="dxa"/>
            <w:gridSpan w:val="5"/>
            <w:shd w:val="clear" w:color="auto" w:fill="auto"/>
            <w:vAlign w:val="center"/>
          </w:tcPr>
          <w:p w14:paraId="1D29B5CC">
            <w:pPr>
              <w:widowControl/>
              <w:snapToGrid w:val="0"/>
              <w:spacing w:line="400" w:lineRule="exact"/>
              <w:ind w:firstLine="480" w:firstLineChars="200"/>
              <w:rPr>
                <w:rFonts w:hint="eastAsia" w:ascii="仿宋" w:hAnsi="仿宋" w:eastAsia="仿宋_GB2312"/>
                <w:sz w:val="24"/>
                <w:lang w:eastAsia="zh-CN"/>
              </w:rPr>
            </w:pPr>
            <w:r>
              <w:rPr>
                <w:rFonts w:hint="eastAsia" w:ascii="仿宋_GB2312" w:hAnsi="仿宋_GB2312" w:eastAsia="仿宋_GB2312" w:cs="仿宋_GB2312"/>
                <w:sz w:val="24"/>
              </w:rPr>
              <w:t>“硕果金”自设立以来，投向初创期企业数量占比</w:t>
            </w:r>
            <w:r>
              <w:rPr>
                <w:rFonts w:hint="eastAsia" w:ascii="仿宋_GB2312" w:hAnsi="仿宋_GB2312" w:eastAsia="仿宋_GB2312" w:cs="仿宋_GB2312"/>
                <w:sz w:val="24"/>
                <w:lang w:val="en-US" w:eastAsia="zh-CN"/>
              </w:rPr>
              <w:t>9</w:t>
            </w:r>
            <w:r>
              <w:rPr>
                <w:rFonts w:hint="eastAsia" w:ascii="仿宋_GB2312" w:hAnsi="仿宋_GB2312" w:eastAsia="仿宋_GB2312" w:cs="仿宋_GB2312"/>
                <w:sz w:val="24"/>
              </w:rPr>
              <w:t>0%，有效落实“投早、投小、投科技”政策导向。同时，标杆孵化器孵化企业占已投企业数量的80%</w:t>
            </w:r>
            <w:r>
              <w:rPr>
                <w:rFonts w:hint="eastAsia" w:ascii="仿宋_GB2312" w:hAnsi="仿宋_GB2312" w:eastAsia="仿宋_GB2312" w:cs="仿宋_GB2312"/>
                <w:sz w:val="24"/>
                <w:lang w:eastAsia="zh-CN"/>
              </w:rPr>
              <w:t>，丰富了孵化器对在孵企业的资本对接手段，增强投后赋能能力；引导孵化器按照市场化标准筛选优质项目，提升入驻企业整体质量；建立后端收益分享机制，拓宽孵化器盈利渠道，有效放大了孵化器服务效能与资源集聚效应</w:t>
            </w:r>
            <w:r>
              <w:rPr>
                <w:rFonts w:hint="eastAsia" w:ascii="仿宋_GB2312" w:hAnsi="仿宋_GB2312" w:eastAsia="仿宋_GB2312" w:cs="仿宋_GB2312"/>
                <w:sz w:val="24"/>
              </w:rPr>
              <w:t>。通过财政资金先期投入、精准赋能，提振市场投资信心，吸引各类社会资本跟进布局、联合投资，放大财政资金杠杆效应，提升财政科创资金使用效能</w:t>
            </w:r>
            <w:r>
              <w:rPr>
                <w:rFonts w:hint="eastAsia" w:ascii="仿宋_GB2312" w:hAnsi="仿宋_GB2312" w:eastAsia="仿宋_GB2312" w:cs="仿宋_GB2312"/>
                <w:sz w:val="24"/>
                <w:lang w:eastAsia="zh-CN"/>
              </w:rPr>
              <w:t>。</w:t>
            </w:r>
          </w:p>
        </w:tc>
      </w:tr>
      <w:tr w14:paraId="4BB7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3CFEB0AE">
            <w:pPr>
              <w:pStyle w:val="23"/>
              <w:widowControl/>
              <w:snapToGrid w:val="0"/>
              <w:spacing w:line="400" w:lineRule="exact"/>
              <w:ind w:firstLineChars="0"/>
              <w:jc w:val="center"/>
              <w:rPr>
                <w:rFonts w:hint="eastAsia" w:ascii="仿宋" w:hAnsi="仿宋"/>
                <w:b/>
                <w:sz w:val="24"/>
                <w:lang w:eastAsia="zh-CN"/>
              </w:rPr>
            </w:pPr>
            <w:r>
              <w:rPr>
                <w:rFonts w:hint="eastAsia" w:ascii="黑体" w:hAnsi="黑体" w:eastAsia="黑体"/>
                <w:b w:val="0"/>
                <w:bCs w:val="0"/>
                <w:sz w:val="24"/>
                <w:lang w:eastAsia="zh-CN"/>
              </w:rPr>
              <w:t>四、主要问题及有关建议</w:t>
            </w:r>
          </w:p>
        </w:tc>
      </w:tr>
      <w:tr w14:paraId="16D2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558" w:type="dxa"/>
            <w:gridSpan w:val="5"/>
            <w:shd w:val="clear" w:color="auto" w:fill="auto"/>
            <w:vAlign w:val="center"/>
          </w:tcPr>
          <w:p w14:paraId="3687D9A5">
            <w:pPr>
              <w:widowControl/>
              <w:numPr>
                <w:ilvl w:val="0"/>
                <w:numId w:val="0"/>
              </w:numPr>
              <w:snapToGrid w:val="0"/>
              <w:spacing w:line="400" w:lineRule="exact"/>
              <w:ind w:firstLine="480" w:firstLineChars="200"/>
              <w:rPr>
                <w:rFonts w:hint="default" w:ascii="Times New Roman Regular" w:hAnsi="Times New Roman Regular" w:eastAsia="仿宋_GB2312" w:cs="Times New Roman Regular"/>
                <w:sz w:val="24"/>
              </w:rPr>
            </w:pPr>
            <w:r>
              <w:rPr>
                <w:rFonts w:hint="default" w:ascii="Times New Roman Regular" w:hAnsi="Times New Roman Regular" w:eastAsia="仿宋_GB2312" w:cs="Times New Roman Regular"/>
                <w:sz w:val="24"/>
                <w:lang w:eastAsia="zh-CN"/>
              </w:rPr>
              <w:t>（</w:t>
            </w:r>
            <w:r>
              <w:rPr>
                <w:rFonts w:hint="default" w:ascii="Times New Roman Regular" w:hAnsi="Times New Roman Regular" w:eastAsia="仿宋_GB2312" w:cs="Times New Roman Regular"/>
                <w:sz w:val="24"/>
                <w:lang w:val="en-US" w:eastAsia="zh-CN"/>
              </w:rPr>
              <w:t>一</w:t>
            </w:r>
            <w:r>
              <w:rPr>
                <w:rFonts w:hint="default" w:ascii="Times New Roman Regular" w:hAnsi="Times New Roman Regular" w:eastAsia="仿宋_GB2312" w:cs="Times New Roman Regular"/>
                <w:sz w:val="24"/>
                <w:lang w:eastAsia="zh-CN"/>
              </w:rPr>
              <w:t>）</w:t>
            </w:r>
            <w:r>
              <w:rPr>
                <w:rFonts w:hint="default" w:ascii="Times New Roman Regular" w:hAnsi="Times New Roman Regular" w:eastAsia="仿宋_GB2312" w:cs="Times New Roman Regular"/>
                <w:sz w:val="24"/>
              </w:rPr>
              <w:t>主要问题</w:t>
            </w:r>
          </w:p>
          <w:p w14:paraId="267B6FDD">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1.“硕果金”管理办法未及时修订完善</w:t>
            </w:r>
          </w:p>
          <w:p w14:paraId="22270832">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因政策原因，标杆孵化器评定工作难以有效开展。根据《青岛市深化科技成果转化创新改革十条措施》（青政办字〔2024〕53 号）已调整政策支持范围，但与之对应的管理办法尚未做出匹配性的修订完善。</w:t>
            </w:r>
          </w:p>
          <w:p w14:paraId="6E8F26EC">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2.专户资金划转不及时，专户管理不到位</w:t>
            </w:r>
          </w:p>
          <w:p w14:paraId="7E332F39">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“硕果金”拨付财通集团后，在集团户进行统一管理。截至2026年6月30日，专户实际余额20.09万元，资金未及时归集至专用托管账户。</w:t>
            </w:r>
          </w:p>
          <w:p w14:paraId="18897A15">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3.年度报告报送不及时，相关制度未有效执行</w:t>
            </w:r>
          </w:p>
          <w:p w14:paraId="2F537DD1">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一是年度报告报送不及时，财通集团未及时提交2025年度运营报告和经审计的财务报告；二是缺少年度综合评价工作，未定期对硕果赋能基金运行情况开展综合评价。</w:t>
            </w:r>
          </w:p>
          <w:p w14:paraId="27EE9236">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4.孵化器赋能评价机制有待完善，可持续服务能力不足</w:t>
            </w:r>
          </w:p>
          <w:p w14:paraId="5830F3D1">
            <w:pPr>
              <w:widowControl/>
              <w:snapToGrid w:val="0"/>
              <w:spacing w:line="40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政策规定“若标杆孵化器提供相关服务，在项目退出时得到项目方满意和认可，即可享受该项目的投资净收益”，但未明确孵化器服务履职标准、企业满意度判定规则，缺乏收益分配的判定依据。</w:t>
            </w:r>
          </w:p>
          <w:p w14:paraId="7A171521">
            <w:pPr>
              <w:widowControl/>
              <w:snapToGrid w:val="0"/>
              <w:spacing w:line="400" w:lineRule="exact"/>
              <w:ind w:firstLine="480" w:firstLineChars="200"/>
              <w:rPr>
                <w:rFonts w:hint="default" w:ascii="Times New Roman Regular" w:hAnsi="Times New Roman Regular" w:eastAsia="仿宋_GB2312" w:cs="Times New Roman Regular"/>
                <w:sz w:val="24"/>
                <w:lang w:val="en-US" w:eastAsia="zh-CN"/>
              </w:rPr>
            </w:pPr>
            <w:r>
              <w:rPr>
                <w:rFonts w:hint="eastAsia" w:ascii="Times New Roman Regular" w:hAnsi="Times New Roman Regular" w:eastAsia="仿宋_GB2312" w:cs="Times New Roman Regular"/>
                <w:sz w:val="24"/>
                <w:lang w:val="en-US" w:eastAsia="zh-CN"/>
              </w:rPr>
              <w:t>（二）</w:t>
            </w:r>
            <w:r>
              <w:rPr>
                <w:rFonts w:hint="default" w:ascii="Times New Roman Regular" w:hAnsi="Times New Roman Regular" w:eastAsia="仿宋_GB2312" w:cs="Times New Roman Regular"/>
                <w:sz w:val="24"/>
                <w:lang w:val="en-US" w:eastAsia="zh-CN"/>
              </w:rPr>
              <w:t>相关建议</w:t>
            </w:r>
          </w:p>
          <w:p w14:paraId="73D12E9B">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1.修订“硕果金”投资运行管理办法</w:t>
            </w:r>
          </w:p>
          <w:p w14:paraId="69B3DC43">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加快调整修订青岛市科技创业孵化财政资金股权投资运行管理办法，理顺政策调整前后衔接机制，完善相关管理规定，保障政策落地。</w:t>
            </w:r>
          </w:p>
          <w:p w14:paraId="64B0A5D6">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2.完善资金专户管理要求，明确专户管理方式</w:t>
            </w:r>
          </w:p>
          <w:p w14:paraId="440FF538">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深入落实《青岛市科技创业孵化财政资金股权投资运行管理办法（试行）》（青科创委办字〔2022〕1号）关于“财通集团对‘硕果金’实行专户管理，按照约定用途进行投资”的规定，进一步完善“硕果金”专户管理要求。</w:t>
            </w:r>
          </w:p>
          <w:p w14:paraId="0F9ABBCF">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3.及时提交年度报告，健全跟踪问效机制</w:t>
            </w:r>
          </w:p>
          <w:p w14:paraId="7EF24AF7">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一是抓好政策实施，督促受托管理机构按时提报年度运营报告和审计报告。二是按要求开展年度综合评价，每年定期对硕果赋能基金运行情况开展综合评价。</w:t>
            </w:r>
          </w:p>
          <w:p w14:paraId="08E61F87">
            <w:pPr>
              <w:widowControl/>
              <w:snapToGrid w:val="0"/>
              <w:spacing w:line="400" w:lineRule="exact"/>
              <w:ind w:firstLine="480" w:firstLineChars="2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4.健全孵化器赋能评价机制，提升可持续服务水平</w:t>
            </w:r>
          </w:p>
          <w:p w14:paraId="1D5C3971">
            <w:pPr>
              <w:widowControl/>
              <w:snapToGrid w:val="0"/>
              <w:spacing w:line="40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推动孵化器提升投后和跟踪服务水平，细化孵化器服务履职标准、企业满意度判定流程与认定依据。结合企业需求，为企业提供人力资源、市场拓展、投融资等增值服务，赋能企业快速健康成长，推动企业实现科技成果转化，不断提高孵化器服务水平。</w:t>
            </w:r>
          </w:p>
        </w:tc>
      </w:tr>
      <w:tr w14:paraId="3860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5F2D7A74">
            <w:pPr>
              <w:widowControl/>
              <w:snapToGrid w:val="0"/>
              <w:spacing w:line="400" w:lineRule="exact"/>
              <w:jc w:val="center"/>
              <w:rPr>
                <w:rFonts w:hint="eastAsia" w:ascii="仿宋_GB2312" w:hAnsi="仿宋_GB2312" w:eastAsia="仿宋_GB2312" w:cs="仿宋_GB2312"/>
                <w:sz w:val="24"/>
              </w:rPr>
            </w:pPr>
            <w:r>
              <w:rPr>
                <w:rFonts w:hint="eastAsia" w:ascii="黑体" w:hAnsi="黑体" w:eastAsia="黑体" w:cs="Times New Roman"/>
                <w:b w:val="0"/>
                <w:bCs w:val="0"/>
                <w:sz w:val="24"/>
              </w:rPr>
              <w:t>五、评价得分和等级</w:t>
            </w:r>
          </w:p>
        </w:tc>
      </w:tr>
      <w:tr w14:paraId="60C4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8" w:type="dxa"/>
            <w:shd w:val="clear" w:color="auto" w:fill="auto"/>
            <w:vAlign w:val="center"/>
          </w:tcPr>
          <w:p w14:paraId="40F91360">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一级指标</w:t>
            </w:r>
          </w:p>
        </w:tc>
        <w:tc>
          <w:tcPr>
            <w:tcW w:w="1985" w:type="dxa"/>
            <w:shd w:val="clear" w:color="auto" w:fill="auto"/>
            <w:vAlign w:val="center"/>
          </w:tcPr>
          <w:p w14:paraId="1B386BA8">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指标分值</w:t>
            </w:r>
          </w:p>
        </w:tc>
        <w:tc>
          <w:tcPr>
            <w:tcW w:w="2294" w:type="dxa"/>
            <w:gridSpan w:val="2"/>
            <w:shd w:val="clear" w:color="auto" w:fill="auto"/>
            <w:vAlign w:val="center"/>
          </w:tcPr>
          <w:p w14:paraId="39FB62A2">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得分</w:t>
            </w:r>
          </w:p>
        </w:tc>
        <w:tc>
          <w:tcPr>
            <w:tcW w:w="2141" w:type="dxa"/>
            <w:shd w:val="clear" w:color="auto" w:fill="auto"/>
            <w:vAlign w:val="center"/>
          </w:tcPr>
          <w:p w14:paraId="378104AF">
            <w:pPr>
              <w:widowControl/>
              <w:snapToGrid w:val="0"/>
              <w:spacing w:line="4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得分率</w:t>
            </w:r>
            <w:r>
              <w:rPr>
                <w:rFonts w:ascii="Times New Roman Regular" w:hAnsi="Times New Roman Regular" w:eastAsia="仿宋_GB2312" w:cs="Times New Roman Regular"/>
                <w:b/>
                <w:bCs/>
                <w:sz w:val="24"/>
              </w:rPr>
              <w:t>（%</w:t>
            </w:r>
            <w:r>
              <w:rPr>
                <w:rFonts w:hint="eastAsia" w:ascii="仿宋_GB2312" w:hAnsi="仿宋_GB2312" w:eastAsia="仿宋_GB2312" w:cs="仿宋_GB2312"/>
                <w:b/>
                <w:bCs/>
                <w:sz w:val="24"/>
              </w:rPr>
              <w:t>）</w:t>
            </w:r>
          </w:p>
        </w:tc>
      </w:tr>
      <w:tr w14:paraId="63B7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138" w:type="dxa"/>
            <w:shd w:val="clear" w:color="auto" w:fill="auto"/>
            <w:vAlign w:val="center"/>
          </w:tcPr>
          <w:p w14:paraId="5DF94F40">
            <w:pPr>
              <w:widowControl/>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政策制定</w:t>
            </w:r>
          </w:p>
        </w:tc>
        <w:tc>
          <w:tcPr>
            <w:tcW w:w="1985" w:type="dxa"/>
            <w:shd w:val="clear" w:color="auto" w:fill="auto"/>
            <w:vAlign w:val="center"/>
          </w:tcPr>
          <w:p w14:paraId="4E44A220">
            <w:pPr>
              <w:keepNext w:val="0"/>
              <w:keepLines w:val="0"/>
              <w:widowControl/>
              <w:suppressLineNumbers w:val="0"/>
              <w:jc w:val="center"/>
              <w:textAlignment w:val="center"/>
              <w:rPr>
                <w:rFonts w:hint="eastAsia" w:ascii="仿宋_GB2312" w:hAnsi="仿宋_GB2312" w:eastAsia="仿宋_GB2312" w:cs="仿宋_GB2312"/>
                <w:sz w:val="24"/>
                <w:highlight w:val="red"/>
              </w:rPr>
            </w:pPr>
            <w:r>
              <w:rPr>
                <w:rFonts w:hint="eastAsia" w:ascii="仿宋_GB2312" w:hAnsi="宋体" w:eastAsia="仿宋_GB2312" w:cs="仿宋_GB2312"/>
                <w:i w:val="0"/>
                <w:iCs w:val="0"/>
                <w:color w:val="000000"/>
                <w:kern w:val="0"/>
                <w:sz w:val="24"/>
                <w:szCs w:val="24"/>
                <w:u w:val="none"/>
                <w:lang w:val="en-US" w:eastAsia="zh-CN" w:bidi="ar"/>
              </w:rPr>
              <w:t>10</w:t>
            </w:r>
          </w:p>
        </w:tc>
        <w:tc>
          <w:tcPr>
            <w:tcW w:w="2294" w:type="dxa"/>
            <w:gridSpan w:val="2"/>
            <w:shd w:val="clear" w:color="auto" w:fill="auto"/>
            <w:vAlign w:val="center"/>
          </w:tcPr>
          <w:p w14:paraId="33A824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red"/>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w:t>
            </w:r>
          </w:p>
        </w:tc>
        <w:tc>
          <w:tcPr>
            <w:tcW w:w="2141" w:type="dxa"/>
            <w:shd w:val="clear" w:color="auto" w:fill="auto"/>
            <w:vAlign w:val="center"/>
          </w:tcPr>
          <w:p w14:paraId="3A8FF0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red"/>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100%</w:t>
            </w:r>
          </w:p>
        </w:tc>
      </w:tr>
      <w:tr w14:paraId="2271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138" w:type="dxa"/>
            <w:shd w:val="clear" w:color="auto" w:fill="auto"/>
            <w:vAlign w:val="center"/>
          </w:tcPr>
          <w:p w14:paraId="74067BC9">
            <w:pPr>
              <w:widowControl/>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政策实施</w:t>
            </w:r>
          </w:p>
        </w:tc>
        <w:tc>
          <w:tcPr>
            <w:tcW w:w="1985" w:type="dxa"/>
            <w:shd w:val="clear" w:color="auto" w:fill="auto"/>
            <w:vAlign w:val="center"/>
          </w:tcPr>
          <w:p w14:paraId="093B5721">
            <w:pPr>
              <w:keepNext w:val="0"/>
              <w:keepLines w:val="0"/>
              <w:widowControl/>
              <w:suppressLineNumbers w:val="0"/>
              <w:jc w:val="center"/>
              <w:textAlignment w:val="center"/>
              <w:rPr>
                <w:rFonts w:hint="eastAsia" w:ascii="仿宋_GB2312" w:hAnsi="仿宋_GB2312" w:eastAsia="仿宋_GB2312" w:cs="仿宋_GB2312"/>
                <w:sz w:val="24"/>
                <w:highlight w:val="red"/>
              </w:rPr>
            </w:pPr>
            <w:r>
              <w:rPr>
                <w:rFonts w:hint="eastAsia" w:ascii="仿宋_GB2312" w:hAnsi="宋体" w:eastAsia="仿宋_GB2312" w:cs="仿宋_GB2312"/>
                <w:i w:val="0"/>
                <w:iCs w:val="0"/>
                <w:color w:val="000000"/>
                <w:kern w:val="0"/>
                <w:sz w:val="24"/>
                <w:szCs w:val="24"/>
                <w:u w:val="none"/>
                <w:lang w:val="en-US" w:eastAsia="zh-CN" w:bidi="ar"/>
              </w:rPr>
              <w:t>25</w:t>
            </w:r>
          </w:p>
        </w:tc>
        <w:tc>
          <w:tcPr>
            <w:tcW w:w="2294" w:type="dxa"/>
            <w:gridSpan w:val="2"/>
            <w:shd w:val="clear" w:color="auto" w:fill="auto"/>
            <w:vAlign w:val="center"/>
          </w:tcPr>
          <w:p w14:paraId="12FF9B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red"/>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21</w:t>
            </w:r>
          </w:p>
        </w:tc>
        <w:tc>
          <w:tcPr>
            <w:tcW w:w="2141" w:type="dxa"/>
            <w:shd w:val="clear" w:color="auto" w:fill="auto"/>
            <w:vAlign w:val="center"/>
          </w:tcPr>
          <w:p w14:paraId="7E6A6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red"/>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84%</w:t>
            </w:r>
          </w:p>
        </w:tc>
      </w:tr>
      <w:tr w14:paraId="37DE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8" w:type="dxa"/>
            <w:shd w:val="clear" w:color="auto" w:fill="auto"/>
            <w:vAlign w:val="center"/>
          </w:tcPr>
          <w:p w14:paraId="5FE07FF8">
            <w:pPr>
              <w:widowControl/>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政策效果</w:t>
            </w:r>
          </w:p>
        </w:tc>
        <w:tc>
          <w:tcPr>
            <w:tcW w:w="1985" w:type="dxa"/>
            <w:shd w:val="clear" w:color="auto" w:fill="auto"/>
            <w:vAlign w:val="center"/>
          </w:tcPr>
          <w:p w14:paraId="6487F27C">
            <w:pPr>
              <w:keepNext w:val="0"/>
              <w:keepLines w:val="0"/>
              <w:widowControl/>
              <w:suppressLineNumbers w:val="0"/>
              <w:jc w:val="center"/>
              <w:textAlignment w:val="center"/>
              <w:rPr>
                <w:rFonts w:hint="eastAsia" w:ascii="仿宋_GB2312" w:hAnsi="仿宋_GB2312" w:eastAsia="仿宋_GB2312" w:cs="仿宋_GB2312"/>
                <w:sz w:val="24"/>
                <w:highlight w:val="red"/>
              </w:rPr>
            </w:pPr>
            <w:r>
              <w:rPr>
                <w:rFonts w:hint="eastAsia" w:ascii="仿宋_GB2312" w:hAnsi="宋体" w:eastAsia="仿宋_GB2312" w:cs="仿宋_GB2312"/>
                <w:i w:val="0"/>
                <w:iCs w:val="0"/>
                <w:color w:val="000000"/>
                <w:kern w:val="0"/>
                <w:sz w:val="24"/>
                <w:szCs w:val="24"/>
                <w:u w:val="none"/>
                <w:lang w:val="en-US" w:eastAsia="zh-CN" w:bidi="ar"/>
              </w:rPr>
              <w:t>65</w:t>
            </w:r>
          </w:p>
        </w:tc>
        <w:tc>
          <w:tcPr>
            <w:tcW w:w="2294" w:type="dxa"/>
            <w:gridSpan w:val="2"/>
            <w:shd w:val="clear" w:color="auto" w:fill="auto"/>
            <w:vAlign w:val="center"/>
          </w:tcPr>
          <w:p w14:paraId="372BAC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red"/>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53.8</w:t>
            </w:r>
          </w:p>
        </w:tc>
        <w:tc>
          <w:tcPr>
            <w:tcW w:w="2141" w:type="dxa"/>
            <w:shd w:val="clear" w:color="auto" w:fill="auto"/>
            <w:vAlign w:val="center"/>
          </w:tcPr>
          <w:p w14:paraId="5599F1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red"/>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82.77%</w:t>
            </w:r>
          </w:p>
        </w:tc>
      </w:tr>
      <w:tr w14:paraId="1AEF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38" w:type="dxa"/>
            <w:shd w:val="clear" w:color="auto" w:fill="auto"/>
            <w:vAlign w:val="center"/>
          </w:tcPr>
          <w:p w14:paraId="41FF5F67">
            <w:pPr>
              <w:widowControl/>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合计</w:t>
            </w:r>
          </w:p>
        </w:tc>
        <w:tc>
          <w:tcPr>
            <w:tcW w:w="1985" w:type="dxa"/>
            <w:shd w:val="clear" w:color="auto" w:fill="auto"/>
            <w:vAlign w:val="center"/>
          </w:tcPr>
          <w:p w14:paraId="094B5DCD">
            <w:pPr>
              <w:keepNext w:val="0"/>
              <w:keepLines w:val="0"/>
              <w:widowControl/>
              <w:suppressLineNumbers w:val="0"/>
              <w:jc w:val="center"/>
              <w:textAlignment w:val="center"/>
              <w:rPr>
                <w:rFonts w:hint="eastAsia" w:ascii="仿宋_GB2312" w:hAnsi="仿宋_GB2312" w:eastAsia="仿宋_GB2312" w:cs="仿宋_GB2312"/>
                <w:sz w:val="24"/>
                <w:highlight w:val="none"/>
              </w:rPr>
            </w:pPr>
            <w:r>
              <w:rPr>
                <w:rFonts w:hint="eastAsia" w:ascii="仿宋_GB2312" w:hAnsi="仿宋_GB2312" w:eastAsia="仿宋_GB2312" w:cs="仿宋_GB2312"/>
                <w:b/>
                <w:bCs/>
                <w:i w:val="0"/>
                <w:iCs w:val="0"/>
                <w:color w:val="000000"/>
                <w:kern w:val="0"/>
                <w:sz w:val="24"/>
                <w:szCs w:val="24"/>
                <w:u w:val="none"/>
                <w:lang w:val="en-US" w:eastAsia="zh-CN" w:bidi="ar"/>
              </w:rPr>
              <w:t>100</w:t>
            </w:r>
          </w:p>
        </w:tc>
        <w:tc>
          <w:tcPr>
            <w:tcW w:w="2294" w:type="dxa"/>
            <w:gridSpan w:val="2"/>
            <w:shd w:val="clear" w:color="auto" w:fill="auto"/>
            <w:vAlign w:val="center"/>
          </w:tcPr>
          <w:p w14:paraId="3C5BF64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等线" w:eastAsia="仿宋_GB2312" w:cs="仿宋_GB2312"/>
                <w:b/>
                <w:bCs/>
                <w:i w:val="0"/>
                <w:iCs w:val="0"/>
                <w:color w:val="000000"/>
                <w:kern w:val="0"/>
                <w:sz w:val="24"/>
                <w:szCs w:val="24"/>
                <w:u w:val="none"/>
                <w:lang w:val="en-US" w:eastAsia="zh-CN" w:bidi="ar"/>
              </w:rPr>
              <w:t>84.8</w:t>
            </w:r>
          </w:p>
        </w:tc>
        <w:tc>
          <w:tcPr>
            <w:tcW w:w="2141" w:type="dxa"/>
            <w:shd w:val="clear" w:color="auto" w:fill="auto"/>
            <w:vAlign w:val="center"/>
          </w:tcPr>
          <w:p w14:paraId="4396369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等线" w:eastAsia="仿宋_GB2312" w:cs="仿宋_GB2312"/>
                <w:b/>
                <w:bCs/>
                <w:i w:val="0"/>
                <w:iCs w:val="0"/>
                <w:color w:val="000000"/>
                <w:kern w:val="0"/>
                <w:sz w:val="24"/>
                <w:szCs w:val="24"/>
                <w:u w:val="none"/>
                <w:lang w:val="en-US" w:eastAsia="zh-CN" w:bidi="ar"/>
              </w:rPr>
              <w:t>84.8%</w:t>
            </w:r>
          </w:p>
        </w:tc>
      </w:tr>
      <w:tr w14:paraId="4E25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58" w:type="dxa"/>
            <w:gridSpan w:val="5"/>
            <w:shd w:val="clear" w:color="auto" w:fill="auto"/>
            <w:vAlign w:val="center"/>
          </w:tcPr>
          <w:p w14:paraId="57A6E9CD">
            <w:pPr>
              <w:widowControl/>
              <w:snapToGrid w:val="0"/>
              <w:spacing w:line="400" w:lineRule="exact"/>
              <w:jc w:val="center"/>
              <w:rPr>
                <w:rFonts w:hint="eastAsia" w:ascii="仿宋_GB2312" w:hAnsi="仿宋_GB2312" w:eastAsia="仿宋_GB2312" w:cs="仿宋_GB2312"/>
                <w:b/>
                <w:bCs/>
                <w:sz w:val="24"/>
                <w:lang w:val="en-US" w:eastAsia="zh-CN"/>
              </w:rPr>
            </w:pPr>
            <w:r>
              <w:rPr>
                <w:rFonts w:ascii="Times New Roman Regular" w:hAnsi="Times New Roman Regular" w:eastAsia="仿宋_GB2312" w:cs="Times New Roman Regular"/>
                <w:b/>
                <w:bCs/>
                <w:sz w:val="24"/>
                <w:highlight w:val="none"/>
              </w:rPr>
              <w:t>绩效评价得分：</w:t>
            </w:r>
            <w:r>
              <w:rPr>
                <w:rFonts w:hint="eastAsia" w:ascii="仿宋_GB2312" w:hAnsi="仿宋_GB2312" w:eastAsia="仿宋_GB2312" w:cs="仿宋_GB2312"/>
                <w:b/>
                <w:bCs/>
                <w:i w:val="0"/>
                <w:iCs w:val="0"/>
                <w:color w:val="000000"/>
                <w:kern w:val="0"/>
                <w:sz w:val="24"/>
                <w:szCs w:val="24"/>
                <w:highlight w:val="none"/>
                <w:u w:val="none"/>
                <w:lang w:val="en-US" w:eastAsia="zh-CN" w:bidi="ar"/>
              </w:rPr>
              <w:t>84.8</w:t>
            </w:r>
            <w:r>
              <w:rPr>
                <w:rFonts w:ascii="Times New Roman Regular" w:hAnsi="Times New Roman Regular" w:eastAsia="仿宋_GB2312" w:cs="Times New Roman Regular"/>
                <w:b/>
                <w:bCs/>
                <w:sz w:val="24"/>
                <w:highlight w:val="none"/>
              </w:rPr>
              <w:t>分</w:t>
            </w:r>
            <w:r>
              <w:rPr>
                <w:rFonts w:hint="eastAsia" w:ascii="Times New Roman Regular" w:hAnsi="Times New Roman Regular" w:eastAsia="仿宋_GB2312" w:cs="Times New Roman Regular"/>
                <w:b/>
                <w:bCs/>
                <w:sz w:val="24"/>
                <w:highlight w:val="none"/>
                <w:lang w:val="en-US" w:eastAsia="zh-CN"/>
              </w:rPr>
              <w:t xml:space="preserve">  </w:t>
            </w:r>
            <w:r>
              <w:rPr>
                <w:rFonts w:ascii="Times New Roman Regular" w:hAnsi="Times New Roman Regular" w:eastAsia="仿宋_GB2312" w:cs="Times New Roman Regular"/>
                <w:b/>
                <w:bCs/>
                <w:sz w:val="24"/>
                <w:highlight w:val="none"/>
              </w:rPr>
              <w:t>评价结果等级：</w:t>
            </w:r>
            <w:r>
              <w:rPr>
                <w:rFonts w:hint="eastAsia" w:ascii="Times New Roman Regular" w:hAnsi="Times New Roman Regular" w:eastAsia="仿宋_GB2312" w:cs="Times New Roman Regular"/>
                <w:b/>
                <w:bCs/>
                <w:sz w:val="24"/>
                <w:highlight w:val="none"/>
                <w:lang w:val="en-US" w:eastAsia="zh-CN"/>
              </w:rPr>
              <w:t>良</w:t>
            </w:r>
          </w:p>
        </w:tc>
      </w:tr>
    </w:tbl>
    <w:p w14:paraId="61EE7BA5">
      <w:pPr>
        <w:spacing w:line="600" w:lineRule="exact"/>
        <w:jc w:val="center"/>
        <w:rPr>
          <w:rFonts w:hint="eastAsia" w:ascii="方正小标宋简体" w:hAnsi="方正小标宋简体" w:eastAsia="方正小标宋简体" w:cs="方正小标宋简体"/>
          <w:sz w:val="44"/>
          <w:szCs w:val="44"/>
        </w:rPr>
        <w:sectPr>
          <w:type w:val="continuous"/>
          <w:pgSz w:w="11906" w:h="16838"/>
          <w:pgMar w:top="1440" w:right="1800" w:bottom="1440" w:left="1800" w:header="851" w:footer="1361" w:gutter="0"/>
          <w:pgNumType w:fmt="numberInDash"/>
          <w:cols w:space="0" w:num="1"/>
          <w:docGrid w:linePitch="312" w:charSpace="0"/>
        </w:sectPr>
      </w:pPr>
    </w:p>
    <w:p w14:paraId="66C421A2">
      <w:pPr>
        <w:pStyle w:val="14"/>
        <w:tabs>
          <w:tab w:val="right" w:leader="dot" w:pos="8845"/>
        </w:tabs>
        <w:rPr>
          <w:b/>
        </w:rPr>
        <w:sectPr>
          <w:footerReference r:id="rId3" w:type="default"/>
          <w:type w:val="continuous"/>
          <w:pgSz w:w="11906" w:h="16838"/>
          <w:pgMar w:top="1440" w:right="1800" w:bottom="1440" w:left="1800" w:header="851" w:footer="1361" w:gutter="0"/>
          <w:pgNumType w:fmt="numberInDash" w:start="1"/>
          <w:cols w:space="0" w:num="1"/>
          <w:docGrid w:linePitch="312" w:charSpace="0"/>
        </w:sectPr>
      </w:pPr>
    </w:p>
    <w:p w14:paraId="106D38EA">
      <w:pPr>
        <w:adjustRightInd w:val="0"/>
        <w:snapToGrid w:val="0"/>
        <w:jc w:val="both"/>
        <w:rPr>
          <w:rFonts w:hint="eastAsia" w:ascii="Times New Roman Regular" w:hAnsi="Times New Roman Regular" w:eastAsia="方正小标宋简体" w:cs="Times New Roman Regular"/>
          <w:sz w:val="44"/>
          <w:szCs w:val="44"/>
          <w:lang w:eastAsia="zh-CN"/>
        </w:rPr>
        <w:sectPr>
          <w:footerReference r:id="rId4" w:type="default"/>
          <w:type w:val="continuous"/>
          <w:pgSz w:w="11906" w:h="16838"/>
          <w:pgMar w:top="1440" w:right="1800" w:bottom="1440" w:left="1800" w:header="851" w:footer="1361" w:gutter="0"/>
          <w:pgNumType w:start="1"/>
          <w:cols w:space="0" w:num="1"/>
          <w:docGrid w:linePitch="312" w:charSpace="0"/>
        </w:sectPr>
      </w:pPr>
      <w:bookmarkStart w:id="3" w:name="_Toc418087737"/>
    </w:p>
    <w:sdt>
      <w:sdtPr>
        <w:rPr>
          <w:rFonts w:ascii="宋体" w:hAnsi="宋体" w:eastAsia="宋体" w:cstheme="minorBidi"/>
          <w:kern w:val="2"/>
          <w:sz w:val="21"/>
          <w:szCs w:val="24"/>
          <w:lang w:val="en-US" w:eastAsia="zh-CN" w:bidi="ar-SA"/>
        </w:rPr>
        <w:id w:val="147461437"/>
        <w15:color w:val="DBDBDB"/>
        <w:docPartObj>
          <w:docPartGallery w:val="Table of Contents"/>
          <w:docPartUnique/>
        </w:docPartObj>
      </w:sdtPr>
      <w:sdtEndPr>
        <w:rPr>
          <w:rFonts w:hint="eastAsia" w:ascii="仿宋_GB2312" w:hAnsi="仿宋_GB2312" w:eastAsia="仿宋_GB2312" w:cs="仿宋_GB2312"/>
          <w:kern w:val="2"/>
          <w:sz w:val="32"/>
          <w:szCs w:val="32"/>
          <w:lang w:val="en-US" w:eastAsia="zh-CN" w:bidi="ar-SA"/>
        </w:rPr>
      </w:sdtEndPr>
      <w:sdtContent>
        <w:p w14:paraId="3735EFB9">
          <w:pPr>
            <w:spacing w:before="0" w:beforeLines="0" w:after="0" w:afterLines="0" w:line="240" w:lineRule="auto"/>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rPr>
            <w:t>目录</w:t>
          </w:r>
          <w:bookmarkStart w:id="80" w:name="_GoBack"/>
          <w:bookmarkEnd w:id="80"/>
        </w:p>
        <w:p w14:paraId="71178EA2">
          <w:pPr>
            <w:pStyle w:val="12"/>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TOC \o "1-2" \h \u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_Toc19282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政策</w:t>
          </w:r>
          <w:r>
            <w:rPr>
              <w:rFonts w:hint="eastAsia" w:ascii="仿宋_GB2312" w:hAnsi="仿宋_GB2312" w:eastAsia="仿宋_GB2312" w:cs="仿宋_GB2312"/>
              <w:b/>
              <w:bCs/>
              <w:sz w:val="32"/>
              <w:szCs w:val="32"/>
            </w:rPr>
            <w:t>基本情况</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_Toc19282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50934794">
          <w:pPr>
            <w:pStyle w:val="14"/>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_Toc30787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（一）政策概况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_Toc30787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29E3143F">
          <w:pPr>
            <w:pStyle w:val="14"/>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_Toc31269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（二）政策绩效目标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_Toc31269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0881A33B">
          <w:pPr>
            <w:pStyle w:val="12"/>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_Toc14923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二、绩效评价工作开展情况</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_Toc14923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6</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54ECF1EF">
          <w:pPr>
            <w:pStyle w:val="14"/>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_Toc18602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（一）评价目的、评价对象和范围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_Toc18602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7C22820C">
          <w:pPr>
            <w:pStyle w:val="14"/>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_Toc4233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（二）评价思路、评价重点、评价指标体系和评价标准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_Toc4233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440B6B0B">
          <w:pPr>
            <w:pStyle w:val="14"/>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_Toc423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（三）评价组织实施与评价方法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78861399">
          <w:pPr>
            <w:pStyle w:val="12"/>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_Toc12046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三、评价结论及分析</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_Toc12046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9</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2142DA41">
          <w:pPr>
            <w:pStyle w:val="14"/>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_Toc21443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（一）综合评价结论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_Toc21443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0CF5DB44">
          <w:pPr>
            <w:pStyle w:val="14"/>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HYPERLINK \l _Toc4439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rPr>
            <w:t>（二）指标分析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_Toc4439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eastAsia="zh-CN"/>
            </w:rPr>
            <w:fldChar w:fldCharType="end"/>
          </w:r>
        </w:p>
        <w:p w14:paraId="40BD44F2">
          <w:pPr>
            <w:pStyle w:val="12"/>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_Toc32306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四、政策实施成效</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_Toc32306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12</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3A17B4CD">
          <w:pPr>
            <w:pStyle w:val="12"/>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_Toc29531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五、发现的问题及原因分析</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_Toc29531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12</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5B6F89CA">
          <w:pPr>
            <w:pStyle w:val="12"/>
            <w:keepNext w:val="0"/>
            <w:keepLines w:val="0"/>
            <w:pageBreakBefore w:val="0"/>
            <w:widowControl w:val="0"/>
            <w:tabs>
              <w:tab w:val="right" w:leader="dot" w:pos="8306"/>
            </w:tabs>
            <w:kinsoku/>
            <w:wordWrap/>
            <w:overflowPunct/>
            <w:topLinePunct w:val="0"/>
            <w:autoSpaceDE/>
            <w:autoSpaceDN/>
            <w:bidi w:val="0"/>
            <w:spacing w:line="56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fldChar w:fldCharType="begin"/>
          </w:r>
          <w:r>
            <w:rPr>
              <w:rFonts w:hint="eastAsia" w:ascii="仿宋_GB2312" w:hAnsi="仿宋_GB2312" w:eastAsia="仿宋_GB2312" w:cs="仿宋_GB2312"/>
              <w:b/>
              <w:bCs/>
              <w:sz w:val="32"/>
              <w:szCs w:val="32"/>
              <w:lang w:eastAsia="zh-CN"/>
            </w:rPr>
            <w:instrText xml:space="preserve"> HYPERLINK \l _Toc29664 </w:instrText>
          </w:r>
          <w:r>
            <w:rPr>
              <w:rFonts w:hint="eastAsia" w:ascii="仿宋_GB2312" w:hAnsi="仿宋_GB2312" w:eastAsia="仿宋_GB2312" w:cs="仿宋_GB2312"/>
              <w:b/>
              <w:bCs/>
              <w:sz w:val="32"/>
              <w:szCs w:val="32"/>
              <w:lang w:eastAsia="zh-CN"/>
            </w:rPr>
            <w:fldChar w:fldCharType="separate"/>
          </w:r>
          <w:r>
            <w:rPr>
              <w:rFonts w:hint="eastAsia" w:ascii="仿宋_GB2312" w:hAnsi="仿宋_GB2312" w:eastAsia="仿宋_GB2312" w:cs="仿宋_GB2312"/>
              <w:b/>
              <w:bCs/>
              <w:sz w:val="32"/>
              <w:szCs w:val="32"/>
            </w:rPr>
            <w:t>六、相关建议</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 PAGEREF _Toc29664 \h </w:instrText>
          </w:r>
          <w:r>
            <w:rPr>
              <w:rFonts w:hint="eastAsia" w:ascii="仿宋_GB2312" w:hAnsi="仿宋_GB2312" w:eastAsia="仿宋_GB2312" w:cs="仿宋_GB2312"/>
              <w:b/>
              <w:bCs/>
              <w:sz w:val="32"/>
              <w:szCs w:val="32"/>
            </w:rPr>
            <w:fldChar w:fldCharType="separate"/>
          </w:r>
          <w:r>
            <w:rPr>
              <w:rFonts w:hint="eastAsia" w:ascii="仿宋_GB2312" w:hAnsi="仿宋_GB2312" w:eastAsia="仿宋_GB2312" w:cs="仿宋_GB2312"/>
              <w:b/>
              <w:bCs/>
              <w:sz w:val="32"/>
              <w:szCs w:val="32"/>
            </w:rPr>
            <w:t>14</w:t>
          </w:r>
          <w:r>
            <w:rPr>
              <w:rFonts w:hint="eastAsia" w:ascii="仿宋_GB2312" w:hAnsi="仿宋_GB2312" w:eastAsia="仿宋_GB2312" w:cs="仿宋_GB2312"/>
              <w:b/>
              <w:bCs/>
              <w:sz w:val="32"/>
              <w:szCs w:val="32"/>
            </w:rPr>
            <w:fldChar w:fldCharType="end"/>
          </w:r>
          <w:r>
            <w:rPr>
              <w:rFonts w:hint="eastAsia" w:ascii="仿宋_GB2312" w:hAnsi="仿宋_GB2312" w:eastAsia="仿宋_GB2312" w:cs="仿宋_GB2312"/>
              <w:b/>
              <w:bCs/>
              <w:sz w:val="32"/>
              <w:szCs w:val="32"/>
              <w:lang w:eastAsia="zh-CN"/>
            </w:rPr>
            <w:fldChar w:fldCharType="end"/>
          </w:r>
        </w:p>
        <w:p w14:paraId="24432B35">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eastAsia="zh-CN"/>
            </w:rPr>
            <w:fldChar w:fldCharType="end"/>
          </w:r>
        </w:p>
      </w:sdtContent>
    </w:sdt>
    <w:p w14:paraId="244C86BF">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仿宋_GB2312" w:hAnsi="仿宋_GB2312" w:eastAsia="仿宋_GB2312" w:cs="仿宋_GB2312"/>
          <w:kern w:val="2"/>
          <w:sz w:val="32"/>
          <w:szCs w:val="32"/>
          <w:lang w:val="en-US" w:eastAsia="zh-CN" w:bidi="ar-SA"/>
        </w:rPr>
        <w:sectPr>
          <w:pgSz w:w="11906" w:h="16838"/>
          <w:pgMar w:top="1440" w:right="1800" w:bottom="1440" w:left="1800" w:header="851" w:footer="1361" w:gutter="0"/>
          <w:pgNumType w:start="1"/>
          <w:cols w:space="0" w:num="1"/>
          <w:docGrid w:linePitch="312" w:charSpace="0"/>
        </w:sectPr>
      </w:pPr>
    </w:p>
    <w:p w14:paraId="0B131CAA">
      <w:pPr>
        <w:adjustRightInd w:val="0"/>
        <w:snapToGrid w:val="0"/>
        <w:jc w:val="center"/>
        <w:rPr>
          <w:rFonts w:hint="eastAsia" w:ascii="方正小标宋简体" w:hAnsi="方正小标宋简体" w:eastAsia="方正小标宋简体" w:cs="方正小标宋简体"/>
          <w:sz w:val="44"/>
          <w:szCs w:val="44"/>
          <w:lang w:eastAsia="zh-CN"/>
        </w:rPr>
        <w:sectPr>
          <w:footerReference r:id="rId5" w:type="default"/>
          <w:type w:val="continuous"/>
          <w:pgSz w:w="11906" w:h="16838"/>
          <w:pgMar w:top="1440" w:right="1800" w:bottom="1440" w:left="1800" w:header="851" w:footer="1361" w:gutter="0"/>
          <w:pgNumType w:fmt="decimal"/>
          <w:cols w:space="0" w:num="1"/>
          <w:docGrid w:linePitch="312" w:charSpace="0"/>
        </w:sectPr>
      </w:pPr>
    </w:p>
    <w:p w14:paraId="2687A05F">
      <w:pPr>
        <w:spacing w:line="600" w:lineRule="exact"/>
        <w:jc w:val="center"/>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eastAsia="zh-CN"/>
        </w:rPr>
        <w:t>2023—2025年科技创业孵化股权投资资金</w:t>
      </w:r>
      <w:r>
        <w:rPr>
          <w:rFonts w:hint="eastAsia" w:ascii="方正小标宋_GBK" w:hAnsi="方正小标宋_GBK" w:eastAsia="方正小标宋_GBK" w:cs="方正小标宋_GBK"/>
          <w:sz w:val="44"/>
          <w:szCs w:val="44"/>
          <w:highlight w:val="none"/>
        </w:rPr>
        <w:t>政策绩效评价报告</w:t>
      </w:r>
      <w:bookmarkEnd w:id="3"/>
    </w:p>
    <w:p w14:paraId="47BB2084">
      <w:pPr>
        <w:bidi w:val="0"/>
        <w:rPr>
          <w:rFonts w:hint="eastAsia"/>
        </w:rPr>
      </w:pPr>
      <w:bookmarkStart w:id="4" w:name="_Toc1520748923"/>
    </w:p>
    <w:p w14:paraId="482C619C">
      <w:pPr>
        <w:pStyle w:val="2"/>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ascii="Calibri" w:hAnsi="Calibri" w:cs="Times New Roman"/>
          <w:sz w:val="32"/>
          <w:szCs w:val="32"/>
        </w:rPr>
      </w:pPr>
      <w:bookmarkStart w:id="5" w:name="_Toc19282"/>
      <w:r>
        <w:rPr>
          <w:rFonts w:hint="eastAsia" w:ascii="Calibri" w:hAnsi="Calibri" w:cs="Times New Roman"/>
          <w:sz w:val="32"/>
          <w:szCs w:val="32"/>
        </w:rPr>
        <w:t>一、</w:t>
      </w:r>
      <w:r>
        <w:rPr>
          <w:rFonts w:hint="eastAsia" w:ascii="Calibri" w:hAnsi="Calibri" w:cs="Times New Roman"/>
          <w:sz w:val="32"/>
          <w:szCs w:val="32"/>
          <w:lang w:val="en-US" w:eastAsia="zh-CN"/>
        </w:rPr>
        <w:t>政策</w:t>
      </w:r>
      <w:r>
        <w:rPr>
          <w:rFonts w:hint="eastAsia" w:ascii="Calibri" w:hAnsi="Calibri" w:cs="Times New Roman"/>
          <w:sz w:val="32"/>
          <w:szCs w:val="32"/>
        </w:rPr>
        <w:t>基本情况</w:t>
      </w:r>
      <w:bookmarkEnd w:id="4"/>
      <w:bookmarkEnd w:id="5"/>
    </w:p>
    <w:p w14:paraId="00E66003">
      <w:pPr>
        <w:pStyle w:val="3"/>
        <w:pageBreakBefore w:val="0"/>
        <w:kinsoku/>
        <w:wordWrap/>
        <w:overflowPunct/>
        <w:topLinePunct w:val="0"/>
        <w:autoSpaceDE/>
        <w:autoSpaceDN/>
        <w:bidi w:val="0"/>
        <w:adjustRightInd/>
        <w:snapToGrid/>
        <w:spacing w:line="560" w:lineRule="exact"/>
        <w:ind w:firstLine="640"/>
        <w:textAlignment w:val="auto"/>
      </w:pPr>
      <w:bookmarkStart w:id="6" w:name="_Toc2024265914"/>
      <w:bookmarkStart w:id="7" w:name="_Toc30787"/>
      <w:r>
        <w:rPr>
          <w:rFonts w:hint="eastAsia"/>
        </w:rPr>
        <w:t>（一）政策概况</w:t>
      </w:r>
      <w:bookmarkEnd w:id="6"/>
      <w:bookmarkEnd w:id="7"/>
    </w:p>
    <w:p w14:paraId="5E9A556B">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1.政策背景</w:t>
      </w:r>
    </w:p>
    <w:p w14:paraId="2FA5239D">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为深入实施创新驱动发展战略，加快科技成果转移转化，完善科技创新创业生态体系，国家、省、市相继出台强化科技企业孵化器培育、支持初创科技企业成长的政策措施，鼓励通过财政股权投资提升孵化器运营能力与孵化质效。随着全市孵化器数量稳步增长、孵化需求不断扩大，传统补助方式难以满足孵化器持股孵化、长期培育、风险共担的发展需要，</w:t>
      </w:r>
      <w:r>
        <w:rPr>
          <w:rFonts w:hint="eastAsia" w:ascii="仿宋_GB2312" w:hAnsi="仿宋_GB2312" w:eastAsia="仿宋_GB2312" w:cs="仿宋_GB2312"/>
          <w:sz w:val="32"/>
          <w:szCs w:val="40"/>
          <w:lang w:eastAsia="zh-CN"/>
        </w:rPr>
        <w:t>亟须</w:t>
      </w:r>
      <w:r>
        <w:rPr>
          <w:rFonts w:hint="eastAsia" w:ascii="仿宋_GB2312" w:hAnsi="仿宋_GB2312" w:eastAsia="仿宋_GB2312" w:cs="仿宋_GB2312"/>
          <w:sz w:val="32"/>
          <w:szCs w:val="40"/>
        </w:rPr>
        <w:t>通过财政资金股权投资模式强化赋能、提升效能。</w:t>
      </w:r>
    </w:p>
    <w:p w14:paraId="0CBA267F">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市人民政府关于实施财政资金股权投资改革试点有关事宜的通知》（青政字〔2020〕29号）、《青岛市实施“硕果计划”加快促进科技成果转移转化的若干政策措施》（青政字〔2022〕21号），结合打造标杆孵化器、推进科技成果转化工作实际，青岛市科技创新委员会办公室印发《青岛市科技创业孵化财政资金股权投资运行管理办法（试行）》（青科创委办字〔2022〕1号），以标杆孵化器股权投资支持为抓手，强化孵化器载体功能，促进全市科技创新与产业升级。</w:t>
      </w:r>
    </w:p>
    <w:p w14:paraId="7C825290">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2.政策主要内容</w:t>
      </w:r>
    </w:p>
    <w:p w14:paraId="285AFB4F">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科技创业孵化股权投资资金（以下简称“硕果金”）计划出资总额1.2亿元</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授权青岛财通集团有限公司或其子公司（以下统称“财通集团”）实施投资管理。通过股权直投或参股赋能基金的形式，认购增资、发起设立或以股权受让等国家法律未禁止的投资方式投向项目库项目，助力标杆孵化器推荐和服务的科技型企业，投资支持科技成果项目中试、工程化和产业化，支持科技团队创办科技企业</w:t>
      </w:r>
      <w:r>
        <w:rPr>
          <w:rFonts w:hint="eastAsia" w:ascii="仿宋_GB2312" w:hAnsi="仿宋_GB2312" w:eastAsia="仿宋_GB2312" w:cs="仿宋_GB2312"/>
          <w:sz w:val="32"/>
          <w:szCs w:val="40"/>
          <w:lang w:eastAsia="zh-CN"/>
        </w:rPr>
        <w:t>。</w:t>
      </w:r>
    </w:p>
    <w:p w14:paraId="73B84F5D">
      <w:pPr>
        <w:spacing w:line="600" w:lineRule="exact"/>
        <w:ind w:firstLine="482" w:firstLineChars="200"/>
        <w:jc w:val="center"/>
        <w:rPr>
          <w:rFonts w:hint="eastAsia" w:ascii="Times New Roman" w:hAnsi="Times New Roman" w:eastAsia="仿宋_GB2312" w:cstheme="minorBidi"/>
          <w:b/>
          <w:bCs/>
          <w:kern w:val="0"/>
          <w:sz w:val="24"/>
          <w:szCs w:val="24"/>
          <w:lang w:val="en-US" w:eastAsia="zh-CN" w:bidi="ar-SA"/>
        </w:rPr>
      </w:pPr>
      <w:r>
        <w:rPr>
          <w:rFonts w:hint="eastAsia" w:ascii="Times New Roman" w:hAnsi="Times New Roman" w:eastAsia="仿宋_GB2312" w:cstheme="minorBidi"/>
          <w:b/>
          <w:bCs/>
          <w:kern w:val="0"/>
          <w:sz w:val="24"/>
          <w:szCs w:val="24"/>
          <w:lang w:val="en-US" w:eastAsia="zh-CN" w:bidi="ar-SA"/>
        </w:rPr>
        <w:t>表</w:t>
      </w:r>
      <w:r>
        <w:rPr>
          <w:rFonts w:hint="eastAsia" w:ascii="仿宋_GB2312" w:hAnsi="仿宋_GB2312" w:eastAsia="仿宋_GB2312" w:cs="仿宋_GB2312"/>
          <w:b/>
          <w:bCs/>
          <w:kern w:val="0"/>
          <w:sz w:val="24"/>
          <w:szCs w:val="24"/>
          <w:lang w:val="en-US" w:eastAsia="zh-CN" w:bidi="ar-SA"/>
        </w:rPr>
        <w:t>1</w:t>
      </w:r>
      <w:r>
        <w:rPr>
          <w:rFonts w:hint="eastAsia" w:ascii="Times New Roman" w:hAnsi="Times New Roman" w:eastAsia="仿宋_GB2312" w:cstheme="minorBidi"/>
          <w:b/>
          <w:bCs/>
          <w:kern w:val="0"/>
          <w:sz w:val="24"/>
          <w:szCs w:val="24"/>
          <w:lang w:val="en-US" w:eastAsia="zh-CN" w:bidi="ar-SA"/>
        </w:rPr>
        <w:t>-</w:t>
      </w:r>
      <w:r>
        <w:rPr>
          <w:rFonts w:hint="eastAsia" w:ascii="仿宋_GB2312" w:hAnsi="仿宋_GB2312" w:eastAsia="仿宋_GB2312" w:cs="仿宋_GB2312"/>
          <w:b/>
          <w:bCs/>
          <w:kern w:val="0"/>
          <w:sz w:val="24"/>
          <w:szCs w:val="24"/>
          <w:lang w:val="en-US" w:eastAsia="zh-CN" w:bidi="ar-SA"/>
        </w:rPr>
        <w:t xml:space="preserve">1 </w:t>
      </w:r>
      <w:r>
        <w:rPr>
          <w:rFonts w:hint="eastAsia" w:ascii="Times New Roman" w:hAnsi="Times New Roman" w:eastAsia="仿宋_GB2312" w:cstheme="minorBidi"/>
          <w:b/>
          <w:bCs/>
          <w:kern w:val="0"/>
          <w:sz w:val="24"/>
          <w:szCs w:val="24"/>
          <w:lang w:val="en-US" w:eastAsia="zh-CN" w:bidi="ar-SA"/>
        </w:rPr>
        <w:t>科技创业孵化股权投资资金政策实施内容</w:t>
      </w: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2106"/>
        <w:gridCol w:w="5757"/>
      </w:tblGrid>
      <w:tr w14:paraId="43B1A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blHeader/>
        </w:trPr>
        <w:tc>
          <w:tcPr>
            <w:tcW w:w="376" w:type="pct"/>
            <w:tcBorders>
              <w:top w:val="single" w:color="000000" w:sz="4" w:space="0"/>
              <w:left w:val="single" w:color="000000" w:sz="4" w:space="0"/>
              <w:bottom w:val="single" w:color="000000" w:sz="4" w:space="0"/>
              <w:right w:val="single" w:color="000000" w:sz="4" w:space="0"/>
            </w:tcBorders>
            <w:shd w:val="clear" w:color="auto" w:fill="A6A6A6"/>
            <w:noWrap/>
            <w:vAlign w:val="center"/>
          </w:tcPr>
          <w:p w14:paraId="20BFDE34">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default" w:ascii="黑体" w:hAnsi="宋体" w:eastAsia="黑体" w:cs="黑体"/>
                <w:i w:val="0"/>
                <w:iCs w:val="0"/>
                <w:color w:val="000000"/>
                <w:kern w:val="0"/>
                <w:sz w:val="22"/>
                <w:szCs w:val="22"/>
                <w:u w:val="none"/>
                <w:lang w:val="en-US" w:eastAsia="zh-CN" w:bidi="ar"/>
              </w:rPr>
              <w:t>序号</w:t>
            </w:r>
          </w:p>
        </w:tc>
        <w:tc>
          <w:tcPr>
            <w:tcW w:w="1207" w:type="pct"/>
            <w:tcBorders>
              <w:top w:val="single" w:color="000000" w:sz="4" w:space="0"/>
              <w:left w:val="single" w:color="000000" w:sz="4" w:space="0"/>
              <w:bottom w:val="single" w:color="000000" w:sz="4" w:space="0"/>
              <w:right w:val="single" w:color="000000" w:sz="4" w:space="0"/>
            </w:tcBorders>
            <w:shd w:val="clear" w:color="auto" w:fill="A6A6A6"/>
            <w:noWrap/>
            <w:vAlign w:val="center"/>
          </w:tcPr>
          <w:p w14:paraId="0F1B297A">
            <w:pPr>
              <w:keepNext w:val="0"/>
              <w:keepLines w:val="0"/>
              <w:widowControl/>
              <w:suppressLineNumbers w:val="0"/>
              <w:jc w:val="center"/>
              <w:textAlignment w:val="center"/>
              <w:rPr>
                <w:rFonts w:hint="default" w:ascii="黑体" w:hAnsi="宋体" w:eastAsia="黑体" w:cs="黑体"/>
                <w:i w:val="0"/>
                <w:iCs w:val="0"/>
                <w:color w:val="000000"/>
                <w:sz w:val="22"/>
                <w:szCs w:val="22"/>
                <w:u w:val="none"/>
              </w:rPr>
            </w:pPr>
            <w:r>
              <w:rPr>
                <w:rFonts w:hint="default" w:ascii="黑体" w:hAnsi="宋体" w:eastAsia="黑体" w:cs="黑体"/>
                <w:i w:val="0"/>
                <w:iCs w:val="0"/>
                <w:color w:val="000000"/>
                <w:kern w:val="0"/>
                <w:sz w:val="22"/>
                <w:szCs w:val="22"/>
                <w:u w:val="none"/>
                <w:lang w:val="en-US" w:eastAsia="zh-CN" w:bidi="ar"/>
              </w:rPr>
              <w:t>类别</w:t>
            </w:r>
          </w:p>
        </w:tc>
        <w:tc>
          <w:tcPr>
            <w:tcW w:w="3415" w:type="pct"/>
            <w:tcBorders>
              <w:top w:val="single" w:color="000000" w:sz="4" w:space="0"/>
              <w:left w:val="single" w:color="000000" w:sz="4" w:space="0"/>
              <w:bottom w:val="single" w:color="000000" w:sz="4" w:space="0"/>
              <w:right w:val="single" w:color="000000" w:sz="4" w:space="0"/>
            </w:tcBorders>
            <w:shd w:val="clear" w:color="auto" w:fill="A6A6A6"/>
            <w:noWrap/>
            <w:vAlign w:val="center"/>
          </w:tcPr>
          <w:p w14:paraId="065F6001">
            <w:pPr>
              <w:keepNext w:val="0"/>
              <w:keepLines w:val="0"/>
              <w:widowControl/>
              <w:suppressLineNumbers w:val="0"/>
              <w:jc w:val="center"/>
              <w:textAlignment w:val="center"/>
              <w:rPr>
                <w:rFonts w:hint="default" w:ascii="黑体" w:hAnsi="宋体" w:eastAsia="黑体" w:cs="黑体"/>
                <w:i w:val="0"/>
                <w:iCs w:val="0"/>
                <w:color w:val="000000"/>
                <w:sz w:val="22"/>
                <w:szCs w:val="22"/>
                <w:u w:val="none"/>
              </w:rPr>
            </w:pPr>
            <w:r>
              <w:rPr>
                <w:rFonts w:hint="default" w:ascii="黑体" w:hAnsi="宋体" w:eastAsia="黑体" w:cs="黑体"/>
                <w:i w:val="0"/>
                <w:iCs w:val="0"/>
                <w:color w:val="000000"/>
                <w:kern w:val="0"/>
                <w:sz w:val="22"/>
                <w:szCs w:val="22"/>
                <w:u w:val="none"/>
                <w:lang w:val="en-US" w:eastAsia="zh-CN" w:bidi="ar"/>
              </w:rPr>
              <w:t>内容</w:t>
            </w:r>
          </w:p>
        </w:tc>
      </w:tr>
      <w:tr w14:paraId="2164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0EB8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2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E92A">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投资方向</w:t>
            </w:r>
          </w:p>
        </w:tc>
        <w:tc>
          <w:tcPr>
            <w:tcW w:w="3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3D4A">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青岛市七大优势产业、十大新兴产业、七大未来产业</w:t>
            </w:r>
            <w:r>
              <w:rPr>
                <w:rFonts w:hint="eastAsia" w:ascii="仿宋_GB2312" w:hAnsi="仿宋_GB2312" w:eastAsia="仿宋_GB2312" w:cs="仿宋_GB2312"/>
                <w:i w:val="0"/>
                <w:iCs w:val="0"/>
                <w:color w:val="000000"/>
                <w:sz w:val="21"/>
                <w:szCs w:val="21"/>
                <w:u w:val="none"/>
                <w:lang w:eastAsia="zh-CN"/>
              </w:rPr>
              <w:t>。</w:t>
            </w:r>
          </w:p>
        </w:tc>
      </w:tr>
      <w:tr w14:paraId="0C2A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FE7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2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183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投资对象</w:t>
            </w:r>
          </w:p>
        </w:tc>
        <w:tc>
          <w:tcPr>
            <w:tcW w:w="3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2E34F">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科技企业孵化器（包括众创空间、大学科技园，以下简称“孵化器”）及科技园区和产业链专业园区孵化培育科技企业</w:t>
            </w:r>
            <w:r>
              <w:rPr>
                <w:rFonts w:hint="eastAsia" w:ascii="仿宋_GB2312" w:hAnsi="仿宋_GB2312" w:eastAsia="仿宋_GB2312" w:cs="仿宋_GB2312"/>
                <w:i w:val="0"/>
                <w:iCs w:val="0"/>
                <w:color w:val="000000"/>
                <w:sz w:val="21"/>
                <w:szCs w:val="21"/>
                <w:u w:val="none"/>
                <w:lang w:eastAsia="zh-CN"/>
              </w:rPr>
              <w:t>。</w:t>
            </w:r>
          </w:p>
        </w:tc>
      </w:tr>
      <w:tr w14:paraId="35F6B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A1FE3">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12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EE10">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投资要求</w:t>
            </w:r>
          </w:p>
        </w:tc>
        <w:tc>
          <w:tcPr>
            <w:tcW w:w="3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5445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eastAsia="zh-CN"/>
              </w:rPr>
              <w:t>用于参股设立硕果赋能基金的资金一般不高于“硕果金”总额的50%。硕果赋能基金投资项目库内项目的投资额应不少于“硕果金”出资额的1.1倍。</w:t>
            </w:r>
          </w:p>
          <w:p w14:paraId="0485D4B8">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rPr>
              <w:t>通过“硕果金”与硕果赋能基金投向初创期企业额度不少于“硕果金”可投额度的70%。</w:t>
            </w:r>
          </w:p>
          <w:p w14:paraId="6EBD93E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rPr>
              <w:t>标杆孵化器推荐的科技创业项目（包含标杆孵化器体外孵化培育项目），比例不低于“硕果金”可投额度的50%。</w:t>
            </w:r>
          </w:p>
        </w:tc>
      </w:tr>
      <w:tr w14:paraId="576C2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83F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12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2EFC">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投资标准</w:t>
            </w:r>
          </w:p>
        </w:tc>
        <w:tc>
          <w:tcPr>
            <w:tcW w:w="3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BE93">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highlight w:val="none"/>
                <w:u w:val="none"/>
              </w:rPr>
              <w:t>不少于可投额度的50%用于“硕果金”对单个企业首次投资，且原则上不超过500万元，根据项目发展可以分次追加投资，但总投资额最高不超过1000万元。剩余可投额度对单个项目的总投资额不超过2000万元。</w:t>
            </w:r>
          </w:p>
        </w:tc>
      </w:tr>
      <w:tr w14:paraId="1C7D3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85A4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12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9448">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管理费提取</w:t>
            </w:r>
          </w:p>
        </w:tc>
        <w:tc>
          <w:tcPr>
            <w:tcW w:w="3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AC96">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rPr>
              <w:t>财通集团直接投资部分按照“硕果金”以前年度投资余额的2%、本年度投资额的3%提取当年管理费用；对财通集团参与的硕果赋能基金，按照“硕果金”对外实缴额度收取管理费，财通集团和硕果赋能基金管理人提取管理费合计不超过该部分资金的3%。管理费在“硕果金”拨付资金内进行提取，不再单独拨付。</w:t>
            </w:r>
          </w:p>
        </w:tc>
      </w:tr>
      <w:tr w14:paraId="5FD5D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91FC">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12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C9A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rPr>
              <w:t>收益分配与风险准备</w:t>
            </w:r>
          </w:p>
        </w:tc>
        <w:tc>
          <w:tcPr>
            <w:tcW w:w="3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E233C">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eastAsia="zh-CN"/>
              </w:rPr>
            </w:pPr>
            <w:r>
              <w:rPr>
                <w:rFonts w:hint="eastAsia" w:ascii="仿宋_GB2312" w:hAnsi="仿宋_GB2312" w:eastAsia="仿宋_GB2312" w:cs="仿宋_GB2312"/>
                <w:i w:val="0"/>
                <w:iCs w:val="0"/>
                <w:color w:val="000000"/>
                <w:sz w:val="21"/>
                <w:szCs w:val="21"/>
                <w:u w:val="none"/>
                <w:lang w:val="en-US" w:eastAsia="zh-CN"/>
              </w:rPr>
              <w:t>退出项目</w:t>
            </w:r>
            <w:r>
              <w:rPr>
                <w:rFonts w:hint="eastAsia" w:ascii="仿宋_GB2312" w:hAnsi="仿宋_GB2312" w:eastAsia="仿宋_GB2312" w:cs="仿宋_GB2312"/>
                <w:i w:val="0"/>
                <w:iCs w:val="0"/>
                <w:color w:val="000000"/>
                <w:sz w:val="21"/>
                <w:szCs w:val="21"/>
                <w:u w:val="none"/>
              </w:rPr>
              <w:t>净收益按单个项目核算，即退即分。分配比例为财通集团30%、推荐项目入库的标杆孵化器40%、“硕果金”本金滚动投资30%。孵化器应得投资净收益的70%进行分配，提取另外30%作为风险准备金</w:t>
            </w:r>
            <w:r>
              <w:rPr>
                <w:rFonts w:hint="eastAsia" w:ascii="仿宋_GB2312" w:hAnsi="仿宋_GB2312" w:eastAsia="仿宋_GB2312" w:cs="仿宋_GB2312"/>
                <w:i w:val="0"/>
                <w:iCs w:val="0"/>
                <w:color w:val="000000"/>
                <w:sz w:val="21"/>
                <w:szCs w:val="21"/>
                <w:u w:val="none"/>
                <w:lang w:eastAsia="zh-CN"/>
              </w:rPr>
              <w:t>。</w:t>
            </w:r>
          </w:p>
        </w:tc>
      </w:tr>
    </w:tbl>
    <w:p w14:paraId="21531F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rPr>
        <w:t>3.政策实施情况</w:t>
      </w:r>
    </w:p>
    <w:p w14:paraId="12F391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40"/>
          <w:lang w:val="en-US" w:eastAsia="zh-CN"/>
        </w:rPr>
        <w:t>“硕果金”</w:t>
      </w:r>
      <w:r>
        <w:rPr>
          <w:rFonts w:hint="eastAsia" w:ascii="仿宋_GB2312" w:hAnsi="仿宋_GB2312" w:eastAsia="仿宋_GB2312" w:cs="仿宋_GB2312"/>
          <w:sz w:val="32"/>
          <w:szCs w:val="32"/>
          <w:lang w:val="en-US" w:eastAsia="zh-CN"/>
        </w:rPr>
        <w:t>受托管理机构为</w:t>
      </w:r>
      <w:r>
        <w:rPr>
          <w:rFonts w:hint="eastAsia" w:ascii="仿宋_GB2312" w:hAnsi="仿宋_GB2312" w:eastAsia="仿宋_GB2312" w:cs="仿宋_GB2312"/>
          <w:sz w:val="32"/>
          <w:szCs w:val="40"/>
          <w:lang w:val="en-US" w:eastAsia="zh-CN"/>
        </w:rPr>
        <w:t>青岛</w:t>
      </w:r>
      <w:r>
        <w:rPr>
          <w:rFonts w:hint="eastAsia" w:ascii="仿宋_GB2312" w:hAnsi="仿宋_GB2312" w:eastAsia="仿宋_GB2312" w:cs="仿宋_GB2312"/>
          <w:sz w:val="32"/>
          <w:szCs w:val="32"/>
          <w:lang w:val="en-US" w:eastAsia="zh-CN"/>
        </w:rPr>
        <w:t>财通集团</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32"/>
          <w:lang w:val="en-US" w:eastAsia="zh-CN"/>
        </w:rPr>
        <w:t>2023—2025年</w:t>
      </w:r>
      <w:r>
        <w:rPr>
          <w:rFonts w:hint="eastAsia" w:ascii="仿宋_GB2312" w:hAnsi="仿宋_GB2312" w:eastAsia="仿宋_GB2312" w:cs="仿宋_GB2312"/>
          <w:sz w:val="32"/>
          <w:szCs w:val="40"/>
          <w:lang w:val="en-US" w:eastAsia="zh-CN"/>
        </w:rPr>
        <w:t>“硕果金”拨付财通集团8400万元，</w:t>
      </w:r>
      <w:r>
        <w:rPr>
          <w:rFonts w:hint="eastAsia" w:ascii="仿宋_GB2312" w:hAnsi="仿宋_GB2312" w:eastAsia="仿宋_GB2312" w:cs="仿宋_GB2312"/>
          <w:b w:val="0"/>
          <w:bCs/>
          <w:sz w:val="32"/>
          <w:szCs w:val="40"/>
          <w:highlight w:val="none"/>
          <w:lang w:val="en-US" w:eastAsia="zh-CN"/>
        </w:rPr>
        <w:t>扣除管理费286万元后可投额度为8114万元，三年累计完成股权投资5550万元，</w:t>
      </w:r>
      <w:r>
        <w:rPr>
          <w:rFonts w:hint="eastAsia" w:ascii="仿宋_GB2312" w:hAnsi="仿宋_GB2312" w:eastAsia="仿宋_GB2312" w:cs="仿宋_GB2312"/>
          <w:b w:val="0"/>
          <w:bCs w:val="0"/>
          <w:kern w:val="0"/>
          <w:sz w:val="32"/>
          <w:szCs w:val="32"/>
        </w:rPr>
        <w:t>其中</w:t>
      </w:r>
      <w:r>
        <w:rPr>
          <w:rFonts w:hint="eastAsia" w:ascii="仿宋_GB2312" w:hAnsi="仿宋_GB2312" w:eastAsia="仿宋_GB2312" w:cs="仿宋_GB2312"/>
          <w:b w:val="0"/>
          <w:bCs w:val="0"/>
          <w:kern w:val="0"/>
          <w:sz w:val="32"/>
          <w:szCs w:val="32"/>
          <w:lang w:val="en-US" w:eastAsia="zh-CN"/>
        </w:rPr>
        <w:t>股权</w:t>
      </w:r>
      <w:r>
        <w:rPr>
          <w:rFonts w:hint="eastAsia" w:ascii="仿宋_GB2312" w:hAnsi="仿宋_GB2312" w:eastAsia="仿宋_GB2312" w:cs="仿宋_GB2312"/>
          <w:b w:val="0"/>
          <w:bCs w:val="0"/>
          <w:kern w:val="0"/>
          <w:sz w:val="32"/>
          <w:szCs w:val="32"/>
        </w:rPr>
        <w:t>直投</w:t>
      </w:r>
      <w:r>
        <w:rPr>
          <w:rFonts w:hint="eastAsia" w:ascii="仿宋_GB2312" w:hAnsi="仿宋_GB2312" w:eastAsia="仿宋_GB2312" w:cs="仿宋_GB2312"/>
          <w:b w:val="0"/>
          <w:bCs w:val="0"/>
          <w:kern w:val="0"/>
          <w:sz w:val="32"/>
          <w:szCs w:val="32"/>
          <w:lang w:val="en-US" w:eastAsia="zh-CN"/>
        </w:rPr>
        <w:t>项目8个、投资</w:t>
      </w:r>
      <w:r>
        <w:rPr>
          <w:rFonts w:hint="eastAsia" w:ascii="仿宋_GB2312" w:hAnsi="仿宋_GB2312" w:eastAsia="仿宋_GB2312" w:cs="仿宋_GB2312"/>
          <w:b w:val="0"/>
          <w:bCs w:val="0"/>
          <w:kern w:val="0"/>
          <w:sz w:val="32"/>
          <w:szCs w:val="32"/>
        </w:rPr>
        <w:t>金额4800万元</w:t>
      </w:r>
      <w:r>
        <w:rPr>
          <w:rFonts w:hint="eastAsia" w:ascii="仿宋_GB2312" w:hAnsi="仿宋_GB2312" w:eastAsia="仿宋_GB2312" w:cs="仿宋_GB2312"/>
          <w:b w:val="0"/>
          <w:bCs w:val="0"/>
          <w:kern w:val="0"/>
          <w:sz w:val="32"/>
          <w:szCs w:val="32"/>
          <w:lang w:val="en-US" w:eastAsia="zh-CN"/>
        </w:rPr>
        <w:t>，投资</w:t>
      </w:r>
      <w:r>
        <w:rPr>
          <w:rFonts w:hint="eastAsia" w:ascii="仿宋_GB2312" w:hAnsi="仿宋_GB2312" w:eastAsia="仿宋_GB2312" w:cs="仿宋_GB2312"/>
          <w:b w:val="0"/>
          <w:bCs w:val="0"/>
          <w:sz w:val="32"/>
          <w:szCs w:val="32"/>
          <w:lang w:val="en-US" w:eastAsia="zh-CN"/>
        </w:rPr>
        <w:t>赋能基金1只、一期出资750万元</w:t>
      </w:r>
      <w:r>
        <w:rPr>
          <w:rFonts w:hint="eastAsia" w:ascii="仿宋_GB2312" w:hAnsi="仿宋_GB2312" w:eastAsia="仿宋_GB2312" w:cs="仿宋_GB2312"/>
          <w:sz w:val="32"/>
          <w:szCs w:val="32"/>
          <w:lang w:val="en-US" w:eastAsia="zh-CN"/>
        </w:rPr>
        <w:t>。</w:t>
      </w:r>
    </w:p>
    <w:p w14:paraId="5DFDA8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（1）财通集团股权直投</w:t>
      </w:r>
    </w:p>
    <w:p w14:paraId="1D86E7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“硕果金”通过财通集团直接投资项目8个、投资金额4800万元</w:t>
      </w:r>
      <w:r>
        <w:rPr>
          <w:rFonts w:hint="eastAsia" w:ascii="仿宋_GB2312" w:hAnsi="宋体" w:eastAsia="仿宋_GB2312"/>
          <w:color w:val="000000"/>
          <w:sz w:val="32"/>
          <w:szCs w:val="32"/>
          <w:lang w:val="en-US" w:eastAsia="zh-CN"/>
          <w14:ligatures w14:val="standardContextual"/>
        </w:rPr>
        <w:t>。</w:t>
      </w:r>
      <w:r>
        <w:rPr>
          <w:rFonts w:hint="eastAsia" w:ascii="仿宋_GB2312" w:hAnsi="仿宋_GB2312" w:eastAsia="仿宋_GB2312" w:cs="仿宋_GB2312"/>
          <w:sz w:val="32"/>
          <w:szCs w:val="32"/>
        </w:rPr>
        <w:t>具体</w:t>
      </w:r>
      <w:r>
        <w:rPr>
          <w:rFonts w:hint="eastAsia" w:ascii="仿宋_GB2312" w:hAnsi="仿宋_GB2312" w:eastAsia="仿宋_GB2312" w:cs="仿宋_GB2312"/>
          <w:sz w:val="32"/>
          <w:szCs w:val="32"/>
          <w:lang w:val="en-US" w:eastAsia="zh-CN"/>
        </w:rPr>
        <w:t>投资项目</w:t>
      </w:r>
      <w:r>
        <w:rPr>
          <w:rFonts w:hint="eastAsia" w:ascii="仿宋_GB2312" w:hAnsi="仿宋_GB2312" w:eastAsia="仿宋_GB2312" w:cs="仿宋_GB2312"/>
          <w:sz w:val="32"/>
          <w:szCs w:val="32"/>
        </w:rPr>
        <w:t>详见</w:t>
      </w:r>
      <w:r>
        <w:rPr>
          <w:rFonts w:hint="eastAsia" w:ascii="仿宋_GB2312" w:hAnsi="仿宋_GB2312" w:eastAsia="仿宋_GB2312" w:cs="仿宋_GB2312"/>
          <w:sz w:val="32"/>
          <w:szCs w:val="32"/>
          <w:lang w:val="en-US" w:eastAsia="zh-CN"/>
        </w:rPr>
        <w:t>下表：</w:t>
      </w:r>
    </w:p>
    <w:p w14:paraId="4B3A70C4">
      <w:pPr>
        <w:spacing w:line="600" w:lineRule="exact"/>
        <w:ind w:firstLine="482" w:firstLineChars="200"/>
        <w:jc w:val="center"/>
        <w:rPr>
          <w:rFonts w:hint="default" w:ascii="Times New Roman" w:hAnsi="Times New Roman" w:eastAsia="仿宋_GB2312" w:cstheme="minorBidi"/>
          <w:b/>
          <w:bCs/>
          <w:kern w:val="0"/>
          <w:sz w:val="24"/>
          <w:szCs w:val="24"/>
          <w:lang w:val="en-US" w:eastAsia="zh-CN" w:bidi="ar-SA"/>
        </w:rPr>
      </w:pPr>
      <w:r>
        <w:rPr>
          <w:rFonts w:hint="eastAsia" w:ascii="Times New Roman" w:hAnsi="Times New Roman" w:eastAsia="仿宋_GB2312" w:cstheme="minorBidi"/>
          <w:b/>
          <w:bCs/>
          <w:kern w:val="0"/>
          <w:sz w:val="24"/>
          <w:szCs w:val="24"/>
          <w:lang w:val="en-US" w:eastAsia="zh-CN" w:bidi="ar-SA"/>
        </w:rPr>
        <w:t>表</w:t>
      </w:r>
      <w:r>
        <w:rPr>
          <w:rFonts w:hint="eastAsia" w:ascii="仿宋_GB2312" w:hAnsi="仿宋_GB2312" w:eastAsia="仿宋_GB2312" w:cs="仿宋_GB2312"/>
          <w:b/>
          <w:bCs/>
          <w:kern w:val="0"/>
          <w:sz w:val="24"/>
          <w:szCs w:val="24"/>
          <w:lang w:val="en-US" w:eastAsia="zh-CN" w:bidi="ar-SA"/>
        </w:rPr>
        <w:t>1</w:t>
      </w:r>
      <w:r>
        <w:rPr>
          <w:rFonts w:hint="eastAsia" w:ascii="Times New Roman" w:hAnsi="Times New Roman" w:eastAsia="仿宋_GB2312" w:cstheme="minorBidi"/>
          <w:b/>
          <w:bCs/>
          <w:kern w:val="0"/>
          <w:sz w:val="24"/>
          <w:szCs w:val="24"/>
          <w:lang w:val="en-US" w:eastAsia="zh-CN" w:bidi="ar-SA"/>
        </w:rPr>
        <w:t>-</w:t>
      </w:r>
      <w:r>
        <w:rPr>
          <w:rFonts w:hint="eastAsia" w:ascii="仿宋_GB2312" w:hAnsi="仿宋_GB2312" w:eastAsia="仿宋_GB2312" w:cs="仿宋_GB2312"/>
          <w:b/>
          <w:bCs/>
          <w:kern w:val="0"/>
          <w:sz w:val="24"/>
          <w:szCs w:val="24"/>
          <w:lang w:val="en-US" w:eastAsia="zh-CN" w:bidi="ar-SA"/>
        </w:rPr>
        <w:t xml:space="preserve">2 </w:t>
      </w:r>
      <w:r>
        <w:rPr>
          <w:rFonts w:hint="eastAsia" w:ascii="Times New Roman" w:hAnsi="Times New Roman" w:eastAsia="仿宋_GB2312" w:cstheme="minorBidi"/>
          <w:b/>
          <w:bCs/>
          <w:kern w:val="0"/>
          <w:sz w:val="24"/>
          <w:szCs w:val="24"/>
          <w:lang w:val="en-US" w:eastAsia="zh-CN" w:bidi="ar-SA"/>
        </w:rPr>
        <w:t>财通集团股权直投</w:t>
      </w:r>
      <w:r>
        <w:rPr>
          <w:rFonts w:hint="default" w:ascii="Times New Roman" w:hAnsi="Times New Roman" w:eastAsia="仿宋_GB2312" w:cstheme="minorBidi"/>
          <w:b/>
          <w:bCs/>
          <w:kern w:val="0"/>
          <w:sz w:val="24"/>
          <w:szCs w:val="24"/>
          <w:lang w:val="en-US" w:eastAsia="zh-CN" w:bidi="ar-SA"/>
        </w:rPr>
        <w:t>项目汇总表</w:t>
      </w:r>
    </w:p>
    <w:p w14:paraId="1E71A024">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right"/>
        <w:textAlignment w:val="auto"/>
        <w:rPr>
          <w:rFonts w:hint="default" w:ascii="Times New Roman Regular" w:hAnsi="Times New Roman Regular" w:eastAsia="黑体" w:cs="Times New Roman Regular"/>
          <w:sz w:val="24"/>
          <w:szCs w:val="24"/>
          <w:lang w:val="en-US" w:eastAsia="zh-CN"/>
        </w:rPr>
      </w:pPr>
      <w:r>
        <w:rPr>
          <w:rFonts w:hint="eastAsia" w:ascii="Times New Roman" w:hAnsi="Times New Roman" w:eastAsia="仿宋_GB2312" w:cstheme="minorBidi"/>
          <w:b/>
          <w:bCs/>
          <w:kern w:val="0"/>
          <w:sz w:val="24"/>
          <w:szCs w:val="24"/>
          <w:lang w:val="en-US" w:eastAsia="zh-CN" w:bidi="ar-SA"/>
        </w:rPr>
        <w:t>单位：万元</w:t>
      </w:r>
    </w:p>
    <w:tbl>
      <w:tblPr>
        <w:tblStyle w:val="18"/>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9"/>
        <w:gridCol w:w="4142"/>
        <w:gridCol w:w="2258"/>
        <w:gridCol w:w="1380"/>
      </w:tblGrid>
      <w:tr w14:paraId="3D296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BFBFBF"/>
            <w:vAlign w:val="center"/>
          </w:tcPr>
          <w:p w14:paraId="36059F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BFBFBF"/>
            <w:vAlign w:val="center"/>
          </w:tcPr>
          <w:p w14:paraId="4F52F14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BFBFBF"/>
            <w:vAlign w:val="center"/>
          </w:tcPr>
          <w:p w14:paraId="43C13E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投资时间</w:t>
            </w:r>
          </w:p>
        </w:tc>
        <w:tc>
          <w:tcPr>
            <w:tcW w:w="1380"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18CE3CD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投资金额</w:t>
            </w:r>
          </w:p>
        </w:tc>
      </w:tr>
      <w:tr w14:paraId="0B4B9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5C51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B8B5B">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青岛健新医疗科技有限公司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F978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2023年7月28日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37F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w:t>
            </w:r>
          </w:p>
        </w:tc>
      </w:tr>
      <w:tr w14:paraId="5F40E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A18A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42D7E">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青岛清原作物科学有限公司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6F99D">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2023年8月2日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3FF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800</w:t>
            </w:r>
          </w:p>
        </w:tc>
      </w:tr>
      <w:tr w14:paraId="4BC2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3E24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0381D">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源生生物科技（青岛）有限责任公司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D769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2023年9月5日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9C78">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w:t>
            </w:r>
          </w:p>
        </w:tc>
      </w:tr>
      <w:tr w14:paraId="279B5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C686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FF2F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青岛未来网络创新技术有限公司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CE6674">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2023年12月15日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1672">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w:t>
            </w:r>
          </w:p>
        </w:tc>
      </w:tr>
      <w:tr w14:paraId="1D13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right w:val="single" w:color="000000" w:sz="4" w:space="0"/>
            </w:tcBorders>
            <w:shd w:val="clear" w:color="auto" w:fill="auto"/>
            <w:vAlign w:val="center"/>
          </w:tcPr>
          <w:p w14:paraId="11F0402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E46B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青岛柯锐思德电子科技有限公司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A18B0">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2023年12月29日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FDF0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w:t>
            </w:r>
          </w:p>
        </w:tc>
      </w:tr>
      <w:tr w14:paraId="5F307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0" w:type="auto"/>
            <w:vMerge w:val="continue"/>
            <w:tcBorders>
              <w:left w:val="single" w:color="000000" w:sz="4" w:space="0"/>
              <w:bottom w:val="single" w:color="000000" w:sz="4" w:space="0"/>
              <w:right w:val="single" w:color="000000" w:sz="4" w:space="0"/>
            </w:tcBorders>
            <w:shd w:val="clear" w:color="auto" w:fill="auto"/>
            <w:vAlign w:val="center"/>
          </w:tcPr>
          <w:p w14:paraId="2650285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B89DB">
            <w:pPr>
              <w:keepNext w:val="0"/>
              <w:keepLines w:val="0"/>
              <w:pageBreakBefore w:val="0"/>
              <w:widowControl/>
              <w:kinsoku/>
              <w:wordWrap/>
              <w:overflowPunct/>
              <w:topLinePunct w:val="0"/>
              <w:autoSpaceDE/>
              <w:autoSpaceDN/>
              <w:bidi w:val="0"/>
              <w:adjustRightInd/>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DEA9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2024年4月30日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D87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w:t>
            </w:r>
          </w:p>
        </w:tc>
      </w:tr>
      <w:tr w14:paraId="04B4E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D4C8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35FB">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芝诺未来生物科技（青岛）有限公司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6A7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2024年12月31日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39AE8">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highlight w:val="none"/>
                <w:u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1000</w:t>
            </w:r>
          </w:p>
        </w:tc>
      </w:tr>
      <w:tr w14:paraId="20FD9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7BAE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BBB8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蔚蓝空间飞行器有限公司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C32F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2025年2月14日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70C0">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w:t>
            </w:r>
          </w:p>
        </w:tc>
      </w:tr>
      <w:tr w14:paraId="5ACC8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DC36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9215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青岛贝源种业有限公司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19A58">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2025年6月3日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E62E">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w:t>
            </w:r>
          </w:p>
        </w:tc>
      </w:tr>
      <w:tr w14:paraId="3A2B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71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6F923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sz w:val="21"/>
                <w:szCs w:val="21"/>
                <w:u w:val="none"/>
                <w:lang w:val="en-US" w:eastAsia="zh-CN"/>
              </w:rPr>
              <w:t>合计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7C27">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highlight w:val="yellow"/>
                <w:u w:val="none"/>
                <w:lang w:val="en-US" w:eastAsia="zh-CN" w:bidi="ar"/>
              </w:rPr>
            </w:pPr>
            <w:r>
              <w:rPr>
                <w:rFonts w:hint="eastAsia" w:ascii="仿宋_GB2312" w:hAnsi="仿宋_GB2312" w:eastAsia="仿宋_GB2312" w:cs="仿宋_GB2312"/>
                <w:b/>
                <w:bCs/>
                <w:i w:val="0"/>
                <w:iCs w:val="0"/>
                <w:color w:val="000000"/>
                <w:kern w:val="0"/>
                <w:sz w:val="21"/>
                <w:szCs w:val="21"/>
                <w:highlight w:val="none"/>
                <w:u w:val="none"/>
                <w:lang w:val="en-US" w:eastAsia="zh-CN" w:bidi="ar"/>
              </w:rPr>
              <w:t>4800</w:t>
            </w:r>
          </w:p>
        </w:tc>
      </w:tr>
    </w:tbl>
    <w:p w14:paraId="79AC8380">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lang w:val="en-US" w:eastAsia="zh-CN"/>
        </w:rPr>
        <w:t>2</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sz w:val="32"/>
          <w:szCs w:val="32"/>
          <w:lang w:val="en-US" w:eastAsia="zh-CN"/>
        </w:rPr>
        <w:t>参股赋能基金投资</w:t>
      </w:r>
    </w:p>
    <w:p w14:paraId="19BDD9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olor w:val="000000"/>
          <w:sz w:val="32"/>
          <w:szCs w:val="32"/>
          <w:lang w:val="en-US" w:eastAsia="zh-CN"/>
          <w14:ligatures w14:val="standardContextual"/>
        </w:rPr>
      </w:pPr>
      <w:r>
        <w:rPr>
          <w:rFonts w:hint="eastAsia" w:ascii="仿宋_GB2312" w:hAnsi="宋体" w:eastAsia="仿宋_GB2312"/>
          <w:color w:val="000000"/>
          <w:sz w:val="32"/>
          <w:szCs w:val="32"/>
          <w:lang w:val="en-US" w:eastAsia="zh-CN"/>
          <w14:ligatures w14:val="standardContextual"/>
        </w:rPr>
        <w:t>“硕果金”通过</w:t>
      </w:r>
      <w:r>
        <w:rPr>
          <w:rFonts w:hint="eastAsia" w:ascii="仿宋_GB2312" w:hAnsi="仿宋_GB2312" w:eastAsia="仿宋_GB2312" w:cs="仿宋_GB2312"/>
          <w:sz w:val="32"/>
          <w:szCs w:val="32"/>
          <w:lang w:val="en-US" w:eastAsia="zh-CN"/>
        </w:rPr>
        <w:t>参股赋能基金方式投资</w:t>
      </w:r>
      <w:r>
        <w:rPr>
          <w:rFonts w:hint="eastAsia" w:ascii="仿宋_GB2312" w:hAnsi="宋体" w:eastAsia="仿宋_GB2312"/>
          <w:color w:val="000000"/>
          <w:sz w:val="32"/>
          <w:szCs w:val="32"/>
          <w:lang w:val="en-US" w:eastAsia="zh-CN"/>
          <w14:ligatures w14:val="standardContextual"/>
        </w:rPr>
        <w:t>1只赋能基金，即青岛里程碑才硕科技创业投资基金合伙企业（有限合伙），由青岛迈通创业投资管理有限公司担任基金管理人开展投资运营。该基金全体合伙人认缴出资总额1亿元，现阶段各合伙人按协议约定完成50%出资实缴，实缴资金合计5000万元，其中“硕果金”实缴出资750万元。</w:t>
      </w:r>
    </w:p>
    <w:p w14:paraId="28569F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宋体" w:eastAsia="仿宋_GB2312"/>
          <w:color w:val="000000"/>
          <w:sz w:val="32"/>
          <w:szCs w:val="32"/>
          <w:lang w:val="en-US" w:eastAsia="zh-CN"/>
          <w14:ligatures w14:val="standardContextual"/>
        </w:rPr>
        <w:t>截至2025年底，基金累计</w:t>
      </w:r>
      <w:r>
        <w:rPr>
          <w:rFonts w:hint="eastAsia" w:ascii="仿宋_GB2312" w:hAnsi="仿宋_GB2312" w:eastAsia="仿宋_GB2312" w:cs="仿宋_GB2312"/>
          <w:sz w:val="32"/>
          <w:szCs w:val="32"/>
          <w:lang w:val="en-US" w:eastAsia="zh-CN"/>
        </w:rPr>
        <w:t>投资项目6个，投资金额3452.25万元，其中投资“硕果金”项目库项目2个。</w:t>
      </w:r>
      <w:r>
        <w:rPr>
          <w:rFonts w:hint="eastAsia" w:ascii="仿宋_GB2312" w:hAnsi="仿宋_GB2312" w:eastAsia="仿宋_GB2312" w:cs="仿宋_GB2312"/>
          <w:sz w:val="32"/>
          <w:szCs w:val="32"/>
        </w:rPr>
        <w:t>具体</w:t>
      </w:r>
      <w:r>
        <w:rPr>
          <w:rFonts w:hint="eastAsia" w:ascii="仿宋_GB2312" w:hAnsi="仿宋_GB2312" w:eastAsia="仿宋_GB2312" w:cs="仿宋_GB2312"/>
          <w:sz w:val="32"/>
          <w:szCs w:val="32"/>
          <w:lang w:val="en-US" w:eastAsia="zh-CN"/>
        </w:rPr>
        <w:t>投资项目</w:t>
      </w:r>
      <w:r>
        <w:rPr>
          <w:rFonts w:hint="eastAsia" w:ascii="仿宋_GB2312" w:hAnsi="仿宋_GB2312" w:eastAsia="仿宋_GB2312" w:cs="仿宋_GB2312"/>
          <w:sz w:val="32"/>
          <w:szCs w:val="32"/>
        </w:rPr>
        <w:t>详见</w:t>
      </w:r>
      <w:r>
        <w:rPr>
          <w:rFonts w:hint="eastAsia" w:ascii="仿宋_GB2312" w:hAnsi="仿宋_GB2312" w:eastAsia="仿宋_GB2312" w:cs="仿宋_GB2312"/>
          <w:sz w:val="32"/>
          <w:szCs w:val="32"/>
          <w:lang w:val="en-US" w:eastAsia="zh-CN"/>
        </w:rPr>
        <w:t>下表：</w:t>
      </w:r>
    </w:p>
    <w:p w14:paraId="3A6C05B2">
      <w:pPr>
        <w:spacing w:line="600" w:lineRule="exact"/>
        <w:ind w:firstLine="482" w:firstLineChars="200"/>
        <w:jc w:val="center"/>
        <w:rPr>
          <w:rFonts w:hint="default" w:ascii="Times New Roman" w:hAnsi="Times New Roman" w:eastAsia="仿宋_GB2312" w:cstheme="minorBidi"/>
          <w:b/>
          <w:bCs/>
          <w:kern w:val="0"/>
          <w:sz w:val="24"/>
          <w:szCs w:val="24"/>
          <w:lang w:val="en-US" w:eastAsia="zh-CN" w:bidi="ar-SA"/>
        </w:rPr>
      </w:pPr>
      <w:r>
        <w:rPr>
          <w:rFonts w:hint="eastAsia" w:ascii="Times New Roman" w:hAnsi="Times New Roman" w:eastAsia="仿宋_GB2312" w:cstheme="minorBidi"/>
          <w:b/>
          <w:bCs/>
          <w:kern w:val="0"/>
          <w:sz w:val="24"/>
          <w:szCs w:val="24"/>
          <w:lang w:val="en-US" w:eastAsia="zh-CN" w:bidi="ar-SA"/>
        </w:rPr>
        <w:t>表</w:t>
      </w:r>
      <w:r>
        <w:rPr>
          <w:rFonts w:hint="eastAsia" w:ascii="仿宋_GB2312" w:hAnsi="仿宋_GB2312" w:eastAsia="仿宋_GB2312" w:cs="仿宋_GB2312"/>
          <w:b/>
          <w:bCs/>
          <w:kern w:val="0"/>
          <w:sz w:val="24"/>
          <w:szCs w:val="24"/>
          <w:lang w:val="en-US" w:eastAsia="zh-CN" w:bidi="ar-SA"/>
        </w:rPr>
        <w:t>1</w:t>
      </w:r>
      <w:r>
        <w:rPr>
          <w:rFonts w:hint="eastAsia" w:ascii="Times New Roman" w:hAnsi="Times New Roman" w:eastAsia="仿宋_GB2312" w:cstheme="minorBidi"/>
          <w:b/>
          <w:bCs/>
          <w:kern w:val="0"/>
          <w:sz w:val="24"/>
          <w:szCs w:val="24"/>
          <w:lang w:val="en-US" w:eastAsia="zh-CN" w:bidi="ar-SA"/>
        </w:rPr>
        <w:t>-3</w:t>
      </w:r>
      <w:r>
        <w:rPr>
          <w:rFonts w:hint="eastAsia" w:ascii="仿宋_GB2312" w:hAnsi="仿宋_GB2312" w:eastAsia="仿宋_GB2312" w:cs="仿宋_GB2312"/>
          <w:b/>
          <w:bCs/>
          <w:kern w:val="0"/>
          <w:sz w:val="24"/>
          <w:szCs w:val="24"/>
          <w:lang w:val="en-US" w:eastAsia="zh-CN" w:bidi="ar-SA"/>
        </w:rPr>
        <w:t xml:space="preserve"> 参股赋能基金投资</w:t>
      </w:r>
      <w:r>
        <w:rPr>
          <w:rFonts w:hint="default" w:ascii="Times New Roman" w:hAnsi="Times New Roman" w:eastAsia="仿宋_GB2312" w:cstheme="minorBidi"/>
          <w:b/>
          <w:bCs/>
          <w:kern w:val="0"/>
          <w:sz w:val="24"/>
          <w:szCs w:val="24"/>
          <w:lang w:val="en-US" w:eastAsia="zh-CN" w:bidi="ar-SA"/>
        </w:rPr>
        <w:t>项目汇总表</w:t>
      </w:r>
    </w:p>
    <w:p w14:paraId="7B306469">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righ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heme="minorBidi"/>
          <w:b/>
          <w:bCs/>
          <w:kern w:val="0"/>
          <w:sz w:val="24"/>
          <w:szCs w:val="24"/>
          <w:lang w:val="en-US" w:eastAsia="zh-CN" w:bidi="ar-SA"/>
        </w:rPr>
        <w:t>单位：万元</w:t>
      </w: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4"/>
        <w:gridCol w:w="2250"/>
        <w:gridCol w:w="1278"/>
        <w:gridCol w:w="1055"/>
        <w:gridCol w:w="1602"/>
        <w:gridCol w:w="1613"/>
      </w:tblGrid>
      <w:tr w14:paraId="0874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blHeader/>
        </w:trPr>
        <w:tc>
          <w:tcPr>
            <w:tcW w:w="424"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580C1707">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1320"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3D4123D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项目名称</w:t>
            </w:r>
          </w:p>
        </w:tc>
        <w:tc>
          <w:tcPr>
            <w:tcW w:w="749"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0E7E03D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投资时间</w:t>
            </w:r>
          </w:p>
        </w:tc>
        <w:tc>
          <w:tcPr>
            <w:tcW w:w="618"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38FEF91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投资金额</w:t>
            </w:r>
          </w:p>
        </w:tc>
        <w:tc>
          <w:tcPr>
            <w:tcW w:w="939"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F9C6DA0">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其中：硕果金出资额（占15%）</w:t>
            </w:r>
          </w:p>
        </w:tc>
        <w:tc>
          <w:tcPr>
            <w:tcW w:w="946"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0CAC5747">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default"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是否为“硕果金”项目库项目</w:t>
            </w:r>
          </w:p>
        </w:tc>
      </w:tr>
      <w:tr w14:paraId="7C09A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E770">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59C7">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青岛众瑞智能仪器股份有限公司</w:t>
            </w:r>
          </w:p>
        </w:tc>
        <w:tc>
          <w:tcPr>
            <w:tcW w:w="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65F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2025年6月30日</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2A4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722.25</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181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108.34</w:t>
            </w:r>
          </w:p>
        </w:tc>
        <w:tc>
          <w:tcPr>
            <w:tcW w:w="9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521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否</w:t>
            </w:r>
          </w:p>
        </w:tc>
      </w:tr>
      <w:tr w14:paraId="621A2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439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BB7C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表面能量（青岛）科技集团有限公司</w:t>
            </w:r>
          </w:p>
        </w:tc>
        <w:tc>
          <w:tcPr>
            <w:tcW w:w="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04AF">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2025年8月19日</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16EC0">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1000</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5AB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150.00</w:t>
            </w:r>
          </w:p>
        </w:tc>
        <w:tc>
          <w:tcPr>
            <w:tcW w:w="9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1214">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否</w:t>
            </w:r>
          </w:p>
        </w:tc>
      </w:tr>
      <w:tr w14:paraId="5DD2B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6EAD">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A3F9">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青岛生基万物生物科技有限公司</w:t>
            </w:r>
          </w:p>
        </w:tc>
        <w:tc>
          <w:tcPr>
            <w:tcW w:w="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F022D">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2025年10月22日</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4E0C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300</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9A163">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45.00</w:t>
            </w:r>
          </w:p>
        </w:tc>
        <w:tc>
          <w:tcPr>
            <w:tcW w:w="9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F0C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是</w:t>
            </w:r>
          </w:p>
        </w:tc>
      </w:tr>
      <w:tr w14:paraId="7082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CDEA">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E16C">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杭州诺安生防科技有限公司</w:t>
            </w:r>
          </w:p>
        </w:tc>
        <w:tc>
          <w:tcPr>
            <w:tcW w:w="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F5C08">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2025年10月22日</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3F89E">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500</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C007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75.00</w:t>
            </w:r>
          </w:p>
        </w:tc>
        <w:tc>
          <w:tcPr>
            <w:tcW w:w="9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E3A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否</w:t>
            </w:r>
          </w:p>
        </w:tc>
      </w:tr>
      <w:tr w14:paraId="5C09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F7C8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EAB3">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青科驭远（青岛）智能科技有限公司</w:t>
            </w:r>
          </w:p>
        </w:tc>
        <w:tc>
          <w:tcPr>
            <w:tcW w:w="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B8AFA">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2025年12月25日</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EE5E">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630</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45D03">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94.50</w:t>
            </w:r>
          </w:p>
        </w:tc>
        <w:tc>
          <w:tcPr>
            <w:tcW w:w="9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C5F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是</w:t>
            </w:r>
          </w:p>
        </w:tc>
      </w:tr>
      <w:tr w14:paraId="2010F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2C05">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1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5A8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山东探像智慧海洋科技有限公司</w:t>
            </w:r>
          </w:p>
        </w:tc>
        <w:tc>
          <w:tcPr>
            <w:tcW w:w="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AEFF">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2025年12月26日</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D31E">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300</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BDF6">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45.00</w:t>
            </w:r>
          </w:p>
        </w:tc>
        <w:tc>
          <w:tcPr>
            <w:tcW w:w="9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EF61">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否</w:t>
            </w:r>
          </w:p>
        </w:tc>
      </w:tr>
      <w:tr w14:paraId="7DC2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24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7DB7">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合计</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1673">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3452.25</w:t>
            </w: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F74A">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517.84</w:t>
            </w:r>
          </w:p>
        </w:tc>
        <w:tc>
          <w:tcPr>
            <w:tcW w:w="9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9FEF">
            <w:pPr>
              <w:keepNext w:val="0"/>
              <w:keepLines w:val="0"/>
              <w:pageBreakBefore w:val="0"/>
              <w:widowControl/>
              <w:suppressLineNumbers w:val="0"/>
              <w:kinsoku/>
              <w:wordWrap/>
              <w:overflowPunct/>
              <w:topLinePunct w:val="0"/>
              <w:autoSpaceDE/>
              <w:autoSpaceDN/>
              <w:bidi w:val="0"/>
              <w:adjustRightInd/>
              <w:spacing w:line="240" w:lineRule="auto"/>
              <w:ind w:left="0" w:leftChars="0" w:right="0" w:rightChars="0" w:firstLine="0" w:firstLineChars="0"/>
              <w:jc w:val="center"/>
              <w:textAlignment w:val="center"/>
              <w:rPr>
                <w:rFonts w:hint="default"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w:t>
            </w:r>
          </w:p>
        </w:tc>
      </w:tr>
    </w:tbl>
    <w:p w14:paraId="6DF7C105">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color w:val="auto"/>
          <w:sz w:val="32"/>
          <w:szCs w:val="40"/>
        </w:rPr>
        <w:t>4.资金投入及使用情况</w:t>
      </w:r>
    </w:p>
    <w:p w14:paraId="021774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bookmarkStart w:id="8" w:name="_Toc1401280824"/>
      <w:r>
        <w:rPr>
          <w:rFonts w:hint="eastAsia" w:ascii="仿宋_GB2312" w:hAnsi="仿宋_GB2312" w:eastAsia="仿宋_GB2312" w:cs="仿宋_GB2312"/>
          <w:sz w:val="32"/>
          <w:szCs w:val="40"/>
          <w:lang w:val="en-US" w:eastAsia="zh-CN"/>
        </w:rPr>
        <w:t>按照</w:t>
      </w:r>
      <w:r>
        <w:rPr>
          <w:rFonts w:hint="eastAsia" w:ascii="仿宋_GB2312" w:hAnsi="仿宋_GB2312" w:eastAsia="仿宋_GB2312" w:cs="仿宋_GB2312"/>
          <w:sz w:val="32"/>
          <w:szCs w:val="40"/>
        </w:rPr>
        <w:t>《青岛市科技创业孵化财政资金股权投资运行管理办法（试行）》（青科创委办字〔2022〕1号）</w:t>
      </w:r>
      <w:r>
        <w:rPr>
          <w:rFonts w:hint="eastAsia" w:ascii="仿宋_GB2312" w:hAnsi="仿宋_GB2312" w:eastAsia="仿宋_GB2312" w:cs="仿宋_GB2312"/>
          <w:sz w:val="32"/>
          <w:szCs w:val="40"/>
          <w:lang w:val="en-US" w:eastAsia="zh-CN"/>
        </w:rPr>
        <w:t>规定，“‘硕果金’出资根据标杆孵化器的评定进度予以资金预算安排”。</w:t>
      </w:r>
    </w:p>
    <w:p w14:paraId="1E7C3B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根据《青岛市标杆孵化器管理办法》（青科规〔2022〕3号）规定，“对评定为标杆孵化器的单位，引领型标杆孵化器支持股权投资资金600万元，成长型标杆孵化器支持股权投资资金400万元”。2023—2025年，</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lang w:val="en-US" w:eastAsia="zh-CN"/>
        </w:rPr>
        <w:t>项目预算总额8400万元，实际拨付至青岛财通集团8400万元。</w:t>
      </w:r>
    </w:p>
    <w:p w14:paraId="7AB6F531">
      <w:pPr>
        <w:spacing w:line="600" w:lineRule="exact"/>
        <w:ind w:firstLine="482" w:firstLineChars="200"/>
        <w:jc w:val="center"/>
        <w:rPr>
          <w:rFonts w:hint="default" w:ascii="Times New Roman" w:hAnsi="Times New Roman" w:eastAsia="仿宋_GB2312" w:cstheme="minorBidi"/>
          <w:b/>
          <w:bCs/>
          <w:kern w:val="0"/>
          <w:sz w:val="24"/>
          <w:szCs w:val="24"/>
          <w:lang w:val="en-US" w:eastAsia="zh-CN" w:bidi="ar-SA"/>
        </w:rPr>
      </w:pPr>
      <w:r>
        <w:rPr>
          <w:rFonts w:hint="eastAsia" w:ascii="Times New Roman" w:hAnsi="Times New Roman" w:eastAsia="仿宋_GB2312" w:cstheme="minorBidi"/>
          <w:b/>
          <w:bCs/>
          <w:kern w:val="0"/>
          <w:sz w:val="24"/>
          <w:szCs w:val="24"/>
          <w:lang w:val="en-US" w:eastAsia="zh-CN" w:bidi="ar-SA"/>
        </w:rPr>
        <w:t>表</w:t>
      </w:r>
      <w:r>
        <w:rPr>
          <w:rFonts w:hint="eastAsia" w:ascii="仿宋_GB2312" w:hAnsi="仿宋_GB2312" w:eastAsia="仿宋_GB2312" w:cs="仿宋_GB2312"/>
          <w:b/>
          <w:bCs/>
          <w:kern w:val="0"/>
          <w:sz w:val="24"/>
          <w:szCs w:val="24"/>
          <w:lang w:val="en-US" w:eastAsia="zh-CN" w:bidi="ar-SA"/>
        </w:rPr>
        <w:t>1</w:t>
      </w:r>
      <w:r>
        <w:rPr>
          <w:rFonts w:hint="eastAsia" w:ascii="Times New Roman" w:hAnsi="Times New Roman" w:eastAsia="仿宋_GB2312" w:cstheme="minorBidi"/>
          <w:b/>
          <w:bCs/>
          <w:kern w:val="0"/>
          <w:sz w:val="24"/>
          <w:szCs w:val="24"/>
          <w:lang w:val="en-US" w:eastAsia="zh-CN" w:bidi="ar-SA"/>
        </w:rPr>
        <w:t>-</w:t>
      </w:r>
      <w:r>
        <w:rPr>
          <w:rFonts w:hint="eastAsia" w:ascii="仿宋_GB2312" w:hAnsi="仿宋_GB2312" w:eastAsia="仿宋_GB2312" w:cs="仿宋_GB2312"/>
          <w:b/>
          <w:bCs/>
          <w:kern w:val="0"/>
          <w:sz w:val="24"/>
          <w:szCs w:val="24"/>
          <w:lang w:val="en-US" w:eastAsia="zh-CN" w:bidi="ar-SA"/>
        </w:rPr>
        <w:t>4 2023</w:t>
      </w:r>
      <w:r>
        <w:rPr>
          <w:rFonts w:hint="eastAsia" w:ascii="Times New Roman" w:hAnsi="Times New Roman" w:eastAsia="仿宋_GB2312" w:cstheme="minorBidi"/>
          <w:b/>
          <w:bCs/>
          <w:kern w:val="0"/>
          <w:sz w:val="24"/>
          <w:szCs w:val="24"/>
          <w:lang w:val="en-US" w:eastAsia="zh-CN" w:bidi="ar-SA"/>
        </w:rPr>
        <w:t>—</w:t>
      </w:r>
      <w:r>
        <w:rPr>
          <w:rFonts w:hint="eastAsia" w:ascii="仿宋_GB2312" w:hAnsi="仿宋_GB2312" w:eastAsia="仿宋_GB2312" w:cs="仿宋_GB2312"/>
          <w:b/>
          <w:bCs/>
          <w:kern w:val="0"/>
          <w:sz w:val="24"/>
          <w:szCs w:val="24"/>
          <w:lang w:val="en-US" w:eastAsia="zh-CN" w:bidi="ar-SA"/>
        </w:rPr>
        <w:t>2025</w:t>
      </w:r>
      <w:r>
        <w:rPr>
          <w:rFonts w:hint="eastAsia" w:ascii="Times New Roman" w:hAnsi="Times New Roman" w:eastAsia="仿宋_GB2312" w:cstheme="minorBidi"/>
          <w:b/>
          <w:bCs/>
          <w:kern w:val="0"/>
          <w:sz w:val="24"/>
          <w:szCs w:val="24"/>
          <w:lang w:val="en-US" w:eastAsia="zh-CN" w:bidi="ar-SA"/>
        </w:rPr>
        <w:t>年项目预算及拨付情况表</w:t>
      </w:r>
    </w:p>
    <w:p w14:paraId="5997AEC0">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right"/>
        <w:textAlignment w:val="auto"/>
        <w:rPr>
          <w:rFonts w:hint="default" w:ascii="Times New Roman" w:hAnsi="Times New Roman" w:eastAsia="仿宋_GB2312" w:cstheme="minorBidi"/>
          <w:b/>
          <w:bCs/>
          <w:kern w:val="0"/>
          <w:sz w:val="24"/>
          <w:szCs w:val="24"/>
          <w:lang w:val="en-US" w:eastAsia="zh-CN" w:bidi="ar-SA"/>
        </w:rPr>
      </w:pPr>
      <w:r>
        <w:rPr>
          <w:rFonts w:hint="eastAsia" w:ascii="Times New Roman" w:hAnsi="Times New Roman" w:eastAsia="仿宋_GB2312" w:cstheme="minorBidi"/>
          <w:b/>
          <w:bCs/>
          <w:kern w:val="0"/>
          <w:sz w:val="24"/>
          <w:szCs w:val="24"/>
          <w:lang w:val="en-US" w:eastAsia="zh-CN" w:bidi="ar-SA"/>
        </w:rPr>
        <w:t>单位：万元</w:t>
      </w: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8"/>
        <w:gridCol w:w="898"/>
        <w:gridCol w:w="1183"/>
        <w:gridCol w:w="1082"/>
        <w:gridCol w:w="4478"/>
      </w:tblGrid>
      <w:tr w14:paraId="1A146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blHeader/>
        </w:trPr>
        <w:tc>
          <w:tcPr>
            <w:tcW w:w="515"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4C22968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预算年度</w:t>
            </w:r>
          </w:p>
        </w:tc>
        <w:tc>
          <w:tcPr>
            <w:tcW w:w="527"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21ADEA1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预算金额</w:t>
            </w:r>
          </w:p>
        </w:tc>
        <w:tc>
          <w:tcPr>
            <w:tcW w:w="694"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3ABF142F">
            <w:pPr>
              <w:keepNext w:val="0"/>
              <w:keepLines w:val="0"/>
              <w:widowControl/>
              <w:suppressLineNumbers w:val="0"/>
              <w:jc w:val="center"/>
              <w:textAlignment w:val="center"/>
              <w:rPr>
                <w:rFonts w:hint="default"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拨付财通集团金额</w:t>
            </w:r>
          </w:p>
        </w:tc>
        <w:tc>
          <w:tcPr>
            <w:tcW w:w="635"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10882E28">
            <w:pPr>
              <w:keepNext w:val="0"/>
              <w:keepLines w:val="0"/>
              <w:widowControl/>
              <w:suppressLineNumbers w:val="0"/>
              <w:jc w:val="center"/>
              <w:textAlignment w:val="center"/>
              <w:rPr>
                <w:rFonts w:hint="default"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拨付时间</w:t>
            </w:r>
          </w:p>
        </w:tc>
        <w:tc>
          <w:tcPr>
            <w:tcW w:w="2627"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12CCCADA">
            <w:pPr>
              <w:keepNext w:val="0"/>
              <w:keepLines w:val="0"/>
              <w:widowControl/>
              <w:suppressLineNumbers w:val="0"/>
              <w:jc w:val="center"/>
              <w:textAlignment w:val="center"/>
              <w:rPr>
                <w:rFonts w:hint="default" w:ascii="仿宋_GB2312" w:hAnsi="仿宋_GB2312" w:eastAsia="仿宋_GB2312" w:cs="仿宋_GB2312"/>
                <w:b/>
                <w:bCs/>
                <w:i w:val="0"/>
                <w:iCs w:val="0"/>
                <w:color w:val="000000"/>
                <w:sz w:val="21"/>
                <w:szCs w:val="21"/>
                <w:u w:val="none"/>
                <w:lang w:val="en-US"/>
              </w:rPr>
            </w:pPr>
            <w:r>
              <w:rPr>
                <w:rFonts w:hint="eastAsia" w:ascii="仿宋_GB2312" w:hAnsi="仿宋_GB2312" w:eastAsia="仿宋_GB2312" w:cs="仿宋_GB2312"/>
                <w:b/>
                <w:bCs/>
                <w:i w:val="0"/>
                <w:iCs w:val="0"/>
                <w:color w:val="000000"/>
                <w:sz w:val="21"/>
                <w:szCs w:val="21"/>
                <w:u w:val="none"/>
                <w:lang w:val="en-US" w:eastAsia="zh-CN"/>
              </w:rPr>
              <w:t>预算编制依据</w:t>
            </w:r>
          </w:p>
        </w:tc>
      </w:tr>
      <w:tr w14:paraId="170FF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515" w:type="pct"/>
            <w:tcBorders>
              <w:top w:val="single" w:color="000000" w:sz="4" w:space="0"/>
              <w:left w:val="single" w:color="000000" w:sz="4" w:space="0"/>
              <w:bottom w:val="single" w:color="000000" w:sz="4" w:space="0"/>
              <w:right w:val="single" w:color="auto" w:sz="4" w:space="0"/>
            </w:tcBorders>
            <w:shd w:val="clear" w:color="auto" w:fill="auto"/>
            <w:vAlign w:val="center"/>
          </w:tcPr>
          <w:p w14:paraId="7B417CDD">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2023年</w:t>
            </w:r>
          </w:p>
        </w:tc>
        <w:tc>
          <w:tcPr>
            <w:tcW w:w="527" w:type="pct"/>
            <w:tcBorders>
              <w:top w:val="single" w:color="auto" w:sz="4" w:space="0"/>
              <w:left w:val="single" w:color="auto" w:sz="4" w:space="0"/>
              <w:bottom w:val="single" w:color="auto" w:sz="4" w:space="0"/>
              <w:right w:val="single" w:color="000000" w:sz="4" w:space="0"/>
            </w:tcBorders>
            <w:shd w:val="clear" w:color="auto" w:fill="auto"/>
            <w:vAlign w:val="center"/>
          </w:tcPr>
          <w:p w14:paraId="14422B6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lang w:val="en-US" w:eastAsia="zh-CN"/>
              </w:rPr>
              <w:t>3440</w:t>
            </w:r>
          </w:p>
        </w:tc>
        <w:tc>
          <w:tcPr>
            <w:tcW w:w="694" w:type="pct"/>
            <w:tcBorders>
              <w:top w:val="single" w:color="auto" w:sz="4" w:space="0"/>
              <w:left w:val="single" w:color="000000" w:sz="4" w:space="0"/>
              <w:bottom w:val="single" w:color="auto" w:sz="4" w:space="0"/>
              <w:right w:val="single" w:color="000000" w:sz="4" w:space="0"/>
            </w:tcBorders>
            <w:shd w:val="clear" w:color="auto" w:fill="auto"/>
            <w:vAlign w:val="center"/>
          </w:tcPr>
          <w:p w14:paraId="2FD4E9B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3440</w:t>
            </w:r>
          </w:p>
        </w:tc>
        <w:tc>
          <w:tcPr>
            <w:tcW w:w="635" w:type="pct"/>
            <w:tcBorders>
              <w:top w:val="single" w:color="auto" w:sz="4" w:space="0"/>
              <w:left w:val="single" w:color="000000" w:sz="4" w:space="0"/>
              <w:bottom w:val="single" w:color="auto" w:sz="4" w:space="0"/>
              <w:right w:val="single" w:color="auto" w:sz="4" w:space="0"/>
            </w:tcBorders>
            <w:shd w:val="clear" w:color="auto" w:fill="auto"/>
            <w:vAlign w:val="center"/>
          </w:tcPr>
          <w:p w14:paraId="77A9A6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2023</w:t>
            </w:r>
            <w:r>
              <w:rPr>
                <w:rFonts w:hint="eastAsia" w:ascii="Times New Roman" w:hAnsi="Times New Roman" w:eastAsia="仿宋_GB2312" w:cs="Times New Roman"/>
                <w:i w:val="0"/>
                <w:iCs w:val="0"/>
                <w:color w:val="000000"/>
                <w:sz w:val="21"/>
                <w:szCs w:val="21"/>
                <w:u w:val="none"/>
                <w:lang w:val="en-US" w:eastAsia="zh-CN"/>
              </w:rPr>
              <w:t>年</w:t>
            </w:r>
            <w:r>
              <w:rPr>
                <w:rFonts w:hint="eastAsia" w:ascii="仿宋_GB2312" w:hAnsi="仿宋_GB2312" w:eastAsia="仿宋_GB2312" w:cs="仿宋_GB2312"/>
                <w:i w:val="0"/>
                <w:iCs w:val="0"/>
                <w:color w:val="000000"/>
                <w:sz w:val="21"/>
                <w:szCs w:val="21"/>
                <w:u w:val="none"/>
                <w:lang w:val="en-US" w:eastAsia="zh-CN"/>
              </w:rPr>
              <w:t>5</w:t>
            </w:r>
            <w:r>
              <w:rPr>
                <w:rFonts w:hint="eastAsia" w:ascii="Times New Roman" w:hAnsi="Times New Roman" w:eastAsia="仿宋_GB2312" w:cs="Times New Roman"/>
                <w:i w:val="0"/>
                <w:iCs w:val="0"/>
                <w:color w:val="000000"/>
                <w:sz w:val="21"/>
                <w:szCs w:val="21"/>
                <w:u w:val="none"/>
                <w:lang w:val="en-US" w:eastAsia="zh-CN"/>
              </w:rPr>
              <w:t>月</w:t>
            </w:r>
            <w:r>
              <w:rPr>
                <w:rFonts w:hint="eastAsia" w:ascii="仿宋_GB2312" w:hAnsi="仿宋_GB2312" w:eastAsia="仿宋_GB2312" w:cs="仿宋_GB2312"/>
                <w:i w:val="0"/>
                <w:iCs w:val="0"/>
                <w:color w:val="000000"/>
                <w:sz w:val="21"/>
                <w:szCs w:val="21"/>
                <w:u w:val="none"/>
                <w:lang w:val="en-US" w:eastAsia="zh-CN"/>
              </w:rPr>
              <w:t>10</w:t>
            </w:r>
            <w:r>
              <w:rPr>
                <w:rFonts w:hint="eastAsia" w:ascii="Times New Roman" w:hAnsi="Times New Roman" w:eastAsia="仿宋_GB2312" w:cs="Times New Roman"/>
                <w:i w:val="0"/>
                <w:iCs w:val="0"/>
                <w:color w:val="000000"/>
                <w:sz w:val="21"/>
                <w:szCs w:val="21"/>
                <w:u w:val="none"/>
                <w:lang w:val="en-US" w:eastAsia="zh-CN"/>
              </w:rPr>
              <w:t>日</w:t>
            </w:r>
          </w:p>
        </w:tc>
        <w:tc>
          <w:tcPr>
            <w:tcW w:w="2627" w:type="pct"/>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15E8D054">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根据《青岛市标杆孵化器管理办法》（青科规〔2022〕3号）规定，“对评定为标杆孵化器的单位，引领型标杆孵化器支持股权投资资金600万元，成长型标杆孵化器支持股权投资资金400万元”。2022年评定标杆孵化器7家（4家引领型、3家成长型）。4家引领型股权投资资金600*4=2400万元，3家成长型股权投资资金400*3=1200万元，共计3600万元。</w:t>
            </w:r>
          </w:p>
        </w:tc>
      </w:tr>
      <w:tr w14:paraId="530D6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5B41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2024年</w:t>
            </w:r>
          </w:p>
        </w:tc>
        <w:tc>
          <w:tcPr>
            <w:tcW w:w="527" w:type="pct"/>
            <w:tcBorders>
              <w:top w:val="single" w:color="auto" w:sz="4" w:space="0"/>
              <w:left w:val="single" w:color="000000" w:sz="4" w:space="0"/>
              <w:bottom w:val="single" w:color="000000" w:sz="4" w:space="0"/>
              <w:right w:val="single" w:color="000000" w:sz="4" w:space="0"/>
            </w:tcBorders>
            <w:shd w:val="clear" w:color="auto" w:fill="auto"/>
            <w:vAlign w:val="center"/>
          </w:tcPr>
          <w:p w14:paraId="0294D720">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lang w:val="en-US" w:eastAsia="zh-CN"/>
              </w:rPr>
              <w:t>160</w:t>
            </w:r>
          </w:p>
        </w:tc>
        <w:tc>
          <w:tcPr>
            <w:tcW w:w="694" w:type="pct"/>
            <w:tcBorders>
              <w:top w:val="single" w:color="auto" w:sz="4" w:space="0"/>
              <w:left w:val="single" w:color="000000" w:sz="4" w:space="0"/>
              <w:bottom w:val="single" w:color="000000" w:sz="4" w:space="0"/>
              <w:right w:val="single" w:color="000000" w:sz="4" w:space="0"/>
            </w:tcBorders>
            <w:shd w:val="clear" w:color="auto" w:fill="auto"/>
            <w:vAlign w:val="center"/>
          </w:tcPr>
          <w:p w14:paraId="3AE5E42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160</w:t>
            </w:r>
          </w:p>
        </w:tc>
        <w:tc>
          <w:tcPr>
            <w:tcW w:w="635" w:type="pct"/>
            <w:tcBorders>
              <w:top w:val="single" w:color="auto" w:sz="4" w:space="0"/>
              <w:left w:val="single" w:color="000000" w:sz="4" w:space="0"/>
              <w:bottom w:val="single" w:color="000000" w:sz="4" w:space="0"/>
              <w:right w:val="single" w:color="auto" w:sz="4" w:space="0"/>
            </w:tcBorders>
            <w:shd w:val="clear" w:color="auto" w:fill="auto"/>
            <w:vAlign w:val="center"/>
          </w:tcPr>
          <w:p w14:paraId="2143FAE9">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2024年4月9日</w:t>
            </w:r>
          </w:p>
        </w:tc>
        <w:tc>
          <w:tcPr>
            <w:tcW w:w="2627" w:type="pct"/>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31B104C7">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val="en-US" w:eastAsia="zh-CN"/>
              </w:rPr>
            </w:pPr>
          </w:p>
        </w:tc>
      </w:tr>
      <w:tr w14:paraId="58221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15" w:type="pct"/>
            <w:vMerge w:val="continue"/>
            <w:tcBorders>
              <w:left w:val="single" w:color="000000" w:sz="4" w:space="0"/>
              <w:right w:val="single" w:color="000000" w:sz="4" w:space="0"/>
            </w:tcBorders>
            <w:shd w:val="clear" w:color="auto" w:fill="auto"/>
            <w:vAlign w:val="center"/>
          </w:tcPr>
          <w:p w14:paraId="69F5DE0B">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45D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2400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B64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2400</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4D9E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2024年4月18日</w:t>
            </w:r>
          </w:p>
        </w:tc>
        <w:tc>
          <w:tcPr>
            <w:tcW w:w="2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CCD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根据《青岛市标杆孵化器管理办法》（青科规〔2022〕3号）规定，“对评定为标杆孵化器的单位，引领型标杆孵化器支持股权投资资金600万元，成长型标杆孵化器支持股权投资资金400万元”。2023年评定标杆孵化器6家，全部是成长型。6家成长型股权投资资金400*6=2400万元，共计2400万元。</w:t>
            </w:r>
          </w:p>
        </w:tc>
      </w:tr>
      <w:tr w14:paraId="56823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C9836">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2025年</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4955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lang w:val="en-US" w:eastAsia="zh-CN"/>
              </w:rPr>
              <w:t>2400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942A">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2400</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B2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2025</w:t>
            </w:r>
            <w:r>
              <w:rPr>
                <w:rFonts w:hint="eastAsia" w:ascii="Times New Roman" w:hAnsi="Times New Roman" w:eastAsia="仿宋_GB2312" w:cs="Times New Roman"/>
                <w:i w:val="0"/>
                <w:iCs w:val="0"/>
                <w:color w:val="000000"/>
                <w:sz w:val="21"/>
                <w:szCs w:val="21"/>
                <w:u w:val="none"/>
                <w:lang w:val="en-US" w:eastAsia="zh-CN"/>
              </w:rPr>
              <w:t>年</w:t>
            </w:r>
            <w:r>
              <w:rPr>
                <w:rFonts w:hint="eastAsia" w:ascii="仿宋_GB2312" w:hAnsi="仿宋_GB2312" w:eastAsia="仿宋_GB2312" w:cs="仿宋_GB2312"/>
                <w:i w:val="0"/>
                <w:iCs w:val="0"/>
                <w:color w:val="000000"/>
                <w:sz w:val="21"/>
                <w:szCs w:val="21"/>
                <w:u w:val="none"/>
                <w:lang w:val="en-US" w:eastAsia="zh-CN"/>
              </w:rPr>
              <w:t>12</w:t>
            </w:r>
            <w:r>
              <w:rPr>
                <w:rFonts w:hint="eastAsia" w:ascii="Times New Roman" w:hAnsi="Times New Roman" w:eastAsia="仿宋_GB2312" w:cs="Times New Roman"/>
                <w:i w:val="0"/>
                <w:iCs w:val="0"/>
                <w:color w:val="000000"/>
                <w:sz w:val="21"/>
                <w:szCs w:val="21"/>
                <w:u w:val="none"/>
                <w:lang w:val="en-US" w:eastAsia="zh-CN"/>
              </w:rPr>
              <w:t>月</w:t>
            </w:r>
            <w:r>
              <w:rPr>
                <w:rFonts w:hint="eastAsia" w:ascii="仿宋_GB2312" w:hAnsi="仿宋_GB2312" w:eastAsia="仿宋_GB2312" w:cs="仿宋_GB2312"/>
                <w:i w:val="0"/>
                <w:iCs w:val="0"/>
                <w:color w:val="000000"/>
                <w:sz w:val="21"/>
                <w:szCs w:val="21"/>
                <w:u w:val="none"/>
                <w:lang w:val="en-US" w:eastAsia="zh-CN"/>
              </w:rPr>
              <w:t>22</w:t>
            </w:r>
            <w:r>
              <w:rPr>
                <w:rFonts w:hint="eastAsia" w:ascii="Times New Roman" w:hAnsi="Times New Roman" w:eastAsia="仿宋_GB2312" w:cs="Times New Roman"/>
                <w:i w:val="0"/>
                <w:iCs w:val="0"/>
                <w:color w:val="000000"/>
                <w:sz w:val="21"/>
                <w:szCs w:val="21"/>
                <w:u w:val="none"/>
                <w:lang w:val="en-US" w:eastAsia="zh-CN"/>
              </w:rPr>
              <w:t>日</w:t>
            </w:r>
          </w:p>
        </w:tc>
        <w:tc>
          <w:tcPr>
            <w:tcW w:w="2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6F22">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因政策原因，标杆孵化器评定工作难以有效开展。根据《青岛市深化科技成果转化创新改革十条措施》（青政办字〔2024〕53号）：“优化科技创业孵化股权投资资金支持政策，对进驻大学科技园、科技企业孵化器、概念验证平台等早期成果转化项目，采取先投后股、股权直投、赋能基金等方式予以支持”，将预算2400万元调整为“科技创业孵化股权投资资金”。</w:t>
            </w:r>
          </w:p>
        </w:tc>
      </w:tr>
      <w:tr w14:paraId="616C7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B1B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sz w:val="21"/>
                <w:szCs w:val="21"/>
                <w:u w:val="none"/>
                <w:lang w:val="en-US" w:eastAsia="zh-CN"/>
              </w:rPr>
              <w:t>合计</w:t>
            </w:r>
          </w:p>
        </w:tc>
        <w:tc>
          <w:tcPr>
            <w:tcW w:w="5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B3B4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sz w:val="21"/>
                <w:szCs w:val="21"/>
                <w:u w:val="none"/>
                <w:lang w:val="en-US" w:eastAsia="zh-CN"/>
              </w:rPr>
              <w:t>8400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4FC8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lang w:val="en-US" w:eastAsia="zh-CN"/>
              </w:rPr>
            </w:pPr>
            <w:r>
              <w:rPr>
                <w:rFonts w:hint="eastAsia" w:ascii="仿宋_GB2312" w:hAnsi="仿宋_GB2312" w:eastAsia="仿宋_GB2312" w:cs="仿宋_GB2312"/>
                <w:b/>
                <w:bCs/>
                <w:i w:val="0"/>
                <w:iCs w:val="0"/>
                <w:color w:val="000000"/>
                <w:sz w:val="21"/>
                <w:szCs w:val="21"/>
                <w:u w:val="none"/>
                <w:lang w:val="en-US" w:eastAsia="zh-CN"/>
              </w:rPr>
              <w:t>8400</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11DF">
            <w:pPr>
              <w:keepNext w:val="0"/>
              <w:keepLines w:val="0"/>
              <w:widowControl/>
              <w:suppressLineNumbers w:val="0"/>
              <w:jc w:val="center"/>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w:t>
            </w:r>
          </w:p>
        </w:tc>
        <w:tc>
          <w:tcPr>
            <w:tcW w:w="2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EB7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sz w:val="21"/>
                <w:szCs w:val="21"/>
                <w:u w:val="none"/>
                <w:lang w:val="en-US" w:eastAsia="zh-CN"/>
              </w:rPr>
              <w:t>-</w:t>
            </w:r>
          </w:p>
        </w:tc>
      </w:tr>
    </w:tbl>
    <w:p w14:paraId="79194F71">
      <w:pPr>
        <w:pStyle w:val="3"/>
        <w:pageBreakBefore w:val="0"/>
        <w:kinsoku/>
        <w:wordWrap/>
        <w:overflowPunct/>
        <w:topLinePunct w:val="0"/>
        <w:autoSpaceDE/>
        <w:autoSpaceDN/>
        <w:bidi w:val="0"/>
        <w:adjustRightInd/>
        <w:snapToGrid/>
        <w:spacing w:before="0" w:after="0" w:line="560" w:lineRule="exact"/>
        <w:ind w:firstLine="640"/>
        <w:textAlignment w:val="auto"/>
      </w:pPr>
      <w:bookmarkStart w:id="9" w:name="_Toc31269"/>
      <w:r>
        <w:rPr>
          <w:rFonts w:hint="eastAsia"/>
        </w:rPr>
        <w:t>（二）政策绩效目标</w:t>
      </w:r>
      <w:bookmarkEnd w:id="8"/>
      <w:bookmarkEnd w:id="9"/>
    </w:p>
    <w:p w14:paraId="46615E3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1.总体目标</w:t>
      </w:r>
    </w:p>
    <w:p w14:paraId="6C0532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青岛市人民政府关于实施财政资金股权投资改革试点有关事宜的通知》（青政字〔2020〕29号）、《青岛市实施“硕果计划”加快促进科技成果转移转化的若干政策措施》（青政字〔2022〕21号）等要求，梳理总体目标如下：</w:t>
      </w:r>
    </w:p>
    <w:p w14:paraId="6356944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创新财政资金投入方式，深化财政科技资金“拨改投”改革，发挥财政资金引导、放大作用，鼓励投早、投小、投科技。通过设立科技创业孵化股权投资资金，以股权投资赋能科技企业孵化器、科技园区、产业链专业园区建设，强化孵化器培育科技企业功能，破解科技型中小微企业融资难题，支持科技成果项目中试、工程化和产业化，促进科技团队创办科技企业，加速科技成果向现实生产力转化。</w:t>
      </w:r>
    </w:p>
    <w:p w14:paraId="07E5D34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2.年度目标</w:t>
      </w:r>
    </w:p>
    <w:p w14:paraId="3FDE89C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eastAsia="zh-CN" w:bidi="ar"/>
        </w:rPr>
      </w:pPr>
      <w:r>
        <w:rPr>
          <w:rFonts w:hint="eastAsia" w:ascii="仿宋_GB2312" w:hAnsi="仿宋_GB2312" w:eastAsia="仿宋_GB2312" w:cs="仿宋_GB2312"/>
          <w:color w:val="000000"/>
          <w:kern w:val="0"/>
          <w:sz w:val="32"/>
          <w:szCs w:val="32"/>
          <w:lang w:bidi="ar"/>
        </w:rPr>
        <w:t>根据项目</w:t>
      </w:r>
      <w:r>
        <w:rPr>
          <w:rFonts w:hint="eastAsia" w:ascii="仿宋_GB2312" w:hAnsi="仿宋_GB2312" w:eastAsia="仿宋_GB2312" w:cs="仿宋_GB2312"/>
          <w:color w:val="000000"/>
          <w:kern w:val="0"/>
          <w:sz w:val="32"/>
          <w:szCs w:val="32"/>
          <w:lang w:val="en-US" w:eastAsia="zh-CN" w:bidi="ar"/>
        </w:rPr>
        <w:t>政策文件、</w:t>
      </w:r>
      <w:r>
        <w:rPr>
          <w:rFonts w:hint="eastAsia" w:ascii="仿宋_GB2312" w:hAnsi="仿宋_GB2312" w:eastAsia="仿宋_GB2312" w:cs="仿宋_GB2312"/>
          <w:color w:val="000000"/>
          <w:kern w:val="0"/>
          <w:sz w:val="32"/>
          <w:szCs w:val="32"/>
          <w:lang w:bidi="ar"/>
        </w:rPr>
        <w:t>绩效目标</w:t>
      </w:r>
      <w:r>
        <w:rPr>
          <w:rFonts w:hint="eastAsia" w:ascii="仿宋_GB2312" w:hAnsi="仿宋_GB2312" w:eastAsia="仿宋_GB2312" w:cs="仿宋_GB2312"/>
          <w:color w:val="000000"/>
          <w:kern w:val="0"/>
          <w:sz w:val="32"/>
          <w:szCs w:val="32"/>
          <w:lang w:val="en-US" w:eastAsia="zh-CN" w:bidi="ar"/>
        </w:rPr>
        <w:t>表</w:t>
      </w:r>
      <w:r>
        <w:rPr>
          <w:rFonts w:hint="eastAsia" w:ascii="仿宋_GB2312" w:hAnsi="仿宋_GB2312" w:eastAsia="仿宋_GB2312" w:cs="仿宋_GB2312"/>
          <w:color w:val="000000"/>
          <w:kern w:val="0"/>
          <w:sz w:val="32"/>
          <w:szCs w:val="32"/>
          <w:lang w:bidi="ar"/>
        </w:rPr>
        <w:t>，梳理</w:t>
      </w:r>
      <w:r>
        <w:rPr>
          <w:rFonts w:hint="eastAsia" w:ascii="仿宋_GB2312" w:hAnsi="仿宋_GB2312" w:eastAsia="仿宋_GB2312" w:cs="仿宋_GB2312"/>
          <w:color w:val="000000"/>
          <w:kern w:val="0"/>
          <w:sz w:val="32"/>
          <w:szCs w:val="32"/>
          <w:lang w:eastAsia="zh-CN" w:bidi="ar"/>
        </w:rPr>
        <w:t>科技创业孵化股权投资资金</w:t>
      </w:r>
      <w:r>
        <w:rPr>
          <w:rFonts w:hint="eastAsia" w:ascii="仿宋_GB2312" w:hAnsi="仿宋_GB2312" w:eastAsia="仿宋_GB2312" w:cs="仿宋_GB2312"/>
          <w:color w:val="000000"/>
          <w:kern w:val="0"/>
          <w:sz w:val="32"/>
          <w:szCs w:val="32"/>
          <w:lang w:bidi="ar"/>
        </w:rPr>
        <w:t>政策年度目标如下</w:t>
      </w:r>
      <w:r>
        <w:rPr>
          <w:rFonts w:hint="eastAsia" w:ascii="仿宋_GB2312" w:hAnsi="仿宋_GB2312" w:eastAsia="仿宋_GB2312" w:cs="仿宋_GB2312"/>
          <w:color w:val="000000"/>
          <w:kern w:val="0"/>
          <w:sz w:val="32"/>
          <w:szCs w:val="32"/>
          <w:lang w:eastAsia="zh-CN" w:bidi="ar"/>
        </w:rPr>
        <w:t>：</w:t>
      </w:r>
    </w:p>
    <w:p w14:paraId="44AEE9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Regular" w:hAnsi="Times New Roman Regular" w:eastAsia="仿宋_GB2312" w:cs="Times New Roman Regular"/>
          <w:sz w:val="32"/>
          <w:szCs w:val="40"/>
        </w:rPr>
      </w:pPr>
      <w:r>
        <w:rPr>
          <w:rFonts w:hint="eastAsia" w:ascii="仿宋_GB2312" w:hAnsi="仿宋_GB2312" w:eastAsia="仿宋_GB2312" w:cs="仿宋_GB2312"/>
          <w:sz w:val="32"/>
          <w:szCs w:val="40"/>
        </w:rPr>
        <w:t>2023—2025年，通过“股权直投+参股赋能基金”模式，投资进度达</w:t>
      </w:r>
      <w:r>
        <w:rPr>
          <w:rFonts w:hint="eastAsia" w:ascii="仿宋_GB2312" w:hAnsi="仿宋_GB2312" w:eastAsia="仿宋_GB2312" w:cs="仿宋_GB2312"/>
          <w:sz w:val="32"/>
          <w:szCs w:val="40"/>
          <w:lang w:val="en-US" w:eastAsia="zh-CN"/>
        </w:rPr>
        <w:t>到8</w:t>
      </w:r>
      <w:r>
        <w:rPr>
          <w:rFonts w:hint="eastAsia" w:ascii="仿宋_GB2312" w:hAnsi="仿宋_GB2312" w:eastAsia="仿宋_GB2312" w:cs="仿宋_GB2312"/>
          <w:sz w:val="32"/>
          <w:szCs w:val="40"/>
        </w:rPr>
        <w:t>0%</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投资项目符合政策要求的投资方向，</w:t>
      </w:r>
      <w:r>
        <w:rPr>
          <w:rFonts w:hint="eastAsia" w:ascii="仿宋_GB2312" w:hAnsi="仿宋_GB2312" w:eastAsia="仿宋_GB2312" w:cs="仿宋_GB2312"/>
          <w:sz w:val="32"/>
          <w:szCs w:val="40"/>
        </w:rPr>
        <w:t>初创期企业投资占比≥70%，赋能基金</w:t>
      </w:r>
      <w:r>
        <w:rPr>
          <w:rFonts w:hint="eastAsia" w:ascii="仿宋_GB2312" w:hAnsi="仿宋_GB2312" w:eastAsia="仿宋_GB2312" w:cs="仿宋_GB2312"/>
          <w:sz w:val="32"/>
          <w:szCs w:val="40"/>
          <w:lang w:val="en-US" w:eastAsia="zh-CN"/>
        </w:rPr>
        <w:t>返投</w:t>
      </w:r>
      <w:r>
        <w:rPr>
          <w:rFonts w:hint="eastAsia" w:ascii="仿宋_GB2312" w:hAnsi="仿宋_GB2312" w:eastAsia="仿宋_GB2312" w:cs="仿宋_GB2312"/>
          <w:sz w:val="32"/>
          <w:szCs w:val="40"/>
        </w:rPr>
        <w:t>倍数≥1.1倍。</w:t>
      </w:r>
      <w:r>
        <w:rPr>
          <w:rFonts w:hint="eastAsia" w:ascii="仿宋_GB2312" w:hAnsi="仿宋_GB2312" w:eastAsia="仿宋_GB2312" w:cs="仿宋_GB2312"/>
          <w:sz w:val="32"/>
          <w:szCs w:val="40"/>
          <w:lang w:val="en-US" w:eastAsia="zh-CN"/>
        </w:rPr>
        <w:t>加大</w:t>
      </w:r>
      <w:r>
        <w:rPr>
          <w:rFonts w:hint="eastAsia" w:ascii="仿宋_GB2312" w:hAnsi="仿宋_GB2312" w:eastAsia="仿宋_GB2312" w:cs="仿宋_GB2312"/>
          <w:sz w:val="32"/>
          <w:szCs w:val="40"/>
        </w:rPr>
        <w:t>被投企业研发投入</w:t>
      </w:r>
      <w:r>
        <w:rPr>
          <w:rFonts w:hint="eastAsia" w:ascii="仿宋_GB2312" w:hAnsi="仿宋_GB2312" w:eastAsia="仿宋_GB2312" w:cs="仿宋_GB2312"/>
          <w:sz w:val="32"/>
          <w:szCs w:val="40"/>
          <w:lang w:val="en-US" w:eastAsia="zh-CN"/>
        </w:rPr>
        <w:t>力度</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推进</w:t>
      </w:r>
      <w:r>
        <w:rPr>
          <w:rFonts w:hint="eastAsia" w:ascii="仿宋_GB2312" w:hAnsi="仿宋_GB2312" w:eastAsia="仿宋_GB2312" w:cs="仿宋_GB2312"/>
          <w:sz w:val="32"/>
          <w:szCs w:val="40"/>
          <w:lang w:eastAsia="zh-CN"/>
        </w:rPr>
        <w:t>科技成果项目</w:t>
      </w:r>
      <w:r>
        <w:rPr>
          <w:rFonts w:hint="eastAsia" w:ascii="仿宋_GB2312" w:hAnsi="仿宋_GB2312" w:eastAsia="仿宋_GB2312" w:cs="仿宋_GB2312"/>
          <w:sz w:val="32"/>
          <w:szCs w:val="40"/>
          <w:lang w:val="en-US" w:eastAsia="zh-CN"/>
        </w:rPr>
        <w:t>实现</w:t>
      </w:r>
      <w:r>
        <w:rPr>
          <w:rFonts w:hint="eastAsia" w:ascii="仿宋_GB2312" w:hAnsi="仿宋_GB2312" w:eastAsia="仿宋_GB2312" w:cs="仿宋_GB2312"/>
          <w:sz w:val="32"/>
          <w:szCs w:val="40"/>
          <w:lang w:eastAsia="zh-CN"/>
        </w:rPr>
        <w:t>中试、工程化和产业化，</w:t>
      </w:r>
      <w:r>
        <w:rPr>
          <w:rFonts w:hint="eastAsia" w:ascii="仿宋_GB2312" w:hAnsi="仿宋_GB2312" w:eastAsia="仿宋_GB2312" w:cs="仿宋_GB2312"/>
          <w:sz w:val="32"/>
          <w:szCs w:val="40"/>
        </w:rPr>
        <w:t>加快科技成果转化落地。健全长效管控与资金可持续运行机制，保障项目规范化管理与长效平稳运行</w:t>
      </w:r>
      <w:r>
        <w:rPr>
          <w:rFonts w:hint="eastAsia" w:ascii="仿宋_GB2312" w:hAnsi="仿宋_GB2312" w:eastAsia="仿宋_GB2312" w:cs="仿宋_GB2312"/>
          <w:sz w:val="32"/>
          <w:szCs w:val="32"/>
        </w:rPr>
        <w:t>。</w:t>
      </w:r>
    </w:p>
    <w:p w14:paraId="2CEF9C8B">
      <w:pPr>
        <w:pStyle w:val="2"/>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ascii="Calibri" w:hAnsi="Calibri" w:cs="Times New Roman"/>
          <w:sz w:val="32"/>
          <w:szCs w:val="32"/>
        </w:rPr>
      </w:pPr>
      <w:bookmarkStart w:id="10" w:name="_Toc2021135966"/>
      <w:bookmarkStart w:id="11" w:name="_Toc14923"/>
      <w:r>
        <w:rPr>
          <w:rFonts w:hint="eastAsia" w:ascii="Calibri" w:hAnsi="Calibri" w:cs="Times New Roman"/>
          <w:sz w:val="32"/>
          <w:szCs w:val="32"/>
        </w:rPr>
        <w:t>二、绩效评价工作开展情况</w:t>
      </w:r>
      <w:bookmarkEnd w:id="10"/>
      <w:bookmarkEnd w:id="11"/>
    </w:p>
    <w:p w14:paraId="4B3ECF5D">
      <w:pPr>
        <w:pStyle w:val="3"/>
        <w:pageBreakBefore w:val="0"/>
        <w:kinsoku/>
        <w:wordWrap/>
        <w:overflowPunct/>
        <w:topLinePunct w:val="0"/>
        <w:autoSpaceDE/>
        <w:autoSpaceDN/>
        <w:bidi w:val="0"/>
        <w:adjustRightInd/>
        <w:snapToGrid/>
        <w:spacing w:before="0" w:after="0" w:line="560" w:lineRule="exact"/>
        <w:ind w:firstLine="640"/>
        <w:textAlignment w:val="auto"/>
      </w:pPr>
      <w:bookmarkStart w:id="12" w:name="_Toc335852316"/>
      <w:bookmarkStart w:id="13" w:name="_Toc18602"/>
      <w:r>
        <w:rPr>
          <w:rFonts w:hint="eastAsia"/>
        </w:rPr>
        <w:t>（一）评价目的、评价对象和范围</w:t>
      </w:r>
      <w:bookmarkEnd w:id="12"/>
      <w:bookmarkEnd w:id="13"/>
    </w:p>
    <w:p w14:paraId="60D88B67">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1.评价目的</w:t>
      </w:r>
    </w:p>
    <w:p w14:paraId="30DEA9A2">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为全面、科学评估</w:t>
      </w:r>
      <w:r>
        <w:rPr>
          <w:rFonts w:hint="eastAsia" w:ascii="仿宋_GB2312" w:hAnsi="仿宋_GB2312" w:eastAsia="仿宋_GB2312" w:cs="仿宋_GB2312"/>
          <w:sz w:val="32"/>
          <w:szCs w:val="40"/>
          <w:lang w:eastAsia="zh-CN"/>
        </w:rPr>
        <w:t>科技创业孵化股权投资资金</w:t>
      </w:r>
      <w:r>
        <w:rPr>
          <w:rFonts w:hint="eastAsia" w:ascii="仿宋_GB2312" w:hAnsi="仿宋_GB2312" w:eastAsia="仿宋_GB2312" w:cs="仿宋_GB2312"/>
          <w:sz w:val="32"/>
          <w:szCs w:val="40"/>
        </w:rPr>
        <w:t>政策的实施成效，强化财政资金绩效管理，评价组采取书面评审与现场核验相结合的方式，首先对市</w:t>
      </w:r>
      <w:r>
        <w:rPr>
          <w:rFonts w:hint="eastAsia" w:ascii="仿宋_GB2312" w:hAnsi="仿宋_GB2312" w:eastAsia="仿宋_GB2312" w:cs="仿宋_GB2312"/>
          <w:sz w:val="32"/>
          <w:szCs w:val="40"/>
          <w:lang w:eastAsia="zh-CN"/>
        </w:rPr>
        <w:t>科技局</w:t>
      </w:r>
      <w:r>
        <w:rPr>
          <w:rFonts w:hint="eastAsia" w:ascii="仿宋_GB2312" w:hAnsi="仿宋_GB2312" w:eastAsia="仿宋_GB2312" w:cs="仿宋_GB2312"/>
          <w:sz w:val="32"/>
          <w:szCs w:val="40"/>
          <w:lang w:val="en-US" w:eastAsia="zh-CN"/>
        </w:rPr>
        <w:t>和财通集团</w:t>
      </w:r>
      <w:r>
        <w:rPr>
          <w:rFonts w:hint="eastAsia" w:ascii="仿宋_GB2312" w:hAnsi="仿宋_GB2312" w:eastAsia="仿宋_GB2312" w:cs="仿宋_GB2312"/>
          <w:sz w:val="32"/>
          <w:szCs w:val="40"/>
        </w:rPr>
        <w:t>提交的资金拨付凭证、股权投资台账、项目尽调报告、投后管理档案</w:t>
      </w:r>
      <w:r>
        <w:rPr>
          <w:rFonts w:hint="eastAsia" w:ascii="仿宋_GB2312" w:hAnsi="仿宋_GB2312" w:eastAsia="仿宋_GB2312" w:cs="仿宋_GB2312"/>
          <w:sz w:val="32"/>
          <w:szCs w:val="40"/>
          <w:lang w:eastAsia="zh-CN"/>
        </w:rPr>
        <w:t>等资料</w:t>
      </w:r>
      <w:r>
        <w:rPr>
          <w:rFonts w:hint="eastAsia" w:ascii="仿宋_GB2312" w:hAnsi="仿宋_GB2312" w:eastAsia="仿宋_GB2312" w:cs="仿宋_GB2312"/>
          <w:sz w:val="32"/>
          <w:szCs w:val="40"/>
        </w:rPr>
        <w:t>进行全面审查；同时对</w:t>
      </w:r>
      <w:r>
        <w:rPr>
          <w:rFonts w:hint="eastAsia" w:ascii="仿宋_GB2312" w:hAnsi="仿宋_GB2312" w:eastAsia="仿宋_GB2312" w:cs="仿宋_GB2312"/>
          <w:sz w:val="32"/>
          <w:szCs w:val="40"/>
          <w:lang w:val="en-US" w:eastAsia="zh-CN"/>
        </w:rPr>
        <w:t>财通集团、基金管理机构以及被投资企业</w:t>
      </w:r>
      <w:r>
        <w:rPr>
          <w:rFonts w:hint="eastAsia" w:ascii="仿宋_GB2312" w:hAnsi="仿宋_GB2312" w:eastAsia="仿宋_GB2312" w:cs="仿宋_GB2312"/>
          <w:sz w:val="32"/>
          <w:szCs w:val="40"/>
        </w:rPr>
        <w:t>等进行实地走访，通过访谈、数据核对等方式，</w:t>
      </w:r>
      <w:r>
        <w:rPr>
          <w:rFonts w:hint="eastAsia" w:ascii="仿宋_GB2312" w:hAnsi="仿宋_GB2312" w:eastAsia="仿宋_GB2312" w:cs="仿宋_GB2312"/>
          <w:sz w:val="32"/>
          <w:szCs w:val="40"/>
          <w:lang w:eastAsia="zh-CN"/>
        </w:rPr>
        <w:t>核实</w:t>
      </w:r>
      <w:r>
        <w:rPr>
          <w:rFonts w:hint="eastAsia" w:ascii="仿宋_GB2312" w:hAnsi="仿宋_GB2312" w:eastAsia="仿宋_GB2312" w:cs="仿宋_GB2312"/>
          <w:sz w:val="32"/>
          <w:szCs w:val="40"/>
        </w:rPr>
        <w:t>股权投资落地、企业孵化培育及政策落地成效等</w:t>
      </w:r>
      <w:r>
        <w:rPr>
          <w:rFonts w:hint="eastAsia" w:ascii="仿宋_GB2312" w:hAnsi="仿宋_GB2312" w:eastAsia="仿宋_GB2312" w:cs="仿宋_GB2312"/>
          <w:sz w:val="32"/>
          <w:szCs w:val="40"/>
          <w:lang w:val="en-US" w:eastAsia="zh-CN"/>
        </w:rPr>
        <w:t>情况</w:t>
      </w:r>
      <w:r>
        <w:rPr>
          <w:rFonts w:hint="eastAsia" w:ascii="仿宋_GB2312" w:hAnsi="仿宋_GB2312" w:eastAsia="仿宋_GB2312" w:cs="仿宋_GB2312"/>
          <w:sz w:val="32"/>
          <w:szCs w:val="40"/>
        </w:rPr>
        <w:t>。评估政策内容的合理性、适配性及落地实效性，核查政策实施是否达成培育科创企业、赋能科技成果转化的预期目标，为后续政策延续、优化调整及完善长效机制提供客观依据和决策参考。</w:t>
      </w:r>
    </w:p>
    <w:p w14:paraId="713F10BB">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2.评价对象</w:t>
      </w:r>
    </w:p>
    <w:p w14:paraId="49C0C755">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针对</w:t>
      </w:r>
      <w:r>
        <w:rPr>
          <w:rFonts w:hint="eastAsia" w:ascii="仿宋_GB2312" w:hAnsi="仿宋_GB2312" w:eastAsia="仿宋_GB2312" w:cs="仿宋_GB2312"/>
          <w:sz w:val="32"/>
          <w:szCs w:val="40"/>
          <w:lang w:val="en-US" w:eastAsia="zh-CN"/>
        </w:rPr>
        <w:t>2023—2025年科技创业孵化股权投资资金预算8400万元</w:t>
      </w:r>
      <w:r>
        <w:rPr>
          <w:rFonts w:hint="eastAsia" w:ascii="仿宋_GB2312" w:hAnsi="仿宋_GB2312" w:eastAsia="仿宋_GB2312" w:cs="仿宋_GB2312"/>
          <w:sz w:val="32"/>
          <w:szCs w:val="40"/>
        </w:rPr>
        <w:t>及政策完成情况和效果开展绩效评价。</w:t>
      </w:r>
    </w:p>
    <w:p w14:paraId="5F0FC46E">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3.评价范围</w:t>
      </w:r>
    </w:p>
    <w:p w14:paraId="06E27619">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本次绩效评价周期为202</w:t>
      </w:r>
      <w:r>
        <w:rPr>
          <w:rFonts w:hint="eastAsia" w:ascii="仿宋_GB2312" w:hAnsi="仿宋_GB2312" w:eastAsia="仿宋_GB2312" w:cs="仿宋_GB2312"/>
          <w:sz w:val="32"/>
          <w:szCs w:val="40"/>
          <w:lang w:val="en-US" w:eastAsia="zh-CN"/>
        </w:rPr>
        <w:t>3</w:t>
      </w:r>
      <w:r>
        <w:rPr>
          <w:rFonts w:hint="eastAsia" w:ascii="仿宋_GB2312" w:hAnsi="仿宋_GB2312" w:eastAsia="仿宋_GB2312" w:cs="仿宋_GB2312"/>
          <w:sz w:val="32"/>
          <w:szCs w:val="40"/>
        </w:rPr>
        <w:t>年1月1日至202</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年12月31日。本次评价主体为市</w:t>
      </w:r>
      <w:r>
        <w:rPr>
          <w:rFonts w:hint="eastAsia" w:ascii="仿宋_GB2312" w:hAnsi="仿宋_GB2312" w:eastAsia="仿宋_GB2312" w:cs="仿宋_GB2312"/>
          <w:sz w:val="32"/>
          <w:szCs w:val="40"/>
          <w:lang w:eastAsia="zh-CN"/>
        </w:rPr>
        <w:t>科技局、</w:t>
      </w:r>
      <w:r>
        <w:rPr>
          <w:rFonts w:hint="eastAsia" w:ascii="仿宋_GB2312" w:hAnsi="仿宋_GB2312" w:eastAsia="仿宋_GB2312" w:cs="仿宋_GB2312"/>
          <w:sz w:val="32"/>
          <w:szCs w:val="40"/>
          <w:lang w:val="en-US" w:eastAsia="zh-CN"/>
        </w:rPr>
        <w:t>青岛财通集团</w:t>
      </w:r>
      <w:r>
        <w:rPr>
          <w:rFonts w:hint="eastAsia" w:ascii="仿宋_GB2312" w:hAnsi="仿宋_GB2312" w:eastAsia="仿宋_GB2312" w:cs="仿宋_GB2312"/>
          <w:sz w:val="32"/>
          <w:szCs w:val="40"/>
        </w:rPr>
        <w:t>，重点评估其政策执行与资金管理效能。</w:t>
      </w:r>
    </w:p>
    <w:p w14:paraId="46DB27E8">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sz w:val="32"/>
          <w:szCs w:val="40"/>
          <w:highlight w:val="none"/>
          <w:lang w:val="en-US" w:eastAsia="zh-CN"/>
        </w:rPr>
      </w:pPr>
      <w:r>
        <w:rPr>
          <w:rFonts w:hint="eastAsia" w:ascii="仿宋_GB2312" w:hAnsi="仿宋_GB2312" w:eastAsia="仿宋_GB2312" w:cs="仿宋_GB2312"/>
          <w:sz w:val="32"/>
          <w:szCs w:val="40"/>
          <w:highlight w:val="none"/>
          <w:lang w:eastAsia="zh-CN"/>
        </w:rPr>
        <w:t>为全面客观掌握</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highlight w:val="none"/>
          <w:lang w:eastAsia="zh-CN"/>
        </w:rPr>
        <w:t>股权投资运作及科创企业培育整体情况，评价组结合基金投放规模、被投企业经营活力、孵化培育成效等多维度要素，采取实地走访调研、线上</w:t>
      </w:r>
      <w:r>
        <w:rPr>
          <w:rFonts w:hint="eastAsia" w:ascii="仿宋_GB2312" w:hAnsi="仿宋_GB2312" w:eastAsia="仿宋_GB2312" w:cs="仿宋_GB2312"/>
          <w:sz w:val="32"/>
          <w:szCs w:val="40"/>
          <w:highlight w:val="none"/>
          <w:lang w:val="en-US" w:eastAsia="zh-CN"/>
        </w:rPr>
        <w:t>访谈</w:t>
      </w:r>
      <w:r>
        <w:rPr>
          <w:rFonts w:hint="eastAsia" w:ascii="仿宋_GB2312" w:hAnsi="仿宋_GB2312" w:eastAsia="仿宋_GB2312" w:cs="仿宋_GB2312"/>
          <w:sz w:val="32"/>
          <w:szCs w:val="40"/>
          <w:highlight w:val="none"/>
          <w:lang w:eastAsia="zh-CN"/>
        </w:rPr>
        <w:t>沟通相结合的方式，实现被投企业评价</w:t>
      </w:r>
      <w:r>
        <w:rPr>
          <w:rFonts w:hint="eastAsia" w:ascii="仿宋_GB2312" w:hAnsi="仿宋_GB2312" w:eastAsia="仿宋_GB2312" w:cs="仿宋_GB2312"/>
          <w:sz w:val="32"/>
          <w:szCs w:val="40"/>
          <w:highlight w:val="none"/>
          <w:lang w:val="en-US" w:eastAsia="zh-CN"/>
        </w:rPr>
        <w:t>范围</w:t>
      </w:r>
      <w:r>
        <w:rPr>
          <w:rFonts w:hint="eastAsia" w:ascii="仿宋_GB2312" w:hAnsi="仿宋_GB2312" w:eastAsia="仿宋_GB2312" w:cs="仿宋_GB2312"/>
          <w:sz w:val="32"/>
          <w:szCs w:val="40"/>
          <w:highlight w:val="none"/>
          <w:lang w:eastAsia="zh-CN"/>
        </w:rPr>
        <w:t>全覆盖，能够充分反映</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highlight w:val="none"/>
          <w:lang w:eastAsia="zh-CN"/>
        </w:rPr>
        <w:t>政策股权投资</w:t>
      </w:r>
      <w:r>
        <w:rPr>
          <w:rFonts w:hint="eastAsia" w:ascii="仿宋_GB2312" w:hAnsi="仿宋_GB2312" w:eastAsia="仿宋_GB2312" w:cs="仿宋_GB2312"/>
          <w:sz w:val="32"/>
          <w:szCs w:val="40"/>
          <w:highlight w:val="none"/>
          <w:lang w:val="en-US" w:eastAsia="zh-CN"/>
        </w:rPr>
        <w:t>培育情况</w:t>
      </w:r>
      <w:r>
        <w:rPr>
          <w:rFonts w:hint="eastAsia" w:ascii="仿宋_GB2312" w:hAnsi="仿宋_GB2312" w:eastAsia="仿宋_GB2312" w:cs="仿宋_GB2312"/>
          <w:sz w:val="32"/>
          <w:szCs w:val="40"/>
          <w:highlight w:val="none"/>
          <w:lang w:eastAsia="zh-CN"/>
        </w:rPr>
        <w:t>与财政资金使用效益，为绩效评价提供详实、可靠的样本数据支撑。</w:t>
      </w:r>
    </w:p>
    <w:p w14:paraId="57246C8A">
      <w:pPr>
        <w:pStyle w:val="3"/>
        <w:pageBreakBefore w:val="0"/>
        <w:kinsoku/>
        <w:wordWrap/>
        <w:overflowPunct/>
        <w:topLinePunct w:val="0"/>
        <w:autoSpaceDE/>
        <w:autoSpaceDN/>
        <w:bidi w:val="0"/>
        <w:adjustRightInd/>
        <w:snapToGrid/>
        <w:spacing w:before="0" w:after="0" w:line="560" w:lineRule="exact"/>
        <w:ind w:firstLine="640"/>
        <w:textAlignment w:val="auto"/>
      </w:pPr>
      <w:bookmarkStart w:id="14" w:name="_Toc4233"/>
      <w:bookmarkStart w:id="15" w:name="_Toc1082850696"/>
      <w:r>
        <w:rPr>
          <w:rFonts w:hint="eastAsia"/>
        </w:rPr>
        <w:t>（二）评价思路、评价重点、评价指标体系和评价标准</w:t>
      </w:r>
      <w:bookmarkEnd w:id="14"/>
      <w:bookmarkEnd w:id="15"/>
    </w:p>
    <w:p w14:paraId="2E78AE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1.评价思路</w:t>
      </w:r>
    </w:p>
    <w:p w14:paraId="538D5A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lang w:eastAsia="zh-CN"/>
        </w:rPr>
        <w:t>本次评价以2023—2025年科技创业孵化股权投资资金为主线，全面核查</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highlight w:val="none"/>
          <w:lang w:eastAsia="zh-CN"/>
        </w:rPr>
        <w:t>政策</w:t>
      </w:r>
      <w:r>
        <w:rPr>
          <w:rFonts w:hint="eastAsia" w:ascii="仿宋_GB2312" w:hAnsi="仿宋_GB2312" w:eastAsia="仿宋_GB2312" w:cs="仿宋_GB2312"/>
          <w:sz w:val="32"/>
          <w:szCs w:val="40"/>
          <w:highlight w:val="none"/>
          <w:lang w:val="en-US" w:eastAsia="zh-CN"/>
        </w:rPr>
        <w:t>执行</w:t>
      </w:r>
      <w:r>
        <w:rPr>
          <w:rFonts w:hint="eastAsia" w:ascii="仿宋_GB2312" w:hAnsi="仿宋_GB2312" w:eastAsia="仿宋_GB2312" w:cs="仿宋_GB2312"/>
          <w:sz w:val="32"/>
          <w:szCs w:val="40"/>
          <w:highlight w:val="none"/>
          <w:lang w:eastAsia="zh-CN"/>
        </w:rPr>
        <w:t>全过程。结合</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highlight w:val="none"/>
          <w:lang w:eastAsia="zh-CN"/>
        </w:rPr>
        <w:t>孵化初创科技企业的政策特征，评价工作重点围绕资金产出、效益两大维度推进：产出层面重点核查</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highlight w:val="none"/>
          <w:lang w:eastAsia="zh-CN"/>
        </w:rPr>
        <w:t>投资投放完成率、获投企业政策符合</w:t>
      </w:r>
      <w:r>
        <w:rPr>
          <w:rFonts w:hint="eastAsia" w:ascii="仿宋_GB2312" w:hAnsi="仿宋_GB2312" w:eastAsia="仿宋_GB2312" w:cs="仿宋_GB2312"/>
          <w:sz w:val="32"/>
          <w:szCs w:val="40"/>
          <w:highlight w:val="none"/>
          <w:lang w:val="en-US" w:eastAsia="zh-CN"/>
        </w:rPr>
        <w:t>度</w:t>
      </w:r>
      <w:r>
        <w:rPr>
          <w:rFonts w:hint="eastAsia" w:ascii="仿宋_GB2312" w:hAnsi="仿宋_GB2312" w:eastAsia="仿宋_GB2312" w:cs="仿宋_GB2312"/>
          <w:sz w:val="32"/>
          <w:szCs w:val="40"/>
          <w:highlight w:val="none"/>
          <w:lang w:eastAsia="zh-CN"/>
        </w:rPr>
        <w:t>、投资</w:t>
      </w:r>
      <w:r>
        <w:rPr>
          <w:rFonts w:hint="eastAsia" w:ascii="仿宋_GB2312" w:hAnsi="仿宋_GB2312" w:eastAsia="仿宋_GB2312" w:cs="仿宋_GB2312"/>
          <w:sz w:val="32"/>
          <w:szCs w:val="40"/>
          <w:highlight w:val="none"/>
          <w:lang w:val="en-US" w:eastAsia="zh-CN"/>
        </w:rPr>
        <w:t>额度</w:t>
      </w:r>
      <w:r>
        <w:rPr>
          <w:rFonts w:hint="eastAsia" w:ascii="仿宋_GB2312" w:hAnsi="仿宋_GB2312" w:eastAsia="仿宋_GB2312" w:cs="仿宋_GB2312"/>
          <w:sz w:val="32"/>
          <w:szCs w:val="40"/>
          <w:highlight w:val="none"/>
          <w:lang w:eastAsia="zh-CN"/>
        </w:rPr>
        <w:t>规范落实情况等核心指标；效益层面</w:t>
      </w:r>
      <w:r>
        <w:rPr>
          <w:rFonts w:hint="eastAsia" w:ascii="仿宋_GB2312" w:hAnsi="仿宋_GB2312" w:eastAsia="仿宋_GB2312" w:cs="仿宋_GB2312"/>
          <w:sz w:val="32"/>
          <w:szCs w:val="40"/>
          <w:highlight w:val="none"/>
          <w:lang w:val="en-US" w:eastAsia="zh-CN"/>
        </w:rPr>
        <w:t>体现被投企业经济效益、研发投入强度及科技成果转化情况</w:t>
      </w:r>
      <w:r>
        <w:rPr>
          <w:rFonts w:hint="eastAsia" w:ascii="仿宋_GB2312" w:hAnsi="仿宋_GB2312" w:eastAsia="仿宋_GB2312" w:cs="仿宋_GB2312"/>
          <w:sz w:val="32"/>
          <w:szCs w:val="40"/>
          <w:highlight w:val="none"/>
          <w:lang w:eastAsia="zh-CN"/>
        </w:rPr>
        <w:t>。</w:t>
      </w:r>
    </w:p>
    <w:p w14:paraId="375ADE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2.评价重点</w:t>
      </w:r>
    </w:p>
    <w:p w14:paraId="1B7EBC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本次绩效评价紧扣</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rPr>
        <w:t>政策定位与实施实际，重点从政策合规、资金管理、投资运营、孵化赋能、综合效益等核心维度开展评价：一是评价财政资金拨付、</w:t>
      </w:r>
      <w:r>
        <w:rPr>
          <w:rFonts w:hint="eastAsia" w:ascii="仿宋_GB2312" w:hAnsi="仿宋_GB2312" w:eastAsia="仿宋_GB2312" w:cs="仿宋_GB2312"/>
          <w:sz w:val="32"/>
          <w:szCs w:val="40"/>
          <w:lang w:val="en-US" w:eastAsia="zh-CN"/>
        </w:rPr>
        <w:t>使用</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投资</w:t>
      </w:r>
      <w:r>
        <w:rPr>
          <w:rFonts w:hint="eastAsia" w:ascii="仿宋_GB2312" w:hAnsi="仿宋_GB2312" w:eastAsia="仿宋_GB2312" w:cs="仿宋_GB2312"/>
          <w:sz w:val="32"/>
          <w:szCs w:val="40"/>
        </w:rPr>
        <w:t>及受托机构运营管理的规范性；</w:t>
      </w:r>
      <w:r>
        <w:rPr>
          <w:rFonts w:hint="eastAsia" w:ascii="仿宋_GB2312" w:hAnsi="仿宋_GB2312" w:eastAsia="仿宋_GB2312" w:cs="仿宋_GB2312"/>
          <w:sz w:val="32"/>
          <w:szCs w:val="40"/>
          <w:lang w:val="en-US" w:eastAsia="zh-CN"/>
        </w:rPr>
        <w:t>二</w:t>
      </w:r>
      <w:r>
        <w:rPr>
          <w:rFonts w:hint="eastAsia" w:ascii="仿宋_GB2312" w:hAnsi="仿宋_GB2312" w:eastAsia="仿宋_GB2312" w:cs="仿宋_GB2312"/>
          <w:sz w:val="32"/>
          <w:szCs w:val="40"/>
        </w:rPr>
        <w:t>是对照投资标准，核查投资方向、企业类型、投资额度等</w:t>
      </w:r>
      <w:r>
        <w:rPr>
          <w:rFonts w:hint="eastAsia" w:ascii="仿宋_GB2312" w:hAnsi="仿宋_GB2312" w:eastAsia="仿宋_GB2312" w:cs="仿宋_GB2312"/>
          <w:sz w:val="32"/>
          <w:szCs w:val="40"/>
          <w:lang w:val="en-US" w:eastAsia="zh-CN"/>
        </w:rPr>
        <w:t>达标</w:t>
      </w:r>
      <w:r>
        <w:rPr>
          <w:rFonts w:hint="eastAsia" w:ascii="仿宋_GB2312" w:hAnsi="仿宋_GB2312" w:eastAsia="仿宋_GB2312" w:cs="仿宋_GB2312"/>
          <w:sz w:val="32"/>
          <w:szCs w:val="40"/>
        </w:rPr>
        <w:t>情况，研判项目合规性与投向匹配度；</w:t>
      </w:r>
      <w:r>
        <w:rPr>
          <w:rFonts w:hint="eastAsia" w:ascii="仿宋_GB2312" w:hAnsi="仿宋_GB2312" w:eastAsia="仿宋_GB2312" w:cs="仿宋_GB2312"/>
          <w:sz w:val="32"/>
          <w:szCs w:val="40"/>
          <w:lang w:val="en-US" w:eastAsia="zh-CN"/>
        </w:rPr>
        <w:t>三</w:t>
      </w:r>
      <w:r>
        <w:rPr>
          <w:rFonts w:hint="eastAsia" w:ascii="仿宋_GB2312" w:hAnsi="仿宋_GB2312" w:eastAsia="仿宋_GB2312" w:cs="仿宋_GB2312"/>
          <w:sz w:val="32"/>
          <w:szCs w:val="40"/>
        </w:rPr>
        <w:t>是评估股权投资对科技企业产品化落地、科技成果转化、经营成长的赋能效果</w:t>
      </w:r>
      <w:r>
        <w:rPr>
          <w:rFonts w:hint="eastAsia" w:ascii="仿宋_GB2312" w:hAnsi="仿宋_GB2312" w:eastAsia="仿宋_GB2312" w:cs="仿宋_GB2312"/>
          <w:sz w:val="32"/>
          <w:szCs w:val="40"/>
          <w:lang w:val="en-US" w:eastAsia="zh-CN"/>
        </w:rPr>
        <w:t>等</w:t>
      </w:r>
      <w:r>
        <w:rPr>
          <w:rFonts w:hint="eastAsia" w:ascii="仿宋_GB2312" w:hAnsi="仿宋_GB2312" w:eastAsia="仿宋_GB2312" w:cs="仿宋_GB2312"/>
          <w:sz w:val="32"/>
          <w:szCs w:val="40"/>
        </w:rPr>
        <w:t>。</w:t>
      </w:r>
    </w:p>
    <w:p w14:paraId="63C8F7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3.评价指标体系</w:t>
      </w:r>
    </w:p>
    <w:p w14:paraId="4D943C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32"/>
        </w:rPr>
        <w:t>绩效评价指标体系产出、效益指标权重按照不低于60%的原则设置，指标权重</w:t>
      </w:r>
      <w:r>
        <w:rPr>
          <w:rFonts w:hint="eastAsia" w:ascii="仿宋_GB2312" w:hAnsi="仿宋_GB2312" w:eastAsia="仿宋_GB2312" w:cs="仿宋_GB2312"/>
          <w:sz w:val="32"/>
          <w:szCs w:val="32"/>
          <w:lang w:val="en-US" w:eastAsia="zh-CN"/>
        </w:rPr>
        <w:t>设置</w:t>
      </w:r>
      <w:r>
        <w:rPr>
          <w:rFonts w:hint="eastAsia" w:ascii="仿宋_GB2312" w:hAnsi="仿宋_GB2312" w:eastAsia="仿宋_GB2312" w:cs="仿宋_GB2312"/>
          <w:sz w:val="32"/>
          <w:szCs w:val="32"/>
        </w:rPr>
        <w:t>政策</w:t>
      </w:r>
      <w:r>
        <w:rPr>
          <w:rFonts w:hint="eastAsia" w:ascii="仿宋_GB2312" w:hAnsi="仿宋_GB2312" w:eastAsia="仿宋_GB2312" w:cs="仿宋_GB2312"/>
          <w:sz w:val="32"/>
          <w:szCs w:val="32"/>
          <w:highlight w:val="none"/>
        </w:rPr>
        <w:t>制定指标</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0分、政策实施指标</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rPr>
        <w:t>分，政策效果指标</w:t>
      </w:r>
      <w:r>
        <w:rPr>
          <w:rFonts w:hint="eastAsia" w:ascii="仿宋_GB2312" w:hAnsi="仿宋_GB2312" w:eastAsia="仿宋_GB2312" w:cs="仿宋_GB2312"/>
          <w:sz w:val="32"/>
          <w:szCs w:val="32"/>
          <w:highlight w:val="none"/>
          <w:lang w:val="en-US" w:eastAsia="zh-CN"/>
        </w:rPr>
        <w:t>65</w:t>
      </w:r>
      <w:r>
        <w:rPr>
          <w:rFonts w:hint="eastAsia" w:ascii="仿宋_GB2312" w:hAnsi="仿宋_GB2312" w:eastAsia="仿宋_GB2312" w:cs="仿宋_GB2312"/>
          <w:sz w:val="32"/>
          <w:szCs w:val="32"/>
          <w:highlight w:val="none"/>
        </w:rPr>
        <w:t>分。评</w:t>
      </w:r>
      <w:r>
        <w:rPr>
          <w:rFonts w:hint="eastAsia" w:ascii="仿宋_GB2312" w:hAnsi="仿宋_GB2312" w:eastAsia="仿宋_GB2312" w:cs="仿宋_GB2312"/>
          <w:sz w:val="32"/>
          <w:szCs w:val="32"/>
        </w:rPr>
        <w:t>价指标体系详见附件1。</w:t>
      </w:r>
    </w:p>
    <w:p w14:paraId="691B45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4.评价标准</w:t>
      </w:r>
    </w:p>
    <w:p w14:paraId="7C0985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32"/>
        </w:rPr>
        <w:t>绩效评价结果采取评分和评级相结合的方式，总分设置为100分，等级划分为四档：90（含）-100分为优、80（含）-90分为良、60（含）-80分为中、60分以下为差。</w:t>
      </w:r>
    </w:p>
    <w:p w14:paraId="229D7808">
      <w:pPr>
        <w:pStyle w:val="3"/>
        <w:pageBreakBefore w:val="0"/>
        <w:kinsoku/>
        <w:wordWrap/>
        <w:overflowPunct/>
        <w:topLinePunct w:val="0"/>
        <w:autoSpaceDE/>
        <w:autoSpaceDN/>
        <w:bidi w:val="0"/>
        <w:adjustRightInd/>
        <w:snapToGrid/>
        <w:spacing w:before="0" w:after="0" w:line="560" w:lineRule="exact"/>
        <w:ind w:firstLine="640"/>
        <w:textAlignment w:val="auto"/>
      </w:pPr>
      <w:bookmarkStart w:id="16" w:name="_Toc423"/>
      <w:bookmarkStart w:id="17" w:name="_Toc1695222994"/>
      <w:r>
        <w:rPr>
          <w:rFonts w:hint="eastAsia"/>
        </w:rPr>
        <w:t>（三）评价组织实施与评价方法</w:t>
      </w:r>
      <w:bookmarkEnd w:id="16"/>
      <w:bookmarkEnd w:id="17"/>
    </w:p>
    <w:p w14:paraId="5AE678C1">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1.评价组织实施</w:t>
      </w:r>
    </w:p>
    <w:p w14:paraId="092D4E76">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Regular" w:eastAsia="仿宋_GB2312" w:cs="Times New Roman Regular"/>
          <w:kern w:val="0"/>
          <w:sz w:val="32"/>
          <w:szCs w:val="32"/>
        </w:rPr>
      </w:pPr>
      <w:bookmarkStart w:id="18" w:name="_Toc7178040"/>
      <w:r>
        <w:rPr>
          <w:rFonts w:hint="eastAsia" w:ascii="仿宋_GB2312" w:hAnsi="Times New Roman Regular" w:eastAsia="仿宋_GB2312" w:cs="Times New Roman Regular"/>
          <w:kern w:val="0"/>
          <w:sz w:val="32"/>
          <w:szCs w:val="32"/>
        </w:rPr>
        <w:t>绩效评价工作主要包括前期准备、制定评价实施方案、现场评价、撰写与提交绩效评价报告等内容。具体安排如下：</w:t>
      </w:r>
    </w:p>
    <w:p w14:paraId="138B4B0A">
      <w:pPr>
        <w:spacing w:line="600" w:lineRule="exact"/>
        <w:ind w:firstLine="482" w:firstLineChars="200"/>
        <w:jc w:val="center"/>
        <w:rPr>
          <w:rFonts w:hint="eastAsia" w:ascii="Times New Roman" w:hAnsi="Times New Roman" w:eastAsia="仿宋_GB2312" w:cstheme="minorBidi"/>
          <w:b/>
          <w:bCs/>
          <w:kern w:val="0"/>
          <w:sz w:val="24"/>
          <w:szCs w:val="24"/>
          <w:lang w:val="en-US" w:eastAsia="zh-CN" w:bidi="ar-SA"/>
        </w:rPr>
      </w:pPr>
      <w:r>
        <w:rPr>
          <w:rFonts w:hint="eastAsia" w:ascii="Times New Roman" w:hAnsi="Times New Roman" w:eastAsia="仿宋_GB2312" w:cstheme="minorBidi"/>
          <w:b/>
          <w:bCs/>
          <w:kern w:val="0"/>
          <w:sz w:val="24"/>
          <w:szCs w:val="24"/>
          <w:lang w:val="en-US" w:eastAsia="zh-CN" w:bidi="ar-SA"/>
        </w:rPr>
        <w:t>表</w:t>
      </w:r>
      <w:r>
        <w:rPr>
          <w:rFonts w:hint="eastAsia" w:ascii="仿宋_GB2312" w:hAnsi="仿宋_GB2312" w:eastAsia="仿宋_GB2312" w:cs="仿宋_GB2312"/>
          <w:b/>
          <w:bCs/>
          <w:kern w:val="0"/>
          <w:sz w:val="24"/>
          <w:szCs w:val="24"/>
          <w:lang w:val="en-US" w:eastAsia="zh-CN" w:bidi="ar-SA"/>
        </w:rPr>
        <w:t>2</w:t>
      </w:r>
      <w:r>
        <w:rPr>
          <w:rFonts w:hint="eastAsia" w:ascii="Times New Roman" w:hAnsi="Times New Roman" w:eastAsia="仿宋_GB2312" w:cstheme="minorBidi"/>
          <w:b/>
          <w:bCs/>
          <w:kern w:val="0"/>
          <w:sz w:val="24"/>
          <w:szCs w:val="24"/>
          <w:lang w:val="en-US" w:eastAsia="zh-CN" w:bidi="ar-SA"/>
        </w:rPr>
        <w:t>-</w:t>
      </w:r>
      <w:r>
        <w:rPr>
          <w:rFonts w:hint="eastAsia" w:ascii="仿宋_GB2312" w:hAnsi="仿宋_GB2312" w:eastAsia="仿宋_GB2312" w:cs="仿宋_GB2312"/>
          <w:b/>
          <w:bCs/>
          <w:kern w:val="0"/>
          <w:sz w:val="24"/>
          <w:szCs w:val="24"/>
          <w:lang w:val="en-US" w:eastAsia="zh-CN" w:bidi="ar-SA"/>
        </w:rPr>
        <w:t xml:space="preserve">1 </w:t>
      </w:r>
      <w:r>
        <w:rPr>
          <w:rFonts w:hint="eastAsia" w:ascii="Times New Roman" w:hAnsi="Times New Roman" w:eastAsia="仿宋_GB2312" w:cstheme="minorBidi"/>
          <w:b/>
          <w:bCs/>
          <w:kern w:val="0"/>
          <w:sz w:val="24"/>
          <w:szCs w:val="24"/>
          <w:lang w:val="en-US" w:eastAsia="zh-CN" w:bidi="ar-SA"/>
        </w:rPr>
        <w:t>评价实施进度及工作安排情况表</w:t>
      </w:r>
    </w:p>
    <w:tbl>
      <w:tblPr>
        <w:tblStyle w:val="18"/>
        <w:tblW w:w="4998" w:type="pct"/>
        <w:tblInd w:w="0" w:type="dxa"/>
        <w:tblLayout w:type="autofit"/>
        <w:tblCellMar>
          <w:top w:w="0" w:type="dxa"/>
          <w:left w:w="108" w:type="dxa"/>
          <w:bottom w:w="0" w:type="dxa"/>
          <w:right w:w="108" w:type="dxa"/>
        </w:tblCellMar>
      </w:tblPr>
      <w:tblGrid>
        <w:gridCol w:w="1041"/>
        <w:gridCol w:w="1684"/>
        <w:gridCol w:w="5794"/>
      </w:tblGrid>
      <w:tr w14:paraId="6A29723B">
        <w:tblPrEx>
          <w:tblCellMar>
            <w:top w:w="0" w:type="dxa"/>
            <w:left w:w="108" w:type="dxa"/>
            <w:bottom w:w="0" w:type="dxa"/>
            <w:right w:w="108" w:type="dxa"/>
          </w:tblCellMar>
        </w:tblPrEx>
        <w:trPr>
          <w:trHeight w:val="471" w:hRule="atLeast"/>
          <w:tblHeader/>
        </w:trPr>
        <w:tc>
          <w:tcPr>
            <w:tcW w:w="611"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82FFDE">
            <w:pPr>
              <w:widowControl/>
              <w:spacing w:line="240" w:lineRule="auto"/>
              <w:ind w:firstLine="0" w:firstLineChars="0"/>
              <w:jc w:val="center"/>
              <w:rPr>
                <w:rFonts w:eastAsia="仿宋_GB2312"/>
                <w:b/>
                <w:bCs/>
                <w:sz w:val="21"/>
                <w:szCs w:val="21"/>
              </w:rPr>
            </w:pPr>
            <w:r>
              <w:rPr>
                <w:rFonts w:hint="eastAsia" w:eastAsia="仿宋_GB2312"/>
                <w:b/>
                <w:bCs/>
                <w:sz w:val="21"/>
                <w:szCs w:val="21"/>
              </w:rPr>
              <w:t>序号</w:t>
            </w:r>
          </w:p>
        </w:tc>
        <w:tc>
          <w:tcPr>
            <w:tcW w:w="988" w:type="pct"/>
            <w:tcBorders>
              <w:top w:val="single" w:color="auto" w:sz="4" w:space="0"/>
              <w:left w:val="nil"/>
              <w:bottom w:val="single" w:color="auto" w:sz="4" w:space="0"/>
              <w:right w:val="single" w:color="auto" w:sz="4" w:space="0"/>
            </w:tcBorders>
            <w:shd w:val="clear" w:color="auto" w:fill="BEBEBE" w:themeFill="background1" w:themeFillShade="BF"/>
            <w:vAlign w:val="center"/>
          </w:tcPr>
          <w:p w14:paraId="585193A6">
            <w:pPr>
              <w:widowControl/>
              <w:spacing w:line="240" w:lineRule="auto"/>
              <w:ind w:firstLine="0" w:firstLineChars="0"/>
              <w:jc w:val="center"/>
              <w:rPr>
                <w:rFonts w:eastAsia="仿宋_GB2312"/>
                <w:b/>
                <w:bCs/>
                <w:sz w:val="21"/>
                <w:szCs w:val="21"/>
              </w:rPr>
            </w:pPr>
            <w:r>
              <w:rPr>
                <w:rFonts w:hint="eastAsia" w:eastAsia="仿宋_GB2312"/>
                <w:b/>
                <w:bCs/>
                <w:sz w:val="21"/>
                <w:szCs w:val="21"/>
              </w:rPr>
              <w:t>工作程序</w:t>
            </w:r>
          </w:p>
        </w:tc>
        <w:tc>
          <w:tcPr>
            <w:tcW w:w="3400" w:type="pct"/>
            <w:tcBorders>
              <w:top w:val="single" w:color="auto" w:sz="4" w:space="0"/>
              <w:left w:val="nil"/>
              <w:bottom w:val="single" w:color="auto" w:sz="4" w:space="0"/>
              <w:right w:val="single" w:color="auto" w:sz="4" w:space="0"/>
            </w:tcBorders>
            <w:shd w:val="clear" w:color="auto" w:fill="BEBEBE" w:themeFill="background1" w:themeFillShade="BF"/>
            <w:vAlign w:val="center"/>
          </w:tcPr>
          <w:p w14:paraId="03CB4D1C">
            <w:pPr>
              <w:widowControl/>
              <w:spacing w:line="240" w:lineRule="auto"/>
              <w:ind w:firstLine="0" w:firstLineChars="0"/>
              <w:jc w:val="center"/>
              <w:rPr>
                <w:rFonts w:eastAsia="仿宋_GB2312"/>
                <w:b/>
                <w:bCs/>
                <w:sz w:val="21"/>
                <w:szCs w:val="21"/>
              </w:rPr>
            </w:pPr>
            <w:r>
              <w:rPr>
                <w:rFonts w:hint="eastAsia" w:eastAsia="仿宋_GB2312"/>
                <w:b/>
                <w:bCs/>
                <w:sz w:val="21"/>
                <w:szCs w:val="21"/>
              </w:rPr>
              <w:t>工作内容</w:t>
            </w:r>
          </w:p>
        </w:tc>
      </w:tr>
      <w:tr w14:paraId="1A3B1DFF">
        <w:tblPrEx>
          <w:tblCellMar>
            <w:top w:w="0" w:type="dxa"/>
            <w:left w:w="108" w:type="dxa"/>
            <w:bottom w:w="0" w:type="dxa"/>
            <w:right w:w="108" w:type="dxa"/>
          </w:tblCellMar>
        </w:tblPrEx>
        <w:trPr>
          <w:trHeight w:val="90" w:hRule="atLeast"/>
        </w:trPr>
        <w:tc>
          <w:tcPr>
            <w:tcW w:w="611" w:type="pct"/>
            <w:tcBorders>
              <w:top w:val="nil"/>
              <w:left w:val="single" w:color="auto" w:sz="4" w:space="0"/>
              <w:bottom w:val="single" w:color="auto" w:sz="4" w:space="0"/>
              <w:right w:val="single" w:color="auto" w:sz="4" w:space="0"/>
            </w:tcBorders>
            <w:shd w:val="clear" w:color="auto" w:fill="auto"/>
            <w:vAlign w:val="center"/>
          </w:tcPr>
          <w:p w14:paraId="33640013">
            <w:pPr>
              <w:pStyle w:val="29"/>
              <w:tabs>
                <w:tab w:val="left" w:pos="753"/>
              </w:tabs>
              <w:snapToGrid w:val="0"/>
              <w:jc w:val="center"/>
              <w:rPr>
                <w:rFonts w:eastAsia="仿宋_GB2312"/>
                <w:kern w:val="0"/>
                <w:szCs w:val="21"/>
              </w:rPr>
            </w:pPr>
            <w:r>
              <w:rPr>
                <w:rFonts w:hint="eastAsia" w:ascii="仿宋_GB2312" w:hAnsi="仿宋_GB2312" w:eastAsia="仿宋_GB2312" w:cs="仿宋_GB2312"/>
                <w:kern w:val="0"/>
                <w:szCs w:val="21"/>
              </w:rPr>
              <w:t>1</w:t>
            </w:r>
          </w:p>
        </w:tc>
        <w:tc>
          <w:tcPr>
            <w:tcW w:w="988" w:type="pct"/>
            <w:tcBorders>
              <w:top w:val="nil"/>
              <w:left w:val="nil"/>
              <w:bottom w:val="single" w:color="auto" w:sz="4" w:space="0"/>
              <w:right w:val="single" w:color="auto" w:sz="4" w:space="0"/>
            </w:tcBorders>
            <w:shd w:val="clear" w:color="auto" w:fill="auto"/>
            <w:vAlign w:val="center"/>
          </w:tcPr>
          <w:p w14:paraId="290DEDDE">
            <w:pPr>
              <w:pStyle w:val="29"/>
              <w:tabs>
                <w:tab w:val="left" w:pos="753"/>
              </w:tabs>
              <w:snapToGrid w:val="0"/>
              <w:jc w:val="center"/>
              <w:rPr>
                <w:rFonts w:eastAsia="仿宋_GB2312"/>
                <w:kern w:val="0"/>
                <w:szCs w:val="21"/>
              </w:rPr>
            </w:pPr>
            <w:r>
              <w:rPr>
                <w:rFonts w:hint="eastAsia" w:eastAsia="仿宋_GB2312"/>
                <w:kern w:val="0"/>
                <w:szCs w:val="21"/>
              </w:rPr>
              <w:t>前期准备</w:t>
            </w:r>
          </w:p>
        </w:tc>
        <w:tc>
          <w:tcPr>
            <w:tcW w:w="3400" w:type="pct"/>
            <w:tcBorders>
              <w:top w:val="nil"/>
              <w:left w:val="nil"/>
              <w:bottom w:val="single" w:color="auto" w:sz="4" w:space="0"/>
              <w:right w:val="single" w:color="auto" w:sz="4" w:space="0"/>
            </w:tcBorders>
            <w:shd w:val="clear" w:color="auto" w:fill="auto"/>
            <w:vAlign w:val="center"/>
          </w:tcPr>
          <w:p w14:paraId="7DDF2355">
            <w:pPr>
              <w:pStyle w:val="29"/>
              <w:tabs>
                <w:tab w:val="left" w:pos="753"/>
              </w:tabs>
              <w:snapToGrid w:val="0"/>
              <w:jc w:val="left"/>
              <w:rPr>
                <w:rFonts w:eastAsia="仿宋_GB2312"/>
                <w:kern w:val="0"/>
                <w:szCs w:val="21"/>
              </w:rPr>
            </w:pPr>
            <w:r>
              <w:rPr>
                <w:rFonts w:hint="eastAsia" w:eastAsia="仿宋_GB2312"/>
                <w:kern w:val="0"/>
                <w:szCs w:val="21"/>
              </w:rPr>
              <w:t>首先组建绩效评价组。然后了解被评价项目及相关单位业务情况，收集相关资料，充分了解项目立项、预算安排、实施内容、组织管理、绩效目标设置等内容，为编制评价方案奠定基础。</w:t>
            </w:r>
          </w:p>
        </w:tc>
      </w:tr>
      <w:tr w14:paraId="41B06569">
        <w:tblPrEx>
          <w:tblCellMar>
            <w:top w:w="0" w:type="dxa"/>
            <w:left w:w="108" w:type="dxa"/>
            <w:bottom w:w="0" w:type="dxa"/>
            <w:right w:w="108" w:type="dxa"/>
          </w:tblCellMar>
        </w:tblPrEx>
        <w:trPr>
          <w:trHeight w:val="90" w:hRule="atLeast"/>
        </w:trPr>
        <w:tc>
          <w:tcPr>
            <w:tcW w:w="611" w:type="pct"/>
            <w:tcBorders>
              <w:top w:val="nil"/>
              <w:left w:val="single" w:color="auto" w:sz="4" w:space="0"/>
              <w:bottom w:val="single" w:color="auto" w:sz="4" w:space="0"/>
              <w:right w:val="single" w:color="auto" w:sz="4" w:space="0"/>
            </w:tcBorders>
            <w:shd w:val="clear" w:color="auto" w:fill="auto"/>
            <w:vAlign w:val="center"/>
          </w:tcPr>
          <w:p w14:paraId="7C153D73">
            <w:pPr>
              <w:pStyle w:val="29"/>
              <w:tabs>
                <w:tab w:val="left" w:pos="753"/>
              </w:tabs>
              <w:snapToGrid w:val="0"/>
              <w:jc w:val="center"/>
              <w:rPr>
                <w:rFonts w:eastAsia="仿宋_GB2312"/>
                <w:kern w:val="0"/>
                <w:szCs w:val="21"/>
              </w:rPr>
            </w:pPr>
            <w:r>
              <w:rPr>
                <w:rFonts w:hint="eastAsia" w:ascii="仿宋_GB2312" w:hAnsi="仿宋_GB2312" w:eastAsia="仿宋_GB2312" w:cs="仿宋_GB2312"/>
                <w:kern w:val="0"/>
                <w:szCs w:val="21"/>
              </w:rPr>
              <w:t>2</w:t>
            </w:r>
          </w:p>
        </w:tc>
        <w:tc>
          <w:tcPr>
            <w:tcW w:w="988" w:type="pct"/>
            <w:tcBorders>
              <w:top w:val="nil"/>
              <w:left w:val="nil"/>
              <w:bottom w:val="single" w:color="auto" w:sz="4" w:space="0"/>
              <w:right w:val="single" w:color="auto" w:sz="4" w:space="0"/>
            </w:tcBorders>
            <w:shd w:val="clear" w:color="auto" w:fill="auto"/>
            <w:vAlign w:val="center"/>
          </w:tcPr>
          <w:p w14:paraId="68C27A71">
            <w:pPr>
              <w:pStyle w:val="29"/>
              <w:tabs>
                <w:tab w:val="left" w:pos="753"/>
              </w:tabs>
              <w:snapToGrid w:val="0"/>
              <w:jc w:val="center"/>
              <w:rPr>
                <w:rFonts w:eastAsia="仿宋_GB2312"/>
                <w:kern w:val="0"/>
                <w:szCs w:val="21"/>
              </w:rPr>
            </w:pPr>
            <w:r>
              <w:rPr>
                <w:rFonts w:hint="eastAsia" w:eastAsia="仿宋_GB2312"/>
                <w:kern w:val="0"/>
                <w:szCs w:val="21"/>
              </w:rPr>
              <w:t>制定评价实施方案</w:t>
            </w:r>
          </w:p>
        </w:tc>
        <w:tc>
          <w:tcPr>
            <w:tcW w:w="3400" w:type="pct"/>
            <w:tcBorders>
              <w:top w:val="nil"/>
              <w:left w:val="nil"/>
              <w:bottom w:val="single" w:color="auto" w:sz="4" w:space="0"/>
              <w:right w:val="single" w:color="auto" w:sz="4" w:space="0"/>
            </w:tcBorders>
            <w:shd w:val="clear" w:color="auto" w:fill="auto"/>
            <w:vAlign w:val="center"/>
          </w:tcPr>
          <w:p w14:paraId="3F3BD93F">
            <w:pPr>
              <w:pStyle w:val="29"/>
              <w:tabs>
                <w:tab w:val="left" w:pos="753"/>
              </w:tabs>
              <w:snapToGrid w:val="0"/>
              <w:jc w:val="left"/>
              <w:rPr>
                <w:rFonts w:eastAsia="仿宋_GB2312"/>
                <w:kern w:val="0"/>
                <w:szCs w:val="21"/>
              </w:rPr>
            </w:pPr>
            <w:r>
              <w:rPr>
                <w:rFonts w:hint="eastAsia" w:eastAsia="仿宋_GB2312"/>
                <w:kern w:val="0"/>
                <w:szCs w:val="21"/>
              </w:rPr>
              <w:t>在调研、了解评价资金基本情况的基础上，对回收的材料进行整理分析，根据具体项目实际情况和绩效管理要求</w:t>
            </w:r>
            <w:r>
              <w:rPr>
                <w:rFonts w:hint="eastAsia" w:eastAsia="仿宋_GB2312"/>
                <w:kern w:val="0"/>
                <w:szCs w:val="21"/>
                <w:lang w:eastAsia="zh-CN"/>
              </w:rPr>
              <w:t>拟定</w:t>
            </w:r>
            <w:r>
              <w:rPr>
                <w:rFonts w:hint="eastAsia" w:eastAsia="仿宋_GB2312"/>
                <w:kern w:val="0"/>
                <w:szCs w:val="21"/>
              </w:rPr>
              <w:t>评价实施方案并报送论证。</w:t>
            </w:r>
          </w:p>
        </w:tc>
      </w:tr>
      <w:tr w14:paraId="08516691">
        <w:tblPrEx>
          <w:tblCellMar>
            <w:top w:w="0" w:type="dxa"/>
            <w:left w:w="108" w:type="dxa"/>
            <w:bottom w:w="0" w:type="dxa"/>
            <w:right w:w="108" w:type="dxa"/>
          </w:tblCellMar>
        </w:tblPrEx>
        <w:trPr>
          <w:trHeight w:val="471" w:hRule="atLeast"/>
        </w:trPr>
        <w:tc>
          <w:tcPr>
            <w:tcW w:w="611" w:type="pct"/>
            <w:tcBorders>
              <w:top w:val="nil"/>
              <w:left w:val="single" w:color="auto" w:sz="4" w:space="0"/>
              <w:bottom w:val="single" w:color="auto" w:sz="4" w:space="0"/>
              <w:right w:val="single" w:color="auto" w:sz="4" w:space="0"/>
            </w:tcBorders>
            <w:shd w:val="clear" w:color="auto" w:fill="auto"/>
            <w:vAlign w:val="center"/>
          </w:tcPr>
          <w:p w14:paraId="24DCBA2B">
            <w:pPr>
              <w:pStyle w:val="29"/>
              <w:tabs>
                <w:tab w:val="left" w:pos="753"/>
              </w:tabs>
              <w:snapToGrid w:val="0"/>
              <w:jc w:val="center"/>
              <w:rPr>
                <w:rFonts w:eastAsia="仿宋_GB2312"/>
                <w:kern w:val="0"/>
                <w:szCs w:val="21"/>
              </w:rPr>
            </w:pPr>
            <w:r>
              <w:rPr>
                <w:rFonts w:hint="eastAsia" w:ascii="仿宋_GB2312" w:hAnsi="仿宋_GB2312" w:eastAsia="仿宋_GB2312" w:cs="仿宋_GB2312"/>
                <w:kern w:val="0"/>
                <w:szCs w:val="21"/>
              </w:rPr>
              <w:t>3</w:t>
            </w:r>
          </w:p>
        </w:tc>
        <w:tc>
          <w:tcPr>
            <w:tcW w:w="988" w:type="pct"/>
            <w:tcBorders>
              <w:top w:val="nil"/>
              <w:left w:val="nil"/>
              <w:bottom w:val="single" w:color="auto" w:sz="4" w:space="0"/>
              <w:right w:val="single" w:color="auto" w:sz="4" w:space="0"/>
            </w:tcBorders>
            <w:shd w:val="clear" w:color="auto" w:fill="auto"/>
            <w:vAlign w:val="center"/>
          </w:tcPr>
          <w:p w14:paraId="650C11D4">
            <w:pPr>
              <w:pStyle w:val="29"/>
              <w:tabs>
                <w:tab w:val="left" w:pos="753"/>
              </w:tabs>
              <w:snapToGrid w:val="0"/>
              <w:jc w:val="center"/>
              <w:rPr>
                <w:rFonts w:eastAsia="仿宋_GB2312"/>
                <w:kern w:val="0"/>
                <w:szCs w:val="21"/>
              </w:rPr>
            </w:pPr>
            <w:r>
              <w:rPr>
                <w:rFonts w:hint="eastAsia" w:eastAsia="仿宋_GB2312"/>
                <w:kern w:val="0"/>
                <w:szCs w:val="21"/>
              </w:rPr>
              <w:t>现场评价</w:t>
            </w:r>
          </w:p>
        </w:tc>
        <w:tc>
          <w:tcPr>
            <w:tcW w:w="3400" w:type="pct"/>
            <w:tcBorders>
              <w:top w:val="nil"/>
              <w:left w:val="nil"/>
              <w:bottom w:val="single" w:color="auto" w:sz="4" w:space="0"/>
              <w:right w:val="single" w:color="auto" w:sz="4" w:space="0"/>
            </w:tcBorders>
            <w:shd w:val="clear" w:color="auto" w:fill="auto"/>
            <w:vAlign w:val="center"/>
          </w:tcPr>
          <w:p w14:paraId="083C5869">
            <w:pPr>
              <w:pStyle w:val="29"/>
              <w:tabs>
                <w:tab w:val="left" w:pos="753"/>
              </w:tabs>
              <w:snapToGrid w:val="0"/>
              <w:jc w:val="left"/>
              <w:rPr>
                <w:rFonts w:eastAsia="仿宋_GB2312"/>
                <w:kern w:val="0"/>
                <w:szCs w:val="21"/>
              </w:rPr>
            </w:pPr>
            <w:r>
              <w:rPr>
                <w:rFonts w:hint="eastAsia" w:eastAsia="仿宋_GB2312"/>
                <w:kern w:val="0"/>
                <w:szCs w:val="21"/>
              </w:rPr>
              <w:t>根据具体评价要求确定现场评价抽样范围，组成现场评价工作小组，对项目进行实地勘察、资料核实、社会调查、分析评价等。</w:t>
            </w:r>
          </w:p>
        </w:tc>
      </w:tr>
      <w:tr w14:paraId="620BEC0E">
        <w:tblPrEx>
          <w:tblCellMar>
            <w:top w:w="0" w:type="dxa"/>
            <w:left w:w="108" w:type="dxa"/>
            <w:bottom w:w="0" w:type="dxa"/>
            <w:right w:w="108" w:type="dxa"/>
          </w:tblCellMar>
        </w:tblPrEx>
        <w:trPr>
          <w:trHeight w:val="82" w:hRule="atLeast"/>
        </w:trPr>
        <w:tc>
          <w:tcPr>
            <w:tcW w:w="611" w:type="pct"/>
            <w:tcBorders>
              <w:top w:val="nil"/>
              <w:left w:val="single" w:color="auto" w:sz="4" w:space="0"/>
              <w:bottom w:val="single" w:color="auto" w:sz="4" w:space="0"/>
              <w:right w:val="single" w:color="auto" w:sz="4" w:space="0"/>
            </w:tcBorders>
            <w:shd w:val="clear" w:color="auto" w:fill="auto"/>
            <w:vAlign w:val="center"/>
          </w:tcPr>
          <w:p w14:paraId="0D3F43C3">
            <w:pPr>
              <w:pStyle w:val="29"/>
              <w:tabs>
                <w:tab w:val="left" w:pos="753"/>
              </w:tabs>
              <w:snapToGrid w:val="0"/>
              <w:jc w:val="center"/>
              <w:rPr>
                <w:rFonts w:eastAsia="仿宋_GB2312"/>
                <w:kern w:val="0"/>
                <w:szCs w:val="21"/>
              </w:rPr>
            </w:pPr>
            <w:r>
              <w:rPr>
                <w:rFonts w:hint="eastAsia" w:ascii="仿宋_GB2312" w:hAnsi="仿宋_GB2312" w:eastAsia="仿宋_GB2312" w:cs="仿宋_GB2312"/>
                <w:kern w:val="0"/>
                <w:szCs w:val="21"/>
              </w:rPr>
              <w:t>4</w:t>
            </w:r>
          </w:p>
        </w:tc>
        <w:tc>
          <w:tcPr>
            <w:tcW w:w="988" w:type="pct"/>
            <w:tcBorders>
              <w:top w:val="nil"/>
              <w:left w:val="nil"/>
              <w:bottom w:val="single" w:color="auto" w:sz="4" w:space="0"/>
              <w:right w:val="single" w:color="auto" w:sz="4" w:space="0"/>
            </w:tcBorders>
            <w:shd w:val="clear" w:color="auto" w:fill="auto"/>
            <w:vAlign w:val="center"/>
          </w:tcPr>
          <w:p w14:paraId="2DE063CF">
            <w:pPr>
              <w:pStyle w:val="29"/>
              <w:tabs>
                <w:tab w:val="left" w:pos="753"/>
              </w:tabs>
              <w:snapToGrid w:val="0"/>
              <w:jc w:val="center"/>
              <w:rPr>
                <w:rFonts w:eastAsia="仿宋_GB2312"/>
                <w:kern w:val="0"/>
                <w:szCs w:val="21"/>
              </w:rPr>
            </w:pPr>
            <w:r>
              <w:rPr>
                <w:rFonts w:hint="eastAsia" w:eastAsia="仿宋_GB2312"/>
                <w:kern w:val="0"/>
                <w:szCs w:val="21"/>
              </w:rPr>
              <w:t>撰写评价报告初稿</w:t>
            </w:r>
          </w:p>
        </w:tc>
        <w:tc>
          <w:tcPr>
            <w:tcW w:w="3400" w:type="pct"/>
            <w:tcBorders>
              <w:top w:val="nil"/>
              <w:left w:val="nil"/>
              <w:bottom w:val="single" w:color="auto" w:sz="4" w:space="0"/>
              <w:right w:val="single" w:color="auto" w:sz="4" w:space="0"/>
            </w:tcBorders>
            <w:shd w:val="clear" w:color="auto" w:fill="auto"/>
            <w:vAlign w:val="center"/>
          </w:tcPr>
          <w:p w14:paraId="1E026214">
            <w:pPr>
              <w:pStyle w:val="29"/>
              <w:tabs>
                <w:tab w:val="left" w:pos="753"/>
              </w:tabs>
              <w:snapToGrid w:val="0"/>
              <w:jc w:val="left"/>
              <w:rPr>
                <w:rFonts w:eastAsia="仿宋_GB2312"/>
                <w:kern w:val="0"/>
                <w:szCs w:val="21"/>
              </w:rPr>
            </w:pPr>
            <w:r>
              <w:rPr>
                <w:rFonts w:hint="eastAsia" w:eastAsia="仿宋_GB2312"/>
                <w:kern w:val="0"/>
                <w:szCs w:val="21"/>
              </w:rPr>
              <w:t>在梳理、研究、分析现场评价和非现场评价情况的基础上，按照规定格式撰写绩效评价报告。</w:t>
            </w:r>
          </w:p>
        </w:tc>
      </w:tr>
      <w:tr w14:paraId="173C565C">
        <w:tblPrEx>
          <w:tblCellMar>
            <w:top w:w="0" w:type="dxa"/>
            <w:left w:w="108" w:type="dxa"/>
            <w:bottom w:w="0" w:type="dxa"/>
            <w:right w:w="108" w:type="dxa"/>
          </w:tblCellMar>
        </w:tblPrEx>
        <w:trPr>
          <w:trHeight w:val="471" w:hRule="atLeast"/>
        </w:trPr>
        <w:tc>
          <w:tcPr>
            <w:tcW w:w="611" w:type="pct"/>
            <w:tcBorders>
              <w:top w:val="nil"/>
              <w:left w:val="single" w:color="auto" w:sz="4" w:space="0"/>
              <w:bottom w:val="single" w:color="auto" w:sz="4" w:space="0"/>
              <w:right w:val="single" w:color="auto" w:sz="4" w:space="0"/>
            </w:tcBorders>
            <w:shd w:val="clear" w:color="auto" w:fill="auto"/>
            <w:vAlign w:val="center"/>
          </w:tcPr>
          <w:p w14:paraId="43620E22">
            <w:pPr>
              <w:pStyle w:val="29"/>
              <w:tabs>
                <w:tab w:val="left" w:pos="753"/>
              </w:tabs>
              <w:snapToGrid w:val="0"/>
              <w:jc w:val="center"/>
              <w:rPr>
                <w:rFonts w:eastAsia="仿宋_GB2312"/>
                <w:kern w:val="0"/>
                <w:szCs w:val="21"/>
              </w:rPr>
            </w:pPr>
            <w:r>
              <w:rPr>
                <w:rFonts w:hint="eastAsia" w:ascii="仿宋_GB2312" w:hAnsi="仿宋_GB2312" w:eastAsia="仿宋_GB2312" w:cs="仿宋_GB2312"/>
                <w:kern w:val="0"/>
                <w:szCs w:val="21"/>
              </w:rPr>
              <w:t>5</w:t>
            </w:r>
          </w:p>
        </w:tc>
        <w:tc>
          <w:tcPr>
            <w:tcW w:w="988" w:type="pct"/>
            <w:tcBorders>
              <w:top w:val="nil"/>
              <w:left w:val="nil"/>
              <w:bottom w:val="single" w:color="auto" w:sz="4" w:space="0"/>
              <w:right w:val="single" w:color="auto" w:sz="4" w:space="0"/>
            </w:tcBorders>
            <w:shd w:val="clear" w:color="auto" w:fill="auto"/>
            <w:vAlign w:val="center"/>
          </w:tcPr>
          <w:p w14:paraId="2AB08B99">
            <w:pPr>
              <w:pStyle w:val="29"/>
              <w:tabs>
                <w:tab w:val="left" w:pos="753"/>
              </w:tabs>
              <w:snapToGrid w:val="0"/>
              <w:jc w:val="center"/>
              <w:rPr>
                <w:rFonts w:eastAsia="仿宋_GB2312"/>
                <w:kern w:val="0"/>
                <w:szCs w:val="21"/>
              </w:rPr>
            </w:pPr>
            <w:r>
              <w:rPr>
                <w:rFonts w:hint="eastAsia" w:eastAsia="仿宋_GB2312"/>
                <w:kern w:val="0"/>
                <w:szCs w:val="21"/>
              </w:rPr>
              <w:t>提交评价报告</w:t>
            </w:r>
          </w:p>
        </w:tc>
        <w:tc>
          <w:tcPr>
            <w:tcW w:w="3400" w:type="pct"/>
            <w:tcBorders>
              <w:top w:val="nil"/>
              <w:left w:val="nil"/>
              <w:bottom w:val="single" w:color="auto" w:sz="4" w:space="0"/>
              <w:right w:val="single" w:color="auto" w:sz="4" w:space="0"/>
            </w:tcBorders>
            <w:shd w:val="clear" w:color="auto" w:fill="auto"/>
            <w:vAlign w:val="center"/>
          </w:tcPr>
          <w:p w14:paraId="2AC5435C">
            <w:pPr>
              <w:pStyle w:val="29"/>
              <w:tabs>
                <w:tab w:val="left" w:pos="753"/>
              </w:tabs>
              <w:snapToGrid w:val="0"/>
              <w:jc w:val="left"/>
              <w:rPr>
                <w:rFonts w:eastAsia="仿宋_GB2312"/>
                <w:kern w:val="0"/>
                <w:szCs w:val="21"/>
              </w:rPr>
            </w:pPr>
            <w:r>
              <w:rPr>
                <w:rFonts w:hint="eastAsia" w:eastAsia="仿宋_GB2312"/>
                <w:kern w:val="0"/>
                <w:szCs w:val="21"/>
              </w:rPr>
              <w:t>评价报告根据专家评审意见进行修改，由项目主评人签字确认，加盖公司公章后，按项目交付时间要求提交。</w:t>
            </w:r>
          </w:p>
        </w:tc>
      </w:tr>
      <w:bookmarkEnd w:id="18"/>
    </w:tbl>
    <w:p w14:paraId="61561A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2.评价方法</w:t>
      </w:r>
    </w:p>
    <w:p w14:paraId="32953A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评价采用的方法有比较法、</w:t>
      </w:r>
      <w:r>
        <w:rPr>
          <w:rFonts w:hint="eastAsia" w:ascii="仿宋_GB2312" w:hAnsi="仿宋_GB2312" w:eastAsia="仿宋_GB2312" w:cs="仿宋_GB2312"/>
          <w:sz w:val="32"/>
          <w:szCs w:val="40"/>
        </w:rPr>
        <w:t>文献研究法</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现场核查法</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32"/>
        </w:rPr>
        <w:t>公众评判法等。具体如下：</w:t>
      </w:r>
    </w:p>
    <w:p w14:paraId="08728C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40"/>
        </w:rPr>
        <w:t>比较法。将</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rPr>
        <w:t>实际实施成效与既定绩效目标开展对比，同时横向对标</w:t>
      </w:r>
      <w:r>
        <w:rPr>
          <w:rFonts w:hint="eastAsia" w:ascii="仿宋_GB2312" w:hAnsi="仿宋_GB2312" w:eastAsia="仿宋_GB2312" w:cs="仿宋_GB2312"/>
          <w:sz w:val="32"/>
          <w:szCs w:val="40"/>
          <w:lang w:val="en-US" w:eastAsia="zh-CN"/>
        </w:rPr>
        <w:t>其他</w:t>
      </w:r>
      <w:r>
        <w:rPr>
          <w:rFonts w:hint="eastAsia" w:ascii="仿宋_GB2312" w:hAnsi="仿宋_GB2312" w:eastAsia="仿宋_GB2312" w:cs="仿宋_GB2312"/>
          <w:sz w:val="32"/>
          <w:szCs w:val="40"/>
        </w:rPr>
        <w:t>同类城市科技孵化股权投资</w:t>
      </w:r>
      <w:r>
        <w:rPr>
          <w:rFonts w:hint="eastAsia" w:ascii="仿宋_GB2312" w:hAnsi="仿宋_GB2312" w:eastAsia="仿宋_GB2312" w:cs="仿宋_GB2312"/>
          <w:sz w:val="32"/>
          <w:szCs w:val="40"/>
          <w:lang w:val="en-US" w:eastAsia="zh-CN"/>
        </w:rPr>
        <w:t>资金</w:t>
      </w:r>
      <w:r>
        <w:rPr>
          <w:rFonts w:hint="eastAsia" w:ascii="仿宋_GB2312" w:hAnsi="仿宋_GB2312" w:eastAsia="仿宋_GB2312" w:cs="仿宋_GB2312"/>
          <w:sz w:val="32"/>
          <w:szCs w:val="40"/>
        </w:rPr>
        <w:t>运行成效、投资效率、孵化赋能效果，综合研判政策实施水平。</w:t>
      </w:r>
    </w:p>
    <w:p w14:paraId="1CAF5105">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Times New Roman"/>
          <w:sz w:val="32"/>
          <w:szCs w:val="40"/>
          <w:lang w:val="en-US" w:eastAsia="zh-CN"/>
        </w:rPr>
        <w:t>（</w:t>
      </w:r>
      <w:r>
        <w:rPr>
          <w:rFonts w:hint="eastAsia" w:ascii="仿宋_GB2312" w:hAnsi="仿宋_GB2312" w:eastAsia="仿宋_GB2312" w:cs="仿宋_GB2312"/>
          <w:sz w:val="32"/>
          <w:szCs w:val="40"/>
          <w:lang w:val="en-US" w:eastAsia="zh-CN"/>
        </w:rPr>
        <w:t>2</w:t>
      </w:r>
      <w:r>
        <w:rPr>
          <w:rFonts w:hint="eastAsia" w:ascii="Times New Roman" w:hAnsi="Times New Roman" w:eastAsia="仿宋_GB2312" w:cs="Times New Roman"/>
          <w:sz w:val="32"/>
          <w:szCs w:val="40"/>
          <w:lang w:val="en-US" w:eastAsia="zh-CN"/>
        </w:rPr>
        <w:t>）</w:t>
      </w:r>
      <w:r>
        <w:rPr>
          <w:rFonts w:hint="eastAsia" w:ascii="仿宋_GB2312" w:hAnsi="仿宋_GB2312" w:eastAsia="仿宋_GB2312" w:cs="仿宋_GB2312"/>
          <w:sz w:val="32"/>
          <w:szCs w:val="40"/>
        </w:rPr>
        <w:t>文献研究法。系统研读国家及省市财政股权投资、硕果计划、</w:t>
      </w:r>
      <w:r>
        <w:rPr>
          <w:rFonts w:hint="eastAsia" w:ascii="仿宋_GB2312" w:hAnsi="仿宋_GB2312" w:eastAsia="仿宋_GB2312" w:cs="仿宋_GB2312"/>
          <w:sz w:val="32"/>
          <w:szCs w:val="32"/>
          <w:lang w:val="en-US" w:eastAsia="zh-CN"/>
        </w:rPr>
        <w:t>“硕果金”</w:t>
      </w:r>
      <w:r>
        <w:rPr>
          <w:rFonts w:hint="eastAsia" w:ascii="仿宋_GB2312" w:hAnsi="仿宋_GB2312" w:eastAsia="仿宋_GB2312" w:cs="仿宋_GB2312"/>
          <w:sz w:val="32"/>
          <w:szCs w:val="40"/>
        </w:rPr>
        <w:t>管理办法等政策文件、投资台账、年度运行报告等，梳理政策设立背景、实施流程、资金分配及</w:t>
      </w:r>
      <w:r>
        <w:rPr>
          <w:rFonts w:hint="eastAsia" w:ascii="仿宋_GB2312" w:hAnsi="仿宋_GB2312" w:eastAsia="仿宋_GB2312" w:cs="仿宋_GB2312"/>
          <w:sz w:val="32"/>
          <w:szCs w:val="40"/>
          <w:lang w:val="en-US" w:eastAsia="zh-CN"/>
        </w:rPr>
        <w:t>投资</w:t>
      </w:r>
      <w:r>
        <w:rPr>
          <w:rFonts w:hint="eastAsia" w:ascii="仿宋_GB2312" w:hAnsi="仿宋_GB2312" w:eastAsia="仿宋_GB2312" w:cs="仿宋_GB2312"/>
          <w:sz w:val="32"/>
          <w:szCs w:val="40"/>
        </w:rPr>
        <w:t>管理逻辑。</w:t>
      </w:r>
    </w:p>
    <w:p w14:paraId="2DBFDB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Times New Roman" w:hAnsi="Times New Roman" w:eastAsia="仿宋_GB2312" w:cs="Times New Roman"/>
          <w:sz w:val="32"/>
          <w:szCs w:val="40"/>
          <w:lang w:val="en-US" w:eastAsia="zh-CN"/>
        </w:rPr>
        <w:t>（</w:t>
      </w:r>
      <w:r>
        <w:rPr>
          <w:rFonts w:hint="eastAsia" w:ascii="仿宋_GB2312" w:hAnsi="仿宋_GB2312" w:eastAsia="仿宋_GB2312" w:cs="仿宋_GB2312"/>
          <w:sz w:val="32"/>
          <w:szCs w:val="40"/>
          <w:lang w:val="en-US" w:eastAsia="zh-CN"/>
        </w:rPr>
        <w:t>3</w:t>
      </w:r>
      <w:r>
        <w:rPr>
          <w:rFonts w:hint="eastAsia" w:ascii="Times New Roman" w:hAnsi="Times New Roman" w:eastAsia="仿宋_GB2312" w:cs="Times New Roman"/>
          <w:sz w:val="32"/>
          <w:szCs w:val="40"/>
          <w:lang w:val="en-US" w:eastAsia="zh-CN"/>
        </w:rPr>
        <w:t>）</w:t>
      </w:r>
      <w:r>
        <w:rPr>
          <w:rFonts w:hint="eastAsia" w:ascii="仿宋_GB2312" w:hAnsi="仿宋_GB2312" w:eastAsia="仿宋_GB2312" w:cs="仿宋_GB2312"/>
          <w:sz w:val="32"/>
          <w:szCs w:val="40"/>
        </w:rPr>
        <w:t>现场核查法。</w:t>
      </w:r>
      <w:r>
        <w:rPr>
          <w:rFonts w:hint="eastAsia" w:ascii="仿宋_GB2312" w:hAnsi="仿宋_GB2312" w:eastAsia="仿宋_GB2312" w:cs="仿宋_GB2312"/>
          <w:sz w:val="32"/>
          <w:szCs w:val="40"/>
          <w:lang w:val="en-US" w:eastAsia="zh-CN"/>
        </w:rPr>
        <w:t>对</w:t>
      </w:r>
      <w:r>
        <w:rPr>
          <w:rFonts w:hint="eastAsia" w:ascii="仿宋_GB2312" w:hAnsi="仿宋_GB2312" w:eastAsia="仿宋_GB2312" w:cs="仿宋_GB2312"/>
          <w:sz w:val="32"/>
          <w:szCs w:val="40"/>
        </w:rPr>
        <w:t>受托运营机构、赋能基金管理机构及部分被投企业开展实地核查，查阅投资决策材料、尽职调查报告、投后管理档案、股权变更资料</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专户收支明细</w:t>
      </w:r>
      <w:r>
        <w:rPr>
          <w:rFonts w:hint="eastAsia" w:ascii="仿宋_GB2312" w:hAnsi="仿宋_GB2312" w:eastAsia="仿宋_GB2312" w:cs="仿宋_GB2312"/>
          <w:sz w:val="32"/>
          <w:szCs w:val="40"/>
        </w:rPr>
        <w:t>等，</w:t>
      </w:r>
      <w:r>
        <w:rPr>
          <w:rFonts w:hint="eastAsia" w:ascii="仿宋_GB2312" w:hAnsi="仿宋_GB2312" w:eastAsia="仿宋_GB2312" w:cs="仿宋_GB2312"/>
          <w:sz w:val="32"/>
          <w:szCs w:val="40"/>
          <w:lang w:val="en-US" w:eastAsia="zh-CN"/>
        </w:rPr>
        <w:t>核查</w:t>
      </w:r>
      <w:r>
        <w:rPr>
          <w:rFonts w:hint="eastAsia" w:ascii="仿宋_GB2312" w:hAnsi="仿宋_GB2312" w:eastAsia="仿宋_GB2312" w:cs="仿宋_GB2312"/>
          <w:sz w:val="32"/>
          <w:szCs w:val="40"/>
        </w:rPr>
        <w:t>资金使用合规性、项目投向精准性</w:t>
      </w:r>
      <w:r>
        <w:rPr>
          <w:rFonts w:hint="eastAsia" w:ascii="仿宋_GB2312" w:hAnsi="仿宋_GB2312" w:eastAsia="仿宋_GB2312" w:cs="仿宋_GB2312"/>
          <w:sz w:val="32"/>
          <w:szCs w:val="40"/>
          <w:lang w:eastAsia="zh-CN"/>
        </w:rPr>
        <w:t>。</w:t>
      </w:r>
    </w:p>
    <w:p w14:paraId="74BF50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公众评判法。多方开展座谈访谈，充分采集行业专家、主管部门、受托管理机构、被投企业多方意见，综合研判政策实施情况</w:t>
      </w:r>
      <w:r>
        <w:rPr>
          <w:rFonts w:hint="eastAsia" w:ascii="仿宋_GB2312" w:hAnsi="仿宋_GB2312" w:eastAsia="仿宋_GB2312" w:cs="仿宋_GB2312"/>
          <w:sz w:val="32"/>
          <w:szCs w:val="32"/>
          <w:lang w:eastAsia="zh-CN"/>
        </w:rPr>
        <w:t>。</w:t>
      </w:r>
    </w:p>
    <w:p w14:paraId="21E7B06F">
      <w:pPr>
        <w:pStyle w:val="2"/>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ascii="Calibri" w:hAnsi="Calibri" w:cs="Times New Roman"/>
          <w:sz w:val="32"/>
          <w:szCs w:val="32"/>
        </w:rPr>
      </w:pPr>
      <w:bookmarkStart w:id="19" w:name="_Toc12046"/>
      <w:bookmarkStart w:id="20" w:name="_Toc947315409"/>
      <w:r>
        <w:rPr>
          <w:rFonts w:hint="eastAsia" w:ascii="Calibri" w:hAnsi="Calibri" w:cs="Times New Roman"/>
          <w:sz w:val="32"/>
          <w:szCs w:val="32"/>
        </w:rPr>
        <w:t>三、评价结论及分析</w:t>
      </w:r>
      <w:bookmarkEnd w:id="19"/>
      <w:bookmarkEnd w:id="20"/>
    </w:p>
    <w:p w14:paraId="566B4DA0">
      <w:pPr>
        <w:pStyle w:val="3"/>
        <w:pageBreakBefore w:val="0"/>
        <w:kinsoku/>
        <w:wordWrap/>
        <w:overflowPunct/>
        <w:topLinePunct w:val="0"/>
        <w:autoSpaceDE/>
        <w:autoSpaceDN/>
        <w:bidi w:val="0"/>
        <w:adjustRightInd/>
        <w:snapToGrid/>
        <w:spacing w:before="0" w:after="0" w:line="560" w:lineRule="exact"/>
        <w:ind w:firstLine="640"/>
        <w:textAlignment w:val="auto"/>
      </w:pPr>
      <w:bookmarkStart w:id="21" w:name="_Toc21443"/>
      <w:bookmarkStart w:id="22" w:name="_Toc86320205"/>
      <w:r>
        <w:rPr>
          <w:rFonts w:hint="eastAsia"/>
        </w:rPr>
        <w:t>（一）综合评价结论</w:t>
      </w:r>
      <w:bookmarkEnd w:id="21"/>
      <w:bookmarkEnd w:id="22"/>
    </w:p>
    <w:p w14:paraId="2E2569D8">
      <w:pPr>
        <w:pageBreakBefore w:val="0"/>
        <w:kinsoku/>
        <w:wordWrap/>
        <w:overflowPunct/>
        <w:topLinePunct w:val="0"/>
        <w:autoSpaceDE/>
        <w:autoSpaceDN/>
        <w:bidi w:val="0"/>
        <w:adjustRightInd/>
        <w:snapToGrid/>
        <w:spacing w:line="560" w:lineRule="exact"/>
        <w:ind w:firstLine="640" w:firstLineChars="200"/>
        <w:textAlignment w:val="auto"/>
        <w:rPr>
          <w:rFonts w:ascii="Times New Roman Regular" w:hAnsi="Times New Roman Regular" w:eastAsia="黑体" w:cs="Times New Roman Regular"/>
          <w:sz w:val="24"/>
        </w:rPr>
      </w:pPr>
      <w:r>
        <w:rPr>
          <w:rFonts w:hint="eastAsia" w:ascii="仿宋_GB2312" w:hAnsi="仿宋_GB2312" w:eastAsia="仿宋_GB2312" w:cs="仿宋_GB2312"/>
          <w:sz w:val="32"/>
          <w:szCs w:val="32"/>
          <w:lang w:eastAsia="zh-CN"/>
        </w:rPr>
        <w:t>2023—2025年科技创业孵化股权投资资金</w:t>
      </w:r>
      <w:r>
        <w:rPr>
          <w:rFonts w:hint="eastAsia" w:ascii="仿宋_GB2312" w:hAnsi="仿宋_GB2312" w:eastAsia="仿宋_GB2312" w:cs="仿宋_GB2312"/>
          <w:sz w:val="32"/>
          <w:szCs w:val="32"/>
        </w:rPr>
        <w:t>政策</w:t>
      </w:r>
      <w:r>
        <w:rPr>
          <w:rFonts w:hint="eastAsia" w:ascii="仿宋_GB2312" w:hAnsi="仿宋_GB2312" w:eastAsia="仿宋_GB2312" w:cs="仿宋_GB2312"/>
          <w:sz w:val="32"/>
          <w:szCs w:val="40"/>
        </w:rPr>
        <w:t>绩效评价得分</w:t>
      </w:r>
      <w:r>
        <w:rPr>
          <w:rFonts w:hint="eastAsia" w:ascii="仿宋_GB2312" w:hAnsi="仿宋_GB2312" w:eastAsia="仿宋_GB2312" w:cs="仿宋_GB2312"/>
          <w:sz w:val="32"/>
          <w:szCs w:val="40"/>
          <w:lang w:val="en-US" w:eastAsia="zh-CN"/>
        </w:rPr>
        <w:t>84.8</w:t>
      </w:r>
      <w:r>
        <w:rPr>
          <w:rFonts w:hint="eastAsia" w:ascii="仿宋_GB2312" w:hAnsi="仿宋_GB2312" w:eastAsia="仿宋_GB2312" w:cs="仿宋_GB2312"/>
          <w:sz w:val="32"/>
          <w:szCs w:val="40"/>
        </w:rPr>
        <w:t>分，评价结果为</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良</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highlight w:val="none"/>
          <w:lang w:eastAsia="zh-CN"/>
        </w:rPr>
        <w:t>具体情况如下：</w:t>
      </w:r>
    </w:p>
    <w:p w14:paraId="605E7923">
      <w:pPr>
        <w:spacing w:line="600" w:lineRule="exact"/>
        <w:ind w:firstLine="482" w:firstLineChars="200"/>
        <w:jc w:val="center"/>
        <w:rPr>
          <w:rFonts w:hint="eastAsia" w:ascii="Times New Roman" w:hAnsi="Times New Roman" w:eastAsia="仿宋_GB2312" w:cstheme="minorBidi"/>
          <w:b/>
          <w:bCs/>
          <w:kern w:val="0"/>
          <w:sz w:val="24"/>
          <w:szCs w:val="24"/>
          <w:lang w:val="en-US" w:eastAsia="zh-CN" w:bidi="ar-SA"/>
        </w:rPr>
      </w:pPr>
    </w:p>
    <w:p w14:paraId="55027430">
      <w:pPr>
        <w:spacing w:line="600" w:lineRule="exact"/>
        <w:ind w:firstLine="482" w:firstLineChars="200"/>
        <w:jc w:val="center"/>
        <w:rPr>
          <w:rFonts w:hint="eastAsia" w:ascii="Times New Roman" w:hAnsi="Times New Roman" w:eastAsia="仿宋_GB2312" w:cstheme="minorBidi"/>
          <w:b/>
          <w:bCs/>
          <w:kern w:val="0"/>
          <w:sz w:val="24"/>
          <w:szCs w:val="24"/>
          <w:lang w:val="en-US" w:eastAsia="zh-CN" w:bidi="ar-SA"/>
        </w:rPr>
      </w:pPr>
    </w:p>
    <w:p w14:paraId="36065258">
      <w:pPr>
        <w:spacing w:line="600" w:lineRule="exact"/>
        <w:ind w:firstLine="482" w:firstLineChars="200"/>
        <w:jc w:val="center"/>
        <w:rPr>
          <w:rFonts w:hint="eastAsia" w:ascii="Times New Roman" w:hAnsi="Times New Roman" w:eastAsia="仿宋_GB2312" w:cstheme="minorBidi"/>
          <w:b/>
          <w:bCs/>
          <w:kern w:val="0"/>
          <w:sz w:val="24"/>
          <w:szCs w:val="24"/>
          <w:lang w:val="en-US" w:eastAsia="zh-CN" w:bidi="ar-SA"/>
        </w:rPr>
      </w:pPr>
      <w:r>
        <w:rPr>
          <w:rFonts w:hint="eastAsia" w:ascii="Times New Roman" w:hAnsi="Times New Roman" w:eastAsia="仿宋_GB2312" w:cstheme="minorBidi"/>
          <w:b/>
          <w:bCs/>
          <w:kern w:val="0"/>
          <w:sz w:val="24"/>
          <w:szCs w:val="24"/>
          <w:lang w:val="en-US" w:eastAsia="zh-CN" w:bidi="ar-SA"/>
        </w:rPr>
        <w:t>表</w:t>
      </w:r>
      <w:r>
        <w:rPr>
          <w:rFonts w:hint="eastAsia" w:ascii="仿宋_GB2312" w:hAnsi="仿宋_GB2312" w:eastAsia="仿宋_GB2312" w:cs="仿宋_GB2312"/>
          <w:b/>
          <w:bCs/>
          <w:kern w:val="0"/>
          <w:sz w:val="24"/>
          <w:szCs w:val="24"/>
          <w:lang w:val="en-US" w:eastAsia="zh-CN" w:bidi="ar-SA"/>
        </w:rPr>
        <w:t>3</w:t>
      </w:r>
      <w:r>
        <w:rPr>
          <w:rFonts w:hint="eastAsia" w:ascii="Times New Roman" w:hAnsi="Times New Roman" w:eastAsia="仿宋_GB2312" w:cstheme="minorBidi"/>
          <w:b/>
          <w:bCs/>
          <w:kern w:val="0"/>
          <w:sz w:val="24"/>
          <w:szCs w:val="24"/>
          <w:lang w:val="en-US" w:eastAsia="zh-CN" w:bidi="ar-SA"/>
        </w:rPr>
        <w:t>-</w:t>
      </w:r>
      <w:r>
        <w:rPr>
          <w:rFonts w:hint="eastAsia" w:ascii="仿宋_GB2312" w:hAnsi="仿宋_GB2312" w:eastAsia="仿宋_GB2312" w:cs="仿宋_GB2312"/>
          <w:b/>
          <w:bCs/>
          <w:kern w:val="0"/>
          <w:sz w:val="24"/>
          <w:szCs w:val="24"/>
          <w:lang w:val="en-US" w:eastAsia="zh-CN" w:bidi="ar-SA"/>
        </w:rPr>
        <w:t xml:space="preserve">1 </w:t>
      </w:r>
      <w:r>
        <w:rPr>
          <w:rFonts w:hint="eastAsia" w:ascii="Times New Roman" w:hAnsi="Times New Roman" w:eastAsia="仿宋_GB2312" w:cstheme="minorBidi"/>
          <w:b/>
          <w:bCs/>
          <w:kern w:val="0"/>
          <w:sz w:val="24"/>
          <w:szCs w:val="24"/>
          <w:lang w:val="en-US" w:eastAsia="zh-CN" w:bidi="ar-SA"/>
        </w:rPr>
        <w:t>科技创业孵化股权投资资金政策绩效评价得分情况表</w:t>
      </w:r>
    </w:p>
    <w:tbl>
      <w:tblPr>
        <w:tblStyle w:val="18"/>
        <w:tblW w:w="4997" w:type="pct"/>
        <w:tblInd w:w="0" w:type="dxa"/>
        <w:tblLayout w:type="autofit"/>
        <w:tblCellMar>
          <w:top w:w="0" w:type="dxa"/>
          <w:left w:w="108" w:type="dxa"/>
          <w:bottom w:w="0" w:type="dxa"/>
          <w:right w:w="108" w:type="dxa"/>
        </w:tblCellMar>
      </w:tblPr>
      <w:tblGrid>
        <w:gridCol w:w="2179"/>
        <w:gridCol w:w="2186"/>
        <w:gridCol w:w="1861"/>
        <w:gridCol w:w="2291"/>
      </w:tblGrid>
      <w:tr w14:paraId="6ED22742">
        <w:tblPrEx>
          <w:tblCellMar>
            <w:top w:w="0" w:type="dxa"/>
            <w:left w:w="108" w:type="dxa"/>
            <w:bottom w:w="0" w:type="dxa"/>
            <w:right w:w="108" w:type="dxa"/>
          </w:tblCellMar>
        </w:tblPrEx>
        <w:trPr>
          <w:trHeight w:val="465" w:hRule="atLeast"/>
          <w:tblHeader/>
        </w:trPr>
        <w:tc>
          <w:tcPr>
            <w:tcW w:w="1279"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F51515C">
            <w:pPr>
              <w:widowControl/>
              <w:jc w:val="center"/>
              <w:textAlignment w:val="center"/>
              <w:rPr>
                <w:rFonts w:hint="eastAsia" w:ascii="黑体" w:hAnsi="宋体" w:eastAsia="黑体" w:cs="黑体"/>
                <w:color w:val="000000"/>
                <w:sz w:val="24"/>
              </w:rPr>
            </w:pPr>
            <w:r>
              <w:rPr>
                <w:rFonts w:ascii="黑体" w:hAnsi="宋体" w:eastAsia="黑体" w:cs="黑体"/>
                <w:color w:val="000000"/>
                <w:kern w:val="0"/>
                <w:sz w:val="24"/>
                <w:lang w:bidi="ar"/>
              </w:rPr>
              <w:t>一级指标</w:t>
            </w:r>
          </w:p>
        </w:tc>
        <w:tc>
          <w:tcPr>
            <w:tcW w:w="1283"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5E62ECA5">
            <w:pPr>
              <w:widowControl/>
              <w:jc w:val="center"/>
              <w:textAlignment w:val="center"/>
              <w:rPr>
                <w:rFonts w:hint="eastAsia" w:ascii="黑体" w:hAnsi="宋体" w:eastAsia="黑体" w:cs="黑体"/>
                <w:color w:val="000000"/>
                <w:sz w:val="24"/>
              </w:rPr>
            </w:pPr>
            <w:r>
              <w:rPr>
                <w:rFonts w:ascii="黑体" w:hAnsi="宋体" w:eastAsia="黑体" w:cs="黑体"/>
                <w:color w:val="000000"/>
                <w:kern w:val="0"/>
                <w:sz w:val="24"/>
                <w:lang w:bidi="ar"/>
              </w:rPr>
              <w:t>指标分值</w:t>
            </w:r>
          </w:p>
        </w:tc>
        <w:tc>
          <w:tcPr>
            <w:tcW w:w="1092"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8BA18C4">
            <w:pPr>
              <w:widowControl/>
              <w:jc w:val="center"/>
              <w:textAlignment w:val="center"/>
              <w:rPr>
                <w:rFonts w:hint="eastAsia" w:ascii="黑体" w:hAnsi="宋体" w:eastAsia="黑体" w:cs="黑体"/>
                <w:color w:val="000000"/>
                <w:sz w:val="24"/>
              </w:rPr>
            </w:pPr>
            <w:r>
              <w:rPr>
                <w:rFonts w:ascii="黑体" w:hAnsi="宋体" w:eastAsia="黑体" w:cs="黑体"/>
                <w:color w:val="000000"/>
                <w:kern w:val="0"/>
                <w:sz w:val="24"/>
                <w:lang w:bidi="ar"/>
              </w:rPr>
              <w:t>得分</w:t>
            </w:r>
          </w:p>
        </w:tc>
        <w:tc>
          <w:tcPr>
            <w:tcW w:w="1344"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432E01E">
            <w:pPr>
              <w:widowControl/>
              <w:jc w:val="center"/>
              <w:textAlignment w:val="center"/>
              <w:rPr>
                <w:rFonts w:hint="eastAsia" w:ascii="黑体" w:hAnsi="宋体" w:eastAsia="黑体" w:cs="黑体"/>
                <w:color w:val="000000"/>
                <w:sz w:val="24"/>
              </w:rPr>
            </w:pPr>
            <w:r>
              <w:rPr>
                <w:rFonts w:ascii="黑体" w:hAnsi="宋体" w:eastAsia="黑体" w:cs="黑体"/>
                <w:color w:val="000000"/>
                <w:kern w:val="0"/>
                <w:sz w:val="24"/>
                <w:lang w:bidi="ar"/>
              </w:rPr>
              <w:t>得分率</w:t>
            </w:r>
          </w:p>
        </w:tc>
      </w:tr>
      <w:tr w14:paraId="17E8D02E">
        <w:tblPrEx>
          <w:tblCellMar>
            <w:top w:w="0" w:type="dxa"/>
            <w:left w:w="108" w:type="dxa"/>
            <w:bottom w:w="0" w:type="dxa"/>
            <w:right w:w="108" w:type="dxa"/>
          </w:tblCellMar>
        </w:tblPrEx>
        <w:trPr>
          <w:trHeight w:val="46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4037">
            <w:pPr>
              <w:widowControl/>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政策制定</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5C47">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eastAsia" w:ascii="仿宋_GB2312" w:hAnsi="宋体" w:eastAsia="仿宋_GB2312" w:cs="仿宋_GB2312"/>
                <w:i w:val="0"/>
                <w:iCs w:val="0"/>
                <w:color w:val="000000"/>
                <w:kern w:val="0"/>
                <w:sz w:val="24"/>
                <w:szCs w:val="24"/>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7AA7">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eastAsia" w:ascii="仿宋_GB2312" w:hAnsi="宋体" w:eastAsia="仿宋_GB2312" w:cs="仿宋_GB2312"/>
                <w:i w:val="0"/>
                <w:iCs w:val="0"/>
                <w:color w:val="000000"/>
                <w:kern w:val="0"/>
                <w:sz w:val="24"/>
                <w:szCs w:val="24"/>
                <w:u w:val="none"/>
                <w:lang w:val="en-US" w:eastAsia="zh-CN" w:bidi="ar"/>
              </w:rPr>
              <w:t>10</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1A16">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eastAsia" w:ascii="仿宋_GB2312" w:hAnsi="宋体" w:eastAsia="仿宋_GB2312" w:cs="仿宋_GB2312"/>
                <w:i w:val="0"/>
                <w:iCs w:val="0"/>
                <w:color w:val="000000"/>
                <w:kern w:val="0"/>
                <w:sz w:val="24"/>
                <w:szCs w:val="24"/>
                <w:u w:val="none"/>
                <w:lang w:val="en-US" w:eastAsia="zh-CN" w:bidi="ar"/>
              </w:rPr>
              <w:t>100%</w:t>
            </w:r>
          </w:p>
        </w:tc>
      </w:tr>
      <w:tr w14:paraId="2EC3985F">
        <w:tblPrEx>
          <w:tblCellMar>
            <w:top w:w="0" w:type="dxa"/>
            <w:left w:w="108" w:type="dxa"/>
            <w:bottom w:w="0" w:type="dxa"/>
            <w:right w:w="108" w:type="dxa"/>
          </w:tblCellMar>
        </w:tblPrEx>
        <w:trPr>
          <w:trHeight w:val="46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6736">
            <w:pPr>
              <w:widowControl/>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政策实施</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D9BC">
            <w:pPr>
              <w:keepNext w:val="0"/>
              <w:keepLines w:val="0"/>
              <w:widowControl/>
              <w:suppressLineNumbers w:val="0"/>
              <w:jc w:val="center"/>
              <w:textAlignment w:val="center"/>
              <w:rPr>
                <w:rFonts w:hint="default" w:ascii="仿宋_GB2312" w:hAnsi="仿宋_GB2312" w:eastAsia="仿宋_GB2312" w:cs="仿宋_GB2312"/>
                <w:color w:val="000000"/>
                <w:sz w:val="24"/>
                <w:highlight w:val="none"/>
                <w:lang w:val="en-US"/>
              </w:rPr>
            </w:pPr>
            <w:r>
              <w:rPr>
                <w:rFonts w:hint="eastAsia" w:ascii="仿宋_GB2312" w:hAnsi="宋体" w:eastAsia="仿宋_GB2312" w:cs="仿宋_GB2312"/>
                <w:i w:val="0"/>
                <w:iCs w:val="0"/>
                <w:color w:val="000000"/>
                <w:kern w:val="0"/>
                <w:sz w:val="24"/>
                <w:szCs w:val="24"/>
                <w:u w:val="none"/>
                <w:lang w:val="en-US" w:eastAsia="zh-CN" w:bidi="ar"/>
              </w:rPr>
              <w:t>25</w:t>
            </w:r>
          </w:p>
        </w:tc>
        <w:tc>
          <w:tcPr>
            <w:tcW w:w="1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EE7B">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eastAsia" w:ascii="仿宋_GB2312" w:hAnsi="宋体" w:eastAsia="仿宋_GB2312" w:cs="仿宋_GB2312"/>
                <w:i w:val="0"/>
                <w:iCs w:val="0"/>
                <w:color w:val="000000"/>
                <w:kern w:val="0"/>
                <w:sz w:val="24"/>
                <w:szCs w:val="24"/>
                <w:u w:val="none"/>
                <w:lang w:val="en-US" w:eastAsia="zh-CN" w:bidi="ar"/>
              </w:rPr>
              <w:t>21</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646C">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eastAsia" w:ascii="仿宋_GB2312" w:hAnsi="宋体" w:eastAsia="仿宋_GB2312" w:cs="仿宋_GB2312"/>
                <w:i w:val="0"/>
                <w:iCs w:val="0"/>
                <w:color w:val="000000"/>
                <w:kern w:val="0"/>
                <w:sz w:val="24"/>
                <w:szCs w:val="24"/>
                <w:u w:val="none"/>
                <w:lang w:val="en-US" w:eastAsia="zh-CN" w:bidi="ar"/>
              </w:rPr>
              <w:t>84%</w:t>
            </w:r>
          </w:p>
        </w:tc>
      </w:tr>
      <w:tr w14:paraId="1598B402">
        <w:tblPrEx>
          <w:tblCellMar>
            <w:top w:w="0" w:type="dxa"/>
            <w:left w:w="108" w:type="dxa"/>
            <w:bottom w:w="0" w:type="dxa"/>
            <w:right w:w="108" w:type="dxa"/>
          </w:tblCellMar>
        </w:tblPrEx>
        <w:trPr>
          <w:trHeight w:val="46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2271">
            <w:pPr>
              <w:widowControl/>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政策效果</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E633">
            <w:pPr>
              <w:keepNext w:val="0"/>
              <w:keepLines w:val="0"/>
              <w:widowControl/>
              <w:suppressLineNumbers w:val="0"/>
              <w:jc w:val="center"/>
              <w:textAlignment w:val="center"/>
              <w:rPr>
                <w:rFonts w:hint="default" w:ascii="仿宋_GB2312" w:hAnsi="仿宋_GB2312" w:eastAsia="仿宋_GB2312" w:cs="仿宋_GB2312"/>
                <w:color w:val="000000"/>
                <w:sz w:val="24"/>
                <w:highlight w:val="none"/>
                <w:lang w:val="en-US"/>
              </w:rPr>
            </w:pPr>
            <w:r>
              <w:rPr>
                <w:rFonts w:hint="eastAsia" w:ascii="仿宋_GB2312" w:hAnsi="宋体" w:eastAsia="仿宋_GB2312" w:cs="仿宋_GB2312"/>
                <w:i w:val="0"/>
                <w:iCs w:val="0"/>
                <w:color w:val="000000"/>
                <w:kern w:val="0"/>
                <w:sz w:val="24"/>
                <w:szCs w:val="24"/>
                <w:u w:val="none"/>
                <w:lang w:val="en-US" w:eastAsia="zh-CN" w:bidi="ar"/>
              </w:rPr>
              <w:t>65</w:t>
            </w:r>
          </w:p>
        </w:tc>
        <w:tc>
          <w:tcPr>
            <w:tcW w:w="1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5526">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eastAsia" w:ascii="仿宋_GB2312" w:hAnsi="宋体" w:eastAsia="仿宋_GB2312" w:cs="仿宋_GB2312"/>
                <w:i w:val="0"/>
                <w:iCs w:val="0"/>
                <w:color w:val="000000"/>
                <w:kern w:val="0"/>
                <w:sz w:val="24"/>
                <w:szCs w:val="24"/>
                <w:u w:val="none"/>
                <w:lang w:val="en-US" w:eastAsia="zh-CN" w:bidi="ar"/>
              </w:rPr>
              <w:t>53.8</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995D">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eastAsia" w:ascii="仿宋_GB2312" w:hAnsi="宋体" w:eastAsia="仿宋_GB2312" w:cs="仿宋_GB2312"/>
                <w:i w:val="0"/>
                <w:iCs w:val="0"/>
                <w:color w:val="000000"/>
                <w:kern w:val="0"/>
                <w:sz w:val="24"/>
                <w:szCs w:val="24"/>
                <w:u w:val="none"/>
                <w:lang w:val="en-US" w:eastAsia="zh-CN" w:bidi="ar"/>
              </w:rPr>
              <w:t>82.77%</w:t>
            </w:r>
          </w:p>
        </w:tc>
      </w:tr>
      <w:tr w14:paraId="7886DBBB">
        <w:tblPrEx>
          <w:tblCellMar>
            <w:top w:w="0" w:type="dxa"/>
            <w:left w:w="108" w:type="dxa"/>
            <w:bottom w:w="0" w:type="dxa"/>
            <w:right w:w="108" w:type="dxa"/>
          </w:tblCellMar>
        </w:tblPrEx>
        <w:trPr>
          <w:trHeight w:val="46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8C7A">
            <w:pPr>
              <w:widowControl/>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合计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035B">
            <w:pPr>
              <w:keepNext w:val="0"/>
              <w:keepLines w:val="0"/>
              <w:widowControl/>
              <w:suppressLineNumbers w:val="0"/>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i w:val="0"/>
                <w:iCs w:val="0"/>
                <w:color w:val="000000"/>
                <w:kern w:val="0"/>
                <w:sz w:val="24"/>
                <w:szCs w:val="24"/>
                <w:u w:val="none"/>
                <w:lang w:val="en-US" w:eastAsia="zh-CN" w:bidi="ar"/>
              </w:rPr>
              <w:t>100</w:t>
            </w:r>
          </w:p>
        </w:tc>
        <w:tc>
          <w:tcPr>
            <w:tcW w:w="1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8439">
            <w:pPr>
              <w:keepNext w:val="0"/>
              <w:keepLines w:val="0"/>
              <w:widowControl/>
              <w:suppressLineNumbers w:val="0"/>
              <w:jc w:val="center"/>
              <w:textAlignment w:val="center"/>
              <w:rPr>
                <w:rFonts w:hint="eastAsia" w:ascii="仿宋_GB2312" w:hAnsi="仿宋_GB2312" w:eastAsia="仿宋_GB2312" w:cs="仿宋_GB2312"/>
                <w:b/>
                <w:bCs/>
                <w:color w:val="000000"/>
                <w:sz w:val="24"/>
              </w:rPr>
            </w:pPr>
            <w:r>
              <w:rPr>
                <w:rFonts w:hint="eastAsia" w:ascii="仿宋_GB2312" w:hAnsi="等线" w:eastAsia="仿宋_GB2312" w:cs="仿宋_GB2312"/>
                <w:b/>
                <w:bCs/>
                <w:i w:val="0"/>
                <w:iCs w:val="0"/>
                <w:color w:val="000000"/>
                <w:kern w:val="0"/>
                <w:sz w:val="24"/>
                <w:szCs w:val="24"/>
                <w:u w:val="none"/>
                <w:lang w:val="en-US" w:eastAsia="zh-CN" w:bidi="ar"/>
              </w:rPr>
              <w:t>84.8</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7E9A">
            <w:pPr>
              <w:keepNext w:val="0"/>
              <w:keepLines w:val="0"/>
              <w:widowControl/>
              <w:suppressLineNumbers w:val="0"/>
              <w:jc w:val="center"/>
              <w:textAlignment w:val="center"/>
              <w:rPr>
                <w:rFonts w:hint="eastAsia" w:ascii="仿宋_GB2312" w:hAnsi="仿宋_GB2312" w:eastAsia="仿宋_GB2312" w:cs="仿宋_GB2312"/>
                <w:b/>
                <w:bCs/>
                <w:color w:val="000000"/>
                <w:sz w:val="24"/>
              </w:rPr>
            </w:pPr>
            <w:r>
              <w:rPr>
                <w:rFonts w:hint="eastAsia" w:ascii="仿宋_GB2312" w:hAnsi="等线" w:eastAsia="仿宋_GB2312" w:cs="仿宋_GB2312"/>
                <w:b/>
                <w:bCs/>
                <w:i w:val="0"/>
                <w:iCs w:val="0"/>
                <w:color w:val="000000"/>
                <w:kern w:val="0"/>
                <w:sz w:val="24"/>
                <w:szCs w:val="24"/>
                <w:u w:val="none"/>
                <w:lang w:val="en-US" w:eastAsia="zh-CN" w:bidi="ar"/>
              </w:rPr>
              <w:t>84.8%</w:t>
            </w:r>
          </w:p>
        </w:tc>
      </w:tr>
    </w:tbl>
    <w:p w14:paraId="7525D6B6">
      <w:pPr>
        <w:pStyle w:val="3"/>
        <w:pageBreakBefore w:val="0"/>
        <w:kinsoku/>
        <w:wordWrap/>
        <w:overflowPunct/>
        <w:topLinePunct w:val="0"/>
        <w:autoSpaceDE/>
        <w:autoSpaceDN/>
        <w:bidi w:val="0"/>
        <w:adjustRightInd/>
        <w:snapToGrid/>
        <w:spacing w:before="0" w:after="0" w:line="560" w:lineRule="exact"/>
        <w:ind w:firstLine="640" w:firstLineChars="200"/>
        <w:textAlignment w:val="auto"/>
      </w:pPr>
      <w:bookmarkStart w:id="23" w:name="_Toc1232223710"/>
      <w:bookmarkStart w:id="24" w:name="_Toc4439"/>
      <w:r>
        <w:rPr>
          <w:rFonts w:hint="eastAsia"/>
        </w:rPr>
        <w:t>（二）指标分析</w:t>
      </w:r>
      <w:bookmarkEnd w:id="23"/>
      <w:bookmarkEnd w:id="24"/>
    </w:p>
    <w:p w14:paraId="7A5F82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40"/>
        </w:rPr>
      </w:pPr>
      <w:r>
        <w:rPr>
          <w:rFonts w:hint="eastAsia" w:ascii="仿宋_GB2312" w:hAnsi="仿宋_GB2312" w:eastAsia="仿宋_GB2312" w:cs="仿宋_GB2312"/>
          <w:b w:val="0"/>
          <w:bCs w:val="0"/>
          <w:sz w:val="32"/>
          <w:szCs w:val="40"/>
        </w:rPr>
        <w:t>1.政策制定指标分析</w:t>
      </w:r>
    </w:p>
    <w:p w14:paraId="5870DC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sz w:val="32"/>
          <w:szCs w:val="32"/>
        </w:rPr>
      </w:pPr>
      <w:bookmarkStart w:id="25" w:name="_Toc18993"/>
      <w:bookmarkStart w:id="26" w:name="_Toc29925"/>
      <w:bookmarkStart w:id="27" w:name="_Toc12725"/>
      <w:bookmarkStart w:id="28" w:name="_Toc29879"/>
      <w:bookmarkStart w:id="29" w:name="_Toc18746"/>
      <w:bookmarkStart w:id="30" w:name="_Toc4339"/>
      <w:bookmarkStart w:id="31" w:name="_Toc32216"/>
      <w:bookmarkStart w:id="32" w:name="_Toc2571"/>
      <w:r>
        <w:rPr>
          <w:rFonts w:hint="eastAsia" w:ascii="仿宋_GB2312" w:hAnsi="仿宋_GB2312" w:eastAsia="仿宋_GB2312" w:cs="仿宋_GB2312"/>
          <w:b w:val="0"/>
          <w:bCs w:val="0"/>
          <w:sz w:val="32"/>
          <w:szCs w:val="40"/>
        </w:rPr>
        <w:t>政策制定</w:t>
      </w:r>
      <w:r>
        <w:rPr>
          <w:rFonts w:hint="eastAsia" w:ascii="仿宋_GB2312" w:hAnsi="仿宋_GB2312" w:eastAsia="仿宋_GB2312" w:cs="仿宋_GB2312"/>
          <w:b w:val="0"/>
          <w:bCs w:val="0"/>
          <w:kern w:val="0"/>
          <w:sz w:val="32"/>
          <w:szCs w:val="32"/>
        </w:rPr>
        <w:t>指标满分</w:t>
      </w:r>
      <w:r>
        <w:rPr>
          <w:rFonts w:hint="eastAsia" w:ascii="仿宋_GB2312" w:hAnsi="仿宋_GB2312" w:eastAsia="仿宋_GB2312" w:cs="仿宋_GB2312"/>
          <w:b w:val="0"/>
          <w:bCs w:val="0"/>
          <w:kern w:val="0"/>
          <w:sz w:val="32"/>
          <w:szCs w:val="32"/>
          <w:lang w:val="en-US" w:eastAsia="zh-CN"/>
        </w:rPr>
        <w:t>1</w:t>
      </w:r>
      <w:r>
        <w:rPr>
          <w:rFonts w:hint="eastAsia" w:ascii="仿宋_GB2312" w:hAnsi="仿宋_GB2312" w:eastAsia="仿宋_GB2312" w:cs="仿宋_GB2312"/>
          <w:b w:val="0"/>
          <w:bCs w:val="0"/>
          <w:kern w:val="0"/>
          <w:sz w:val="32"/>
          <w:szCs w:val="32"/>
        </w:rPr>
        <w:t>0分，得分</w:t>
      </w:r>
      <w:r>
        <w:rPr>
          <w:rFonts w:hint="eastAsia" w:ascii="仿宋_GB2312" w:hAnsi="仿宋_GB2312" w:eastAsia="仿宋_GB2312" w:cs="仿宋_GB2312"/>
          <w:b w:val="0"/>
          <w:bCs w:val="0"/>
          <w:kern w:val="0"/>
          <w:sz w:val="32"/>
          <w:szCs w:val="32"/>
          <w:lang w:val="en-US" w:eastAsia="zh-CN"/>
        </w:rPr>
        <w:t>10</w:t>
      </w:r>
      <w:r>
        <w:rPr>
          <w:rFonts w:hint="eastAsia" w:ascii="仿宋_GB2312" w:hAnsi="仿宋_GB2312" w:eastAsia="仿宋_GB2312" w:cs="仿宋_GB2312"/>
          <w:b w:val="0"/>
          <w:bCs w:val="0"/>
          <w:kern w:val="0"/>
          <w:sz w:val="32"/>
          <w:szCs w:val="32"/>
        </w:rPr>
        <w:t>分，得分率为</w:t>
      </w:r>
      <w:r>
        <w:rPr>
          <w:rFonts w:hint="eastAsia" w:ascii="仿宋_GB2312" w:hAnsi="仿宋_GB2312" w:eastAsia="仿宋_GB2312" w:cs="仿宋_GB2312"/>
          <w:b w:val="0"/>
          <w:bCs w:val="0"/>
          <w:kern w:val="0"/>
          <w:sz w:val="32"/>
          <w:szCs w:val="32"/>
          <w:lang w:val="en-US" w:eastAsia="zh-CN"/>
        </w:rPr>
        <w:t>100</w:t>
      </w:r>
      <w:r>
        <w:rPr>
          <w:rFonts w:hint="eastAsia" w:ascii="仿宋_GB2312" w:hAnsi="仿宋_GB2312" w:eastAsia="仿宋_GB2312" w:cs="仿宋_GB2312"/>
          <w:b w:val="0"/>
          <w:bCs w:val="0"/>
          <w:kern w:val="0"/>
          <w:sz w:val="32"/>
          <w:szCs w:val="32"/>
        </w:rPr>
        <w:t>%。</w:t>
      </w:r>
      <w:bookmarkEnd w:id="25"/>
      <w:bookmarkEnd w:id="26"/>
      <w:bookmarkEnd w:id="27"/>
      <w:bookmarkEnd w:id="28"/>
      <w:bookmarkEnd w:id="29"/>
      <w:bookmarkEnd w:id="30"/>
      <w:bookmarkEnd w:id="31"/>
      <w:bookmarkEnd w:id="32"/>
      <w:r>
        <w:rPr>
          <w:rFonts w:hint="eastAsia" w:ascii="仿宋_GB2312" w:hAnsi="仿宋_GB2312" w:eastAsia="仿宋_GB2312" w:cs="仿宋_GB2312"/>
          <w:b w:val="0"/>
          <w:bCs w:val="0"/>
          <w:kern w:val="0"/>
          <w:sz w:val="32"/>
          <w:szCs w:val="32"/>
        </w:rPr>
        <w:t>政策制定符合国家法律法规、国民经济发展规划、行业政策及部门职责范围，属于公共财政支持范畴；政策设立按规定程序申请，审批文件材料齐全合规，事前经过集体决策等必要环节；已制定相关资金管理办法并明确资金分配办法，</w:t>
      </w:r>
      <w:r>
        <w:rPr>
          <w:rFonts w:hint="eastAsia" w:ascii="仿宋_GB2312" w:hAnsi="仿宋_GB2312" w:eastAsia="仿宋_GB2312" w:cs="仿宋_GB2312"/>
          <w:b w:val="0"/>
          <w:bCs w:val="0"/>
          <w:kern w:val="0"/>
          <w:sz w:val="32"/>
          <w:szCs w:val="32"/>
          <w:lang w:val="en-US" w:eastAsia="zh-CN"/>
        </w:rPr>
        <w:t>能够</w:t>
      </w:r>
      <w:r>
        <w:rPr>
          <w:rFonts w:hint="eastAsia" w:ascii="仿宋_GB2312" w:hAnsi="仿宋_GB2312" w:eastAsia="仿宋_GB2312" w:cs="仿宋_GB2312"/>
          <w:b w:val="0"/>
          <w:bCs w:val="0"/>
          <w:kern w:val="0"/>
          <w:sz w:val="32"/>
          <w:szCs w:val="32"/>
        </w:rPr>
        <w:t>保障政策目标达成；政策设有绩效目标，与实际工作内容具有相关性，绩效目标编制较为合理。</w:t>
      </w:r>
    </w:p>
    <w:p w14:paraId="2AE71E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2.政策实施指标分析</w:t>
      </w:r>
    </w:p>
    <w:p w14:paraId="73C52E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政策实施指标满分</w:t>
      </w:r>
      <w:r>
        <w:rPr>
          <w:rFonts w:hint="eastAsia" w:ascii="仿宋_GB2312" w:hAnsi="仿宋_GB2312" w:eastAsia="仿宋_GB2312" w:cs="仿宋_GB2312"/>
          <w:b w:val="0"/>
          <w:bCs w:val="0"/>
          <w:kern w:val="0"/>
          <w:sz w:val="32"/>
          <w:szCs w:val="32"/>
          <w:lang w:val="en-US" w:eastAsia="zh-CN"/>
        </w:rPr>
        <w:t>25</w:t>
      </w:r>
      <w:r>
        <w:rPr>
          <w:rFonts w:hint="eastAsia" w:ascii="仿宋_GB2312" w:hAnsi="仿宋_GB2312" w:eastAsia="仿宋_GB2312" w:cs="仿宋_GB2312"/>
          <w:b w:val="0"/>
          <w:bCs w:val="0"/>
          <w:kern w:val="0"/>
          <w:sz w:val="32"/>
          <w:szCs w:val="32"/>
        </w:rPr>
        <w:t>分，得分</w:t>
      </w:r>
      <w:r>
        <w:rPr>
          <w:rFonts w:hint="eastAsia" w:ascii="仿宋_GB2312" w:hAnsi="仿宋_GB2312" w:eastAsia="仿宋_GB2312" w:cs="仿宋_GB2312"/>
          <w:b w:val="0"/>
          <w:bCs w:val="0"/>
          <w:kern w:val="0"/>
          <w:sz w:val="32"/>
          <w:szCs w:val="32"/>
          <w:lang w:val="en-US" w:eastAsia="zh-CN"/>
        </w:rPr>
        <w:t>21</w:t>
      </w:r>
      <w:r>
        <w:rPr>
          <w:rFonts w:hint="eastAsia" w:ascii="仿宋_GB2312" w:hAnsi="仿宋_GB2312" w:eastAsia="仿宋_GB2312" w:cs="仿宋_GB2312"/>
          <w:b w:val="0"/>
          <w:bCs w:val="0"/>
          <w:kern w:val="0"/>
          <w:sz w:val="32"/>
          <w:szCs w:val="32"/>
        </w:rPr>
        <w:t>分，得分率为</w:t>
      </w:r>
      <w:r>
        <w:rPr>
          <w:rFonts w:hint="eastAsia" w:ascii="仿宋_GB2312" w:hAnsi="仿宋_GB2312" w:eastAsia="仿宋_GB2312" w:cs="仿宋_GB2312"/>
          <w:b w:val="0"/>
          <w:bCs w:val="0"/>
          <w:kern w:val="0"/>
          <w:sz w:val="32"/>
          <w:szCs w:val="32"/>
          <w:lang w:val="en-US" w:eastAsia="zh-CN"/>
        </w:rPr>
        <w:t>84%</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2023—2025年科技创业孵化股权投资资金</w:t>
      </w:r>
      <w:r>
        <w:rPr>
          <w:rFonts w:hint="eastAsia" w:ascii="仿宋_GB2312" w:hAnsi="仿宋_GB2312" w:eastAsia="仿宋_GB2312" w:cs="仿宋_GB2312"/>
          <w:b w:val="0"/>
          <w:bCs w:val="0"/>
          <w:kern w:val="0"/>
          <w:sz w:val="32"/>
          <w:szCs w:val="32"/>
          <w:lang w:val="en-US" w:eastAsia="zh-CN"/>
        </w:rPr>
        <w:t>项目</w:t>
      </w:r>
      <w:r>
        <w:rPr>
          <w:rFonts w:hint="eastAsia" w:ascii="仿宋_GB2312" w:hAnsi="仿宋_GB2312" w:eastAsia="仿宋_GB2312" w:cs="仿宋_GB2312"/>
          <w:b w:val="0"/>
          <w:bCs w:val="0"/>
          <w:kern w:val="0"/>
          <w:sz w:val="32"/>
          <w:szCs w:val="32"/>
        </w:rPr>
        <w:t>预算数</w:t>
      </w:r>
      <w:r>
        <w:rPr>
          <w:rFonts w:hint="eastAsia" w:ascii="仿宋_GB2312" w:hAnsi="仿宋_GB2312" w:eastAsia="仿宋_GB2312" w:cs="仿宋_GB2312"/>
          <w:b w:val="0"/>
          <w:bCs w:val="0"/>
          <w:kern w:val="0"/>
          <w:sz w:val="32"/>
          <w:szCs w:val="32"/>
          <w:lang w:val="en-US" w:eastAsia="zh-CN"/>
        </w:rPr>
        <w:t>8400</w:t>
      </w:r>
      <w:r>
        <w:rPr>
          <w:rFonts w:hint="eastAsia" w:ascii="仿宋_GB2312" w:hAnsi="仿宋_GB2312" w:eastAsia="仿宋_GB2312" w:cs="仿宋_GB2312"/>
          <w:b w:val="0"/>
          <w:bCs w:val="0"/>
          <w:kern w:val="0"/>
          <w:sz w:val="32"/>
          <w:szCs w:val="32"/>
        </w:rPr>
        <w:t>万元，</w:t>
      </w:r>
      <w:r>
        <w:rPr>
          <w:rFonts w:hint="eastAsia" w:ascii="仿宋_GB2312" w:hAnsi="仿宋_GB2312" w:eastAsia="仿宋_GB2312" w:cs="仿宋_GB2312"/>
          <w:b w:val="0"/>
          <w:bCs w:val="0"/>
          <w:kern w:val="0"/>
          <w:sz w:val="32"/>
          <w:szCs w:val="32"/>
          <w:lang w:val="en-US" w:eastAsia="zh-CN"/>
        </w:rPr>
        <w:t>实际</w:t>
      </w:r>
      <w:r>
        <w:rPr>
          <w:rFonts w:hint="eastAsia" w:ascii="仿宋_GB2312" w:hAnsi="仿宋_GB2312" w:eastAsia="仿宋_GB2312" w:cs="仿宋_GB2312"/>
          <w:b w:val="0"/>
          <w:bCs w:val="0"/>
          <w:kern w:val="0"/>
          <w:sz w:val="32"/>
          <w:szCs w:val="32"/>
        </w:rPr>
        <w:t>支出</w:t>
      </w:r>
      <w:r>
        <w:rPr>
          <w:rFonts w:hint="eastAsia" w:ascii="仿宋_GB2312" w:hAnsi="仿宋_GB2312" w:eastAsia="仿宋_GB2312" w:cs="仿宋_GB2312"/>
          <w:b w:val="0"/>
          <w:bCs w:val="0"/>
          <w:kern w:val="0"/>
          <w:sz w:val="32"/>
          <w:szCs w:val="32"/>
          <w:lang w:val="en-US" w:eastAsia="zh-CN"/>
        </w:rPr>
        <w:t>8400</w:t>
      </w:r>
      <w:r>
        <w:rPr>
          <w:rFonts w:hint="eastAsia" w:ascii="仿宋_GB2312" w:hAnsi="仿宋_GB2312" w:eastAsia="仿宋_GB2312" w:cs="仿宋_GB2312"/>
          <w:b w:val="0"/>
          <w:bCs w:val="0"/>
          <w:kern w:val="0"/>
          <w:sz w:val="32"/>
          <w:szCs w:val="32"/>
        </w:rPr>
        <w:t>万元，预算执行率</w:t>
      </w:r>
      <w:r>
        <w:rPr>
          <w:rFonts w:hint="eastAsia" w:ascii="仿宋_GB2312" w:hAnsi="仿宋_GB2312" w:eastAsia="仿宋_GB2312" w:cs="仿宋_GB2312"/>
          <w:b w:val="0"/>
          <w:bCs w:val="0"/>
          <w:kern w:val="0"/>
          <w:sz w:val="32"/>
          <w:szCs w:val="32"/>
          <w:lang w:val="en-US" w:eastAsia="zh-CN"/>
        </w:rPr>
        <w:t>100</w:t>
      </w:r>
      <w:r>
        <w:rPr>
          <w:rFonts w:hint="eastAsia" w:ascii="仿宋_GB2312" w:hAnsi="仿宋_GB2312" w:eastAsia="仿宋_GB2312" w:cs="仿宋_GB2312"/>
          <w:b w:val="0"/>
          <w:bCs w:val="0"/>
          <w:kern w:val="0"/>
          <w:sz w:val="32"/>
          <w:szCs w:val="32"/>
        </w:rPr>
        <w:t>%。项目单位</w:t>
      </w:r>
      <w:r>
        <w:rPr>
          <w:rFonts w:hint="eastAsia" w:ascii="仿宋_GB2312" w:hAnsi="仿宋_GB2312" w:eastAsia="仿宋_GB2312" w:cs="仿宋_GB2312"/>
          <w:b w:val="0"/>
          <w:bCs w:val="0"/>
          <w:kern w:val="0"/>
          <w:sz w:val="32"/>
          <w:szCs w:val="32"/>
          <w:lang w:val="en-US" w:eastAsia="zh-CN"/>
        </w:rPr>
        <w:t>具有</w:t>
      </w:r>
      <w:r>
        <w:rPr>
          <w:rFonts w:hint="eastAsia" w:ascii="仿宋_GB2312" w:hAnsi="仿宋_GB2312" w:eastAsia="仿宋_GB2312" w:cs="仿宋_GB2312"/>
          <w:b w:val="0"/>
          <w:bCs w:val="0"/>
          <w:kern w:val="0"/>
          <w:sz w:val="32"/>
          <w:szCs w:val="32"/>
        </w:rPr>
        <w:t>相应投资管理办法</w:t>
      </w:r>
      <w:r>
        <w:rPr>
          <w:rFonts w:hint="eastAsia" w:ascii="仿宋_GB2312" w:hAnsi="仿宋_GB2312" w:eastAsia="仿宋_GB2312" w:cs="仿宋_GB2312"/>
          <w:b w:val="0"/>
          <w:bCs w:val="0"/>
          <w:kern w:val="0"/>
          <w:sz w:val="32"/>
          <w:szCs w:val="32"/>
          <w:lang w:eastAsia="zh-CN"/>
        </w:rPr>
        <w:t>、内部控制制度</w:t>
      </w:r>
      <w:r>
        <w:rPr>
          <w:rFonts w:hint="eastAsia" w:ascii="仿宋_GB2312" w:hAnsi="仿宋_GB2312" w:eastAsia="仿宋_GB2312" w:cs="仿宋_GB2312"/>
          <w:b w:val="0"/>
          <w:bCs w:val="0"/>
          <w:kern w:val="0"/>
          <w:sz w:val="32"/>
          <w:szCs w:val="32"/>
          <w:lang w:val="en-US" w:eastAsia="zh-CN"/>
        </w:rPr>
        <w:t>等业务管理制度</w:t>
      </w:r>
      <w:r>
        <w:rPr>
          <w:rFonts w:hint="eastAsia" w:ascii="仿宋_GB2312" w:hAnsi="仿宋_GB2312" w:eastAsia="仿宋_GB2312" w:cs="仿宋_GB2312"/>
          <w:b w:val="0"/>
          <w:bCs w:val="0"/>
          <w:kern w:val="0"/>
          <w:sz w:val="32"/>
          <w:szCs w:val="32"/>
        </w:rPr>
        <w:t>。</w:t>
      </w:r>
    </w:p>
    <w:p w14:paraId="04FA74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40"/>
          <w:lang w:val="en-US" w:eastAsia="zh-CN"/>
        </w:rPr>
      </w:pPr>
      <w:r>
        <w:rPr>
          <w:rFonts w:hint="eastAsia" w:ascii="仿宋_GB2312" w:hAnsi="仿宋_GB2312" w:eastAsia="仿宋_GB2312" w:cs="仿宋_GB2312"/>
          <w:b w:val="0"/>
          <w:bCs w:val="0"/>
          <w:kern w:val="0"/>
          <w:sz w:val="32"/>
          <w:szCs w:val="32"/>
        </w:rPr>
        <w:t>存在以下问题：</w:t>
      </w:r>
      <w:r>
        <w:rPr>
          <w:rFonts w:hint="eastAsia" w:ascii="仿宋_GB2312" w:hAnsi="仿宋_GB2312" w:eastAsia="仿宋_GB2312" w:cs="仿宋_GB2312"/>
          <w:b w:val="0"/>
          <w:bCs w:val="0"/>
          <w:kern w:val="0"/>
          <w:sz w:val="32"/>
          <w:szCs w:val="32"/>
          <w:lang w:val="en-US" w:eastAsia="zh-CN"/>
        </w:rPr>
        <w:t>一是专户资金划转不及时，资金未及时归集至专用托管账户。二是“硕果金”管理办法未及时修订完善。因政策原因，标杆孵化器评定工作难以有效开展，</w:t>
      </w:r>
      <w:r>
        <w:rPr>
          <w:rFonts w:hint="eastAsia" w:ascii="仿宋_GB2312" w:hAnsi="仿宋_GB2312" w:eastAsia="仿宋_GB2312" w:cs="仿宋_GB2312"/>
          <w:b w:val="0"/>
          <w:bCs/>
          <w:sz w:val="32"/>
          <w:szCs w:val="40"/>
          <w:highlight w:val="none"/>
          <w:lang w:val="en-US" w:eastAsia="zh-CN"/>
        </w:rPr>
        <w:t>根据《青岛市深化科技成果转化创新改革十条措施》（青政办字〔2024〕53 号）已调整政策支持范围，但与之对应的管理办法尚未做出匹配性的修订完善</w:t>
      </w:r>
      <w:r>
        <w:rPr>
          <w:rFonts w:hint="eastAsia" w:ascii="仿宋_GB2312" w:hAnsi="仿宋_GB2312" w:eastAsia="仿宋_GB2312" w:cs="仿宋_GB2312"/>
          <w:b w:val="0"/>
          <w:bCs w:val="0"/>
          <w:kern w:val="0"/>
          <w:sz w:val="32"/>
          <w:szCs w:val="32"/>
          <w:lang w:val="en-US" w:eastAsia="zh-CN"/>
        </w:rPr>
        <w:t>。三是财通集团未于4月30日前向联席会书面报送2025年度</w:t>
      </w:r>
      <w:r>
        <w:rPr>
          <w:rFonts w:hint="eastAsia" w:ascii="仿宋_GB2312" w:hAnsi="仿宋_GB2312" w:eastAsia="仿宋_GB2312" w:cs="仿宋_GB2312"/>
          <w:b w:val="0"/>
          <w:bCs w:val="0"/>
          <w:sz w:val="32"/>
          <w:szCs w:val="32"/>
          <w:lang w:val="en-US" w:eastAsia="zh-CN"/>
        </w:rPr>
        <w:t>“硕果金”</w:t>
      </w:r>
      <w:r>
        <w:rPr>
          <w:rFonts w:hint="eastAsia" w:ascii="仿宋_GB2312" w:hAnsi="仿宋_GB2312" w:eastAsia="仿宋_GB2312" w:cs="仿宋_GB2312"/>
          <w:b w:val="0"/>
          <w:bCs w:val="0"/>
          <w:kern w:val="0"/>
          <w:sz w:val="32"/>
          <w:szCs w:val="32"/>
          <w:lang w:val="en-US" w:eastAsia="zh-CN"/>
        </w:rPr>
        <w:t>年度运营报告及经审计的财务报告</w:t>
      </w:r>
      <w:r>
        <w:rPr>
          <w:rFonts w:hint="eastAsia" w:ascii="仿宋_GB2312" w:hAnsi="仿宋_GB2312" w:eastAsia="仿宋_GB2312" w:cs="仿宋_GB2312"/>
          <w:b w:val="0"/>
          <w:bCs w:val="0"/>
          <w:sz w:val="32"/>
          <w:szCs w:val="40"/>
          <w:lang w:val="en-US" w:eastAsia="zh-CN"/>
        </w:rPr>
        <w:t>。</w:t>
      </w:r>
    </w:p>
    <w:p w14:paraId="69927E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40"/>
        </w:rPr>
      </w:pPr>
      <w:r>
        <w:rPr>
          <w:rFonts w:hint="eastAsia" w:ascii="仿宋_GB2312" w:hAnsi="仿宋_GB2312" w:eastAsia="仿宋_GB2312" w:cs="仿宋_GB2312"/>
          <w:b w:val="0"/>
          <w:bCs w:val="0"/>
          <w:sz w:val="32"/>
          <w:szCs w:val="40"/>
        </w:rPr>
        <w:t>3.政策效果指标分析</w:t>
      </w:r>
    </w:p>
    <w:p w14:paraId="6E88CF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40"/>
        </w:rPr>
        <w:t>政策效果</w:t>
      </w:r>
      <w:r>
        <w:rPr>
          <w:rFonts w:hint="eastAsia" w:ascii="仿宋_GB2312" w:hAnsi="仿宋_GB2312" w:eastAsia="仿宋_GB2312" w:cs="仿宋_GB2312"/>
          <w:b w:val="0"/>
          <w:bCs w:val="0"/>
          <w:kern w:val="0"/>
          <w:sz w:val="32"/>
          <w:szCs w:val="32"/>
        </w:rPr>
        <w:t>指标满分6</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rPr>
        <w:t>分，得分</w:t>
      </w:r>
      <w:r>
        <w:rPr>
          <w:rFonts w:hint="eastAsia" w:ascii="仿宋_GB2312" w:hAnsi="仿宋_GB2312" w:eastAsia="仿宋_GB2312" w:cs="仿宋_GB2312"/>
          <w:b w:val="0"/>
          <w:bCs w:val="0"/>
          <w:kern w:val="0"/>
          <w:sz w:val="32"/>
          <w:szCs w:val="32"/>
          <w:lang w:val="en-US" w:eastAsia="zh-CN"/>
        </w:rPr>
        <w:t>53.8</w:t>
      </w:r>
      <w:r>
        <w:rPr>
          <w:rFonts w:hint="eastAsia" w:ascii="仿宋_GB2312" w:hAnsi="仿宋_GB2312" w:eastAsia="仿宋_GB2312" w:cs="仿宋_GB2312"/>
          <w:b w:val="0"/>
          <w:bCs w:val="0"/>
          <w:kern w:val="0"/>
          <w:sz w:val="32"/>
          <w:szCs w:val="32"/>
        </w:rPr>
        <w:t>分，得分率为82.77%。2023</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2025</w:t>
      </w:r>
      <w:r>
        <w:rPr>
          <w:rFonts w:hint="eastAsia" w:ascii="仿宋_GB2312" w:hAnsi="仿宋_GB2312" w:eastAsia="仿宋_GB2312" w:cs="仿宋_GB2312"/>
          <w:b w:val="0"/>
          <w:bCs w:val="0"/>
          <w:kern w:val="0"/>
          <w:sz w:val="32"/>
          <w:szCs w:val="32"/>
        </w:rPr>
        <w:t>年</w:t>
      </w:r>
      <w:r>
        <w:rPr>
          <w:rFonts w:hint="eastAsia" w:ascii="仿宋_GB2312" w:hAnsi="仿宋_GB2312" w:eastAsia="仿宋_GB2312" w:cs="仿宋_GB2312"/>
          <w:b w:val="0"/>
          <w:bCs w:val="0"/>
          <w:sz w:val="32"/>
          <w:szCs w:val="32"/>
          <w:lang w:val="en-US" w:eastAsia="zh-CN"/>
        </w:rPr>
        <w:t>“硕果金”</w:t>
      </w:r>
      <w:r>
        <w:rPr>
          <w:rFonts w:hint="eastAsia" w:ascii="仿宋_GB2312" w:hAnsi="仿宋_GB2312" w:eastAsia="仿宋_GB2312" w:cs="仿宋_GB2312"/>
          <w:b w:val="0"/>
          <w:bCs w:val="0"/>
          <w:kern w:val="0"/>
          <w:sz w:val="32"/>
          <w:szCs w:val="32"/>
        </w:rPr>
        <w:t>拨付至财通</w:t>
      </w:r>
      <w:r>
        <w:rPr>
          <w:rFonts w:hint="eastAsia" w:ascii="仿宋_GB2312" w:hAnsi="仿宋_GB2312" w:eastAsia="仿宋_GB2312" w:cs="仿宋_GB2312"/>
          <w:b w:val="0"/>
          <w:bCs w:val="0"/>
          <w:kern w:val="0"/>
          <w:sz w:val="32"/>
          <w:szCs w:val="32"/>
          <w:lang w:val="en-US" w:eastAsia="zh-CN"/>
        </w:rPr>
        <w:t>集团</w:t>
      </w:r>
      <w:r>
        <w:rPr>
          <w:rFonts w:hint="eastAsia" w:ascii="仿宋_GB2312" w:hAnsi="仿宋_GB2312" w:eastAsia="仿宋_GB2312" w:cs="仿宋_GB2312"/>
          <w:b w:val="0"/>
          <w:bCs w:val="0"/>
          <w:kern w:val="0"/>
          <w:sz w:val="32"/>
          <w:szCs w:val="32"/>
        </w:rPr>
        <w:t>8400万元，</w:t>
      </w:r>
      <w:r>
        <w:rPr>
          <w:rFonts w:hint="eastAsia" w:ascii="仿宋_GB2312" w:hAnsi="仿宋_GB2312" w:eastAsia="仿宋_GB2312" w:cs="仿宋_GB2312"/>
          <w:b w:val="0"/>
          <w:bCs/>
          <w:sz w:val="32"/>
          <w:szCs w:val="40"/>
          <w:highlight w:val="none"/>
          <w:lang w:val="en-US" w:eastAsia="zh-CN"/>
        </w:rPr>
        <w:t>扣除管理费后可投额度为8114万元，三年累计完成股权投资5550万元，整体投资进度68.4%</w:t>
      </w:r>
      <w:r>
        <w:rPr>
          <w:rFonts w:hint="eastAsia" w:ascii="仿宋_GB2312" w:hAnsi="仿宋_GB2312" w:eastAsia="仿宋_GB2312" w:cs="仿宋_GB2312"/>
          <w:b w:val="0"/>
          <w:bCs w:val="0"/>
          <w:kern w:val="0"/>
          <w:sz w:val="32"/>
          <w:szCs w:val="32"/>
        </w:rPr>
        <w:t>。被投资10家企业均为科技企业孵化器及科技园区和产业链专业园区孵化培育科技企业</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其中</w:t>
      </w:r>
      <w:r>
        <w:rPr>
          <w:rFonts w:hint="eastAsia" w:ascii="仿宋_GB2312" w:hAnsi="仿宋_GB2312" w:eastAsia="仿宋_GB2312" w:cs="仿宋_GB2312"/>
          <w:b w:val="0"/>
          <w:bCs w:val="0"/>
          <w:kern w:val="0"/>
          <w:sz w:val="32"/>
          <w:szCs w:val="32"/>
        </w:rPr>
        <w:t>初创期企业占比</w:t>
      </w:r>
      <w:r>
        <w:rPr>
          <w:rFonts w:hint="eastAsia" w:ascii="仿宋_GB2312" w:hAnsi="仿宋_GB2312" w:eastAsia="仿宋_GB2312" w:cs="仿宋_GB2312"/>
          <w:b w:val="0"/>
          <w:bCs w:val="0"/>
          <w:kern w:val="0"/>
          <w:sz w:val="32"/>
          <w:szCs w:val="32"/>
          <w:lang w:val="en-US" w:eastAsia="zh-CN"/>
        </w:rPr>
        <w:t>为</w:t>
      </w:r>
      <w:r>
        <w:rPr>
          <w:rFonts w:hint="eastAsia" w:ascii="仿宋_GB2312" w:hAnsi="仿宋_GB2312" w:eastAsia="仿宋_GB2312" w:cs="仿宋_GB2312"/>
          <w:b w:val="0"/>
          <w:bCs w:val="0"/>
          <w:kern w:val="0"/>
          <w:sz w:val="32"/>
          <w:szCs w:val="32"/>
        </w:rPr>
        <w:t>90%</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参股赋能基金规模占比17.86%。赋能基金累计投资项目库企业投资金额</w:t>
      </w:r>
      <w:r>
        <w:rPr>
          <w:rFonts w:hint="eastAsia" w:ascii="仿宋_GB2312" w:hAnsi="仿宋_GB2312" w:eastAsia="仿宋_GB2312" w:cs="仿宋_GB2312"/>
          <w:b w:val="0"/>
          <w:bCs w:val="0"/>
          <w:kern w:val="0"/>
          <w:sz w:val="32"/>
          <w:szCs w:val="32"/>
          <w:lang w:val="en-US" w:eastAsia="zh-CN"/>
        </w:rPr>
        <w:t>达到“硕果金”出资额的</w:t>
      </w:r>
      <w:r>
        <w:rPr>
          <w:rFonts w:hint="eastAsia" w:ascii="仿宋_GB2312" w:hAnsi="仿宋_GB2312" w:eastAsia="仿宋_GB2312" w:cs="仿宋_GB2312"/>
          <w:b w:val="0"/>
          <w:bCs w:val="0"/>
          <w:kern w:val="0"/>
          <w:sz w:val="32"/>
          <w:szCs w:val="32"/>
        </w:rPr>
        <w:t>1.24倍。单个项目投资</w:t>
      </w:r>
      <w:r>
        <w:rPr>
          <w:rFonts w:hint="eastAsia" w:ascii="仿宋_GB2312" w:hAnsi="仿宋_GB2312" w:eastAsia="仿宋_GB2312" w:cs="仿宋_GB2312"/>
          <w:b w:val="0"/>
          <w:bCs w:val="0"/>
          <w:kern w:val="0"/>
          <w:sz w:val="32"/>
          <w:szCs w:val="32"/>
          <w:lang w:val="en-US" w:eastAsia="zh-CN"/>
        </w:rPr>
        <w:t>和</w:t>
      </w:r>
      <w:r>
        <w:rPr>
          <w:rFonts w:hint="eastAsia" w:ascii="仿宋_GB2312" w:hAnsi="仿宋_GB2312" w:eastAsia="仿宋_GB2312" w:cs="仿宋_GB2312"/>
          <w:b w:val="0"/>
          <w:bCs w:val="0"/>
          <w:kern w:val="0"/>
          <w:sz w:val="32"/>
          <w:szCs w:val="32"/>
        </w:rPr>
        <w:t>管理费计取额度</w:t>
      </w:r>
      <w:r>
        <w:rPr>
          <w:rFonts w:hint="eastAsia" w:ascii="仿宋_GB2312" w:hAnsi="仿宋_GB2312" w:eastAsia="仿宋_GB2312" w:cs="仿宋_GB2312"/>
          <w:b w:val="0"/>
          <w:bCs w:val="0"/>
          <w:kern w:val="0"/>
          <w:sz w:val="32"/>
          <w:szCs w:val="32"/>
          <w:lang w:val="en-US" w:eastAsia="zh-CN"/>
        </w:rPr>
        <w:t>控制有效，</w:t>
      </w:r>
      <w:r>
        <w:rPr>
          <w:rFonts w:hint="eastAsia" w:ascii="仿宋_GB2312" w:hAnsi="仿宋_GB2312" w:eastAsia="仿宋_GB2312" w:cs="仿宋_GB2312"/>
          <w:b w:val="0"/>
          <w:bCs w:val="0"/>
          <w:kern w:val="0"/>
          <w:sz w:val="32"/>
          <w:szCs w:val="32"/>
        </w:rPr>
        <w:t>未超出限额标准</w:t>
      </w:r>
      <w:r>
        <w:rPr>
          <w:rFonts w:hint="eastAsia" w:ascii="仿宋_GB2312" w:hAnsi="仿宋_GB2312" w:eastAsia="仿宋_GB2312" w:cs="仿宋_GB2312"/>
          <w:b w:val="0"/>
          <w:bCs w:val="0"/>
          <w:kern w:val="0"/>
          <w:sz w:val="32"/>
          <w:szCs w:val="32"/>
          <w:lang w:eastAsia="zh-CN"/>
        </w:rPr>
        <w:t>。</w:t>
      </w:r>
    </w:p>
    <w:p w14:paraId="6A8E78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主要</w:t>
      </w:r>
      <w:r>
        <w:rPr>
          <w:rFonts w:hint="eastAsia" w:ascii="仿宋_GB2312" w:hAnsi="仿宋_GB2312" w:eastAsia="仿宋_GB2312" w:cs="仿宋_GB2312"/>
          <w:b w:val="0"/>
          <w:bCs w:val="0"/>
          <w:kern w:val="0"/>
          <w:sz w:val="32"/>
          <w:szCs w:val="32"/>
        </w:rPr>
        <w:t>存在以下问题：</w:t>
      </w:r>
      <w:r>
        <w:rPr>
          <w:rFonts w:hint="eastAsia" w:ascii="仿宋_GB2312" w:hAnsi="仿宋_GB2312" w:eastAsia="仿宋_GB2312" w:cs="仿宋_GB2312"/>
          <w:b w:val="0"/>
          <w:bCs w:val="0"/>
          <w:kern w:val="0"/>
          <w:sz w:val="32"/>
          <w:szCs w:val="32"/>
          <w:lang w:val="en-US" w:eastAsia="zh-CN"/>
        </w:rPr>
        <w:t>一是</w:t>
      </w:r>
      <w:r>
        <w:rPr>
          <w:rFonts w:hint="eastAsia" w:ascii="仿宋_GB2312" w:hAnsi="仿宋_GB2312" w:eastAsia="仿宋_GB2312" w:cs="仿宋_GB2312"/>
          <w:b w:val="0"/>
          <w:bCs w:val="0"/>
          <w:kern w:val="0"/>
          <w:sz w:val="32"/>
          <w:szCs w:val="32"/>
          <w:lang w:eastAsia="zh-CN"/>
        </w:rPr>
        <w:t>缺少年度综合评价工作。政策文件明确要求，硕果赋能基金连续两年评价不合格可</w:t>
      </w:r>
      <w:r>
        <w:rPr>
          <w:rFonts w:hint="eastAsia" w:ascii="仿宋_GB2312" w:hAnsi="仿宋_GB2312" w:eastAsia="仿宋_GB2312" w:cs="仿宋_GB2312"/>
          <w:b w:val="0"/>
          <w:bCs w:val="0"/>
          <w:kern w:val="0"/>
          <w:sz w:val="32"/>
          <w:szCs w:val="32"/>
          <w:lang w:val="en-US" w:eastAsia="zh-CN"/>
        </w:rPr>
        <w:t>采取</w:t>
      </w:r>
      <w:r>
        <w:rPr>
          <w:rFonts w:hint="eastAsia" w:ascii="仿宋_GB2312" w:hAnsi="仿宋_GB2312" w:eastAsia="仿宋_GB2312" w:cs="仿宋_GB2312"/>
          <w:b w:val="0"/>
          <w:bCs w:val="0"/>
          <w:kern w:val="0"/>
          <w:sz w:val="32"/>
          <w:szCs w:val="32"/>
          <w:lang w:eastAsia="zh-CN"/>
        </w:rPr>
        <w:t>提前收回出资、启动清算等处置措施。现阶段未组织开展年度综合评价工作，缺少约束考核依据，相关管控条款未</w:t>
      </w:r>
      <w:r>
        <w:rPr>
          <w:rFonts w:hint="eastAsia" w:ascii="仿宋_GB2312" w:hAnsi="仿宋_GB2312" w:eastAsia="仿宋_GB2312" w:cs="仿宋_GB2312"/>
          <w:b w:val="0"/>
          <w:bCs w:val="0"/>
          <w:kern w:val="0"/>
          <w:sz w:val="32"/>
          <w:szCs w:val="32"/>
          <w:lang w:val="en-US" w:eastAsia="zh-CN"/>
        </w:rPr>
        <w:t>有效</w:t>
      </w:r>
      <w:r>
        <w:rPr>
          <w:rFonts w:hint="eastAsia" w:ascii="仿宋_GB2312" w:hAnsi="仿宋_GB2312" w:eastAsia="仿宋_GB2312" w:cs="仿宋_GB2312"/>
          <w:b w:val="0"/>
          <w:bCs w:val="0"/>
          <w:kern w:val="0"/>
          <w:sz w:val="32"/>
          <w:szCs w:val="32"/>
          <w:lang w:eastAsia="zh-CN"/>
        </w:rPr>
        <w:t>落地。</w:t>
      </w:r>
      <w:r>
        <w:rPr>
          <w:rFonts w:hint="eastAsia" w:ascii="仿宋_GB2312" w:hAnsi="仿宋_GB2312" w:eastAsia="仿宋_GB2312" w:cs="仿宋_GB2312"/>
          <w:b w:val="0"/>
          <w:bCs w:val="0"/>
          <w:kern w:val="0"/>
          <w:sz w:val="32"/>
          <w:szCs w:val="32"/>
          <w:lang w:val="en-US" w:eastAsia="zh-CN"/>
        </w:rPr>
        <w:t>二是孵化器赋能评价机制有待完善。</w:t>
      </w:r>
      <w:r>
        <w:rPr>
          <w:rFonts w:hint="eastAsia" w:ascii="仿宋_GB2312" w:hAnsi="仿宋_GB2312" w:eastAsia="仿宋_GB2312" w:cs="仿宋_GB2312"/>
          <w:b w:val="0"/>
          <w:bCs w:val="0"/>
          <w:kern w:val="0"/>
          <w:sz w:val="32"/>
          <w:szCs w:val="32"/>
          <w:lang w:eastAsia="zh-CN"/>
        </w:rPr>
        <w:t>孵化载体在投后服务和跟踪服务方面</w:t>
      </w:r>
      <w:r>
        <w:rPr>
          <w:rFonts w:hint="eastAsia" w:ascii="仿宋_GB2312" w:hAnsi="仿宋_GB2312" w:eastAsia="仿宋_GB2312" w:cs="仿宋_GB2312"/>
          <w:b w:val="0"/>
          <w:bCs w:val="0"/>
          <w:kern w:val="0"/>
          <w:sz w:val="32"/>
          <w:szCs w:val="32"/>
          <w:lang w:val="en-US" w:eastAsia="zh-CN"/>
        </w:rPr>
        <w:t>缺少</w:t>
      </w:r>
      <w:r>
        <w:rPr>
          <w:rFonts w:hint="eastAsia" w:ascii="仿宋_GB2312" w:hAnsi="仿宋_GB2312" w:eastAsia="仿宋_GB2312" w:cs="仿宋_GB2312"/>
          <w:b w:val="0"/>
          <w:bCs w:val="0"/>
          <w:kern w:val="0"/>
          <w:sz w:val="32"/>
          <w:szCs w:val="32"/>
          <w:lang w:eastAsia="zh-CN"/>
        </w:rPr>
        <w:t>效益评估，针对“硕果金”投资的非标杆孵化器推荐项目，政策规定“若标杆孵化器提供相关服务，在项目退出时得到项目方满意和认可，即可享受该项目的投资净收益”，但未明确孵化器服务履职标准、企业满意度判定规则，易出现孵化服务成效认定分歧的情况，缺乏收益分配的判定依据。</w:t>
      </w:r>
    </w:p>
    <w:p w14:paraId="08B568C4">
      <w:pPr>
        <w:pStyle w:val="2"/>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ascii="Calibri" w:hAnsi="Calibri" w:cs="Times New Roman"/>
          <w:sz w:val="32"/>
          <w:szCs w:val="32"/>
        </w:rPr>
      </w:pPr>
      <w:bookmarkStart w:id="33" w:name="_Toc32306"/>
      <w:bookmarkStart w:id="34" w:name="_Toc1799085949"/>
      <w:r>
        <w:rPr>
          <w:rFonts w:hint="eastAsia" w:ascii="Calibri" w:hAnsi="Calibri" w:cs="Times New Roman"/>
          <w:sz w:val="32"/>
          <w:szCs w:val="32"/>
        </w:rPr>
        <w:t>四、政策实施成效</w:t>
      </w:r>
      <w:bookmarkEnd w:id="33"/>
      <w:bookmarkEnd w:id="34"/>
    </w:p>
    <w:p w14:paraId="5CDBA4A5">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lang w:val="en-US" w:eastAsia="zh-CN"/>
        </w:rPr>
      </w:pPr>
      <w:bookmarkStart w:id="35" w:name="_Toc3272"/>
      <w:r>
        <w:rPr>
          <w:rFonts w:hint="eastAsia"/>
          <w:lang w:val="en-US" w:eastAsia="zh-CN"/>
        </w:rPr>
        <w:t>（一）重点扶持初创期企业，助力科技孵化企业成长</w:t>
      </w:r>
      <w:bookmarkEnd w:id="35"/>
    </w:p>
    <w:p w14:paraId="706443CF">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rPr>
      </w:pPr>
      <w:r>
        <w:rPr>
          <w:rFonts w:hint="eastAsia" w:ascii="仿宋_GB2312" w:hAnsi="仿宋_GB2312" w:eastAsia="仿宋_GB2312" w:cs="仿宋_GB2312"/>
          <w:kern w:val="0"/>
          <w:sz w:val="32"/>
          <w:szCs w:val="32"/>
        </w:rPr>
        <w:t>2023</w:t>
      </w:r>
      <w:r>
        <w:rPr>
          <w:rFonts w:hint="eastAsia" w:ascii="Times New Roman" w:hAnsi="Times New Roman" w:eastAsia="仿宋_GB2312" w:cs="Times New Roman"/>
          <w:kern w:val="0"/>
          <w:sz w:val="32"/>
          <w:szCs w:val="32"/>
          <w:lang w:eastAsia="zh-CN"/>
        </w:rPr>
        <w:t>—</w:t>
      </w:r>
      <w:r>
        <w:rPr>
          <w:rFonts w:hint="eastAsia" w:ascii="仿宋_GB2312" w:hAnsi="仿宋_GB2312" w:eastAsia="仿宋_GB2312" w:cs="仿宋_GB2312"/>
          <w:kern w:val="0"/>
          <w:sz w:val="32"/>
          <w:szCs w:val="32"/>
          <w:lang w:val="en-US" w:eastAsia="zh-CN"/>
        </w:rPr>
        <w:t>2025</w:t>
      </w:r>
      <w:r>
        <w:rPr>
          <w:rFonts w:hint="eastAsia" w:ascii="Times New Roman" w:hAnsi="Times New Roman" w:eastAsia="仿宋_GB2312" w:cs="Times New Roman"/>
          <w:kern w:val="0"/>
          <w:sz w:val="32"/>
          <w:szCs w:val="32"/>
        </w:rPr>
        <w:t>年“硕果金”加大对科技型</w:t>
      </w:r>
      <w:r>
        <w:rPr>
          <w:rFonts w:hint="eastAsia" w:ascii="Times New Roman" w:hAnsi="Times New Roman" w:eastAsia="仿宋_GB2312" w:cs="Times New Roman"/>
          <w:kern w:val="0"/>
          <w:sz w:val="32"/>
          <w:szCs w:val="32"/>
          <w:lang w:val="en-US" w:eastAsia="zh-CN"/>
        </w:rPr>
        <w:t>中小</w:t>
      </w:r>
      <w:r>
        <w:rPr>
          <w:rFonts w:hint="eastAsia" w:ascii="Times New Roman" w:hAnsi="Times New Roman" w:eastAsia="仿宋_GB2312" w:cs="Times New Roman"/>
          <w:kern w:val="0"/>
          <w:sz w:val="32"/>
          <w:szCs w:val="32"/>
        </w:rPr>
        <w:t>企业</w:t>
      </w:r>
      <w:r>
        <w:rPr>
          <w:rFonts w:hint="eastAsia" w:ascii="Times New Roman" w:hAnsi="Times New Roman" w:eastAsia="仿宋_GB2312" w:cs="Times New Roman"/>
          <w:kern w:val="0"/>
          <w:sz w:val="32"/>
          <w:szCs w:val="32"/>
          <w:lang w:val="en-US" w:eastAsia="zh-CN"/>
        </w:rPr>
        <w:t>早期</w:t>
      </w:r>
      <w:r>
        <w:rPr>
          <w:rFonts w:hint="eastAsia" w:ascii="Times New Roman" w:hAnsi="Times New Roman" w:eastAsia="仿宋_GB2312" w:cs="Times New Roman"/>
          <w:kern w:val="0"/>
          <w:sz w:val="32"/>
          <w:szCs w:val="32"/>
        </w:rPr>
        <w:t>投资力度</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投资初创期企业占已投企业数量的</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0</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精准落实“投早、投小、投科技”的政策导向</w:t>
      </w:r>
      <w:r>
        <w:rPr>
          <w:rFonts w:hint="eastAsia" w:ascii="Times New Roman" w:hAnsi="Times New Roman" w:eastAsia="仿宋_GB2312" w:cs="Times New Roman"/>
          <w:kern w:val="0"/>
          <w:sz w:val="32"/>
          <w:szCs w:val="32"/>
          <w:lang w:eastAsia="zh-CN"/>
        </w:rPr>
        <w:t>，有力发挥</w:t>
      </w:r>
      <w:r>
        <w:rPr>
          <w:rFonts w:hint="eastAsia" w:ascii="Times New Roman" w:hAnsi="Times New Roman" w:eastAsia="仿宋_GB2312" w:cs="Times New Roman"/>
          <w:kern w:val="0"/>
          <w:sz w:val="32"/>
          <w:szCs w:val="32"/>
          <w:lang w:val="en-US" w:eastAsia="zh-CN"/>
        </w:rPr>
        <w:t>政策</w:t>
      </w:r>
      <w:r>
        <w:rPr>
          <w:rFonts w:hint="eastAsia" w:ascii="Times New Roman" w:hAnsi="Times New Roman" w:eastAsia="仿宋_GB2312" w:cs="Times New Roman"/>
          <w:kern w:val="0"/>
          <w:sz w:val="32"/>
          <w:szCs w:val="32"/>
          <w:lang w:eastAsia="zh-CN"/>
        </w:rPr>
        <w:t>对科技孵化企业的引导助推作用</w:t>
      </w:r>
      <w:r>
        <w:rPr>
          <w:rFonts w:hint="eastAsia" w:ascii="Times New Roman" w:hAnsi="Times New Roman" w:eastAsia="仿宋_GB2312" w:cs="Times New Roman"/>
          <w:kern w:val="0"/>
          <w:sz w:val="32"/>
          <w:szCs w:val="32"/>
        </w:rPr>
        <w:t>。</w:t>
      </w:r>
    </w:p>
    <w:p w14:paraId="3B4ECDD9">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lang w:val="en-US" w:eastAsia="zh-CN"/>
        </w:rPr>
      </w:pPr>
      <w:bookmarkStart w:id="36" w:name="_Toc20421"/>
      <w:r>
        <w:rPr>
          <w:rFonts w:hint="eastAsia"/>
          <w:lang w:val="en-US" w:eastAsia="zh-CN"/>
        </w:rPr>
        <w:t>（二）支持标杆孵化器企业，助力孵化器提升服务能力</w:t>
      </w:r>
      <w:bookmarkEnd w:id="36"/>
    </w:p>
    <w:p w14:paraId="0A05FFBF">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标杆孵化器孵化企业占已投企业数量的</w:t>
      </w:r>
      <w:r>
        <w:rPr>
          <w:rFonts w:hint="eastAsia" w:ascii="仿宋_GB2312" w:hAnsi="仿宋_GB2312" w:eastAsia="仿宋_GB2312" w:cs="仿宋_GB2312"/>
          <w:kern w:val="0"/>
          <w:sz w:val="32"/>
          <w:szCs w:val="32"/>
          <w:lang w:eastAsia="zh-CN"/>
        </w:rPr>
        <w:t>80</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通过</w:t>
      </w:r>
      <w:r>
        <w:rPr>
          <w:rFonts w:hint="eastAsia" w:ascii="Times New Roman" w:hAnsi="Times New Roman" w:eastAsia="仿宋_GB2312" w:cs="Times New Roman"/>
          <w:kern w:val="0"/>
          <w:sz w:val="32"/>
          <w:szCs w:val="32"/>
          <w:lang w:eastAsia="zh-CN"/>
        </w:rPr>
        <w:t>“硕果金”的</w:t>
      </w:r>
      <w:r>
        <w:rPr>
          <w:rFonts w:hint="eastAsia" w:ascii="Times New Roman" w:hAnsi="Times New Roman" w:eastAsia="仿宋_GB2312" w:cs="Times New Roman"/>
          <w:kern w:val="0"/>
          <w:sz w:val="32"/>
          <w:szCs w:val="32"/>
          <w:lang w:val="en-US" w:eastAsia="zh-CN"/>
        </w:rPr>
        <w:t>设</w:t>
      </w:r>
      <w:r>
        <w:rPr>
          <w:rFonts w:hint="eastAsia" w:ascii="Times New Roman" w:hAnsi="Times New Roman" w:eastAsia="仿宋_GB2312" w:cs="Times New Roman"/>
          <w:kern w:val="0"/>
          <w:sz w:val="32"/>
          <w:szCs w:val="32"/>
          <w:lang w:eastAsia="zh-CN"/>
        </w:rPr>
        <w:t>立，一是丰富了孵化器对在孵企业的资本对接手段，增强投后赋能能力；二是引导孵化器按照市场化标准筛选优质项目，提升入驻企业整体质量；三是建立后端收益分享机制，拓宽孵化器盈利渠道，有效放大了孵化器服务效能与资源集聚效应。</w:t>
      </w:r>
    </w:p>
    <w:p w14:paraId="70A5436C">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lang w:val="en-US" w:eastAsia="zh-CN"/>
        </w:rPr>
      </w:pPr>
      <w:bookmarkStart w:id="37" w:name="_Toc12291"/>
      <w:r>
        <w:rPr>
          <w:rFonts w:hint="eastAsia"/>
          <w:lang w:val="en-US" w:eastAsia="zh-CN"/>
        </w:rPr>
        <w:t>（三）有效撬动社会资本，放大财政资金使用效能</w:t>
      </w:r>
      <w:bookmarkEnd w:id="37"/>
    </w:p>
    <w:p w14:paraId="7FC5FE19">
      <w:pPr>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硕果金”聚焦科创企业早期融资关键薄弱环节，赋能初创期科技企业发展，充分发挥财政股权投资资金的引导撬动作用。通过财政资金先期投入、精准赋能，提振市场投资信心，吸引各类社会资本跟进布局、联合投资，放大财政资金杠杆效应，提升财政科创资金使用效能，助力构建多层次、多元化的科技企业投融资体系。</w:t>
      </w:r>
    </w:p>
    <w:p w14:paraId="60B672C5">
      <w:pPr>
        <w:pStyle w:val="2"/>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sz w:val="32"/>
          <w:szCs w:val="40"/>
          <w:lang w:val="en-US" w:eastAsia="zh-CN"/>
        </w:rPr>
      </w:pPr>
      <w:bookmarkStart w:id="38" w:name="_Toc29531"/>
      <w:bookmarkStart w:id="39" w:name="_Toc667795083"/>
      <w:r>
        <w:rPr>
          <w:rFonts w:hint="eastAsia" w:ascii="Calibri" w:hAnsi="Calibri" w:cs="Times New Roman"/>
          <w:b w:val="0"/>
          <w:bCs/>
          <w:sz w:val="32"/>
          <w:szCs w:val="32"/>
        </w:rPr>
        <w:t>五、发现的问题及原因分析</w:t>
      </w:r>
      <w:bookmarkEnd w:id="38"/>
      <w:bookmarkEnd w:id="39"/>
      <w:bookmarkStart w:id="40" w:name="_Toc882420759"/>
    </w:p>
    <w:bookmarkEnd w:id="40"/>
    <w:p w14:paraId="6B6B03D4">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eastAsia="楷体_GB2312"/>
          <w:b w:val="0"/>
          <w:bCs/>
          <w:lang w:val="en-US" w:eastAsia="zh-CN"/>
        </w:rPr>
      </w:pPr>
      <w:bookmarkStart w:id="41" w:name="_Toc16255"/>
      <w:bookmarkStart w:id="42" w:name="_Toc1826378913"/>
      <w:bookmarkStart w:id="43" w:name="_Toc19098"/>
      <w:bookmarkStart w:id="44" w:name="_Toc7689"/>
      <w:r>
        <w:rPr>
          <w:rFonts w:hint="eastAsia"/>
          <w:b w:val="0"/>
          <w:bCs/>
        </w:rPr>
        <w:t>（</w:t>
      </w:r>
      <w:r>
        <w:rPr>
          <w:rFonts w:hint="eastAsia"/>
          <w:b w:val="0"/>
          <w:bCs/>
          <w:lang w:val="en-US" w:eastAsia="zh-CN"/>
        </w:rPr>
        <w:t>一</w:t>
      </w:r>
      <w:r>
        <w:rPr>
          <w:rFonts w:hint="eastAsia"/>
          <w:b w:val="0"/>
          <w:bCs/>
        </w:rPr>
        <w:t>）</w:t>
      </w:r>
      <w:bookmarkEnd w:id="41"/>
      <w:bookmarkEnd w:id="42"/>
      <w:bookmarkEnd w:id="43"/>
      <w:bookmarkStart w:id="45" w:name="_Toc1132454563"/>
      <w:bookmarkStart w:id="46" w:name="_Toc1882699335"/>
      <w:bookmarkStart w:id="47" w:name="_Toc974399729"/>
      <w:r>
        <w:rPr>
          <w:rFonts w:hint="eastAsia"/>
          <w:b w:val="0"/>
          <w:bCs/>
          <w:lang w:eastAsia="zh-CN"/>
        </w:rPr>
        <w:t>“</w:t>
      </w:r>
      <w:r>
        <w:rPr>
          <w:rFonts w:hint="eastAsia"/>
          <w:b w:val="0"/>
          <w:bCs/>
        </w:rPr>
        <w:t>硕果金</w:t>
      </w:r>
      <w:r>
        <w:rPr>
          <w:rFonts w:hint="eastAsia"/>
          <w:b w:val="0"/>
          <w:bCs/>
          <w:lang w:eastAsia="zh-CN"/>
        </w:rPr>
        <w:t>”</w:t>
      </w:r>
      <w:r>
        <w:rPr>
          <w:rFonts w:hint="eastAsia"/>
          <w:b w:val="0"/>
          <w:bCs/>
        </w:rPr>
        <w:t>管理办法</w:t>
      </w:r>
      <w:r>
        <w:rPr>
          <w:rFonts w:hint="eastAsia"/>
          <w:b w:val="0"/>
          <w:bCs/>
          <w:lang w:val="en-US" w:eastAsia="zh-CN"/>
        </w:rPr>
        <w:t>未</w:t>
      </w:r>
      <w:r>
        <w:rPr>
          <w:rFonts w:hint="eastAsia"/>
          <w:b w:val="0"/>
          <w:bCs/>
        </w:rPr>
        <w:t>及时修订完善</w:t>
      </w:r>
      <w:bookmarkEnd w:id="44"/>
    </w:p>
    <w:p w14:paraId="5A1E8BD4">
      <w:pPr>
        <w:pageBreakBefore w:val="0"/>
        <w:tabs>
          <w:tab w:val="left" w:pos="3326"/>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40"/>
          <w:highlight w:val="none"/>
          <w:lang w:val="en-US" w:eastAsia="zh-CN"/>
        </w:rPr>
      </w:pPr>
      <w:r>
        <w:rPr>
          <w:rFonts w:hint="eastAsia" w:ascii="仿宋_GB2312" w:hAnsi="仿宋_GB2312" w:eastAsia="仿宋_GB2312" w:cs="仿宋_GB2312"/>
          <w:b w:val="0"/>
          <w:bCs/>
          <w:sz w:val="32"/>
          <w:szCs w:val="40"/>
          <w:highlight w:val="none"/>
          <w:lang w:val="en-US" w:eastAsia="zh-CN"/>
        </w:rPr>
        <w:t>由于2025年工信部重新修订全国科技型孵化器认定标准，原有市级标杆孵化器评定内容与最新要求不再适配。同时，《青岛市标杆孵化器管理办法》（青科规〔2022〕3号）于2024年12月31日有效期届满，标杆孵化器评定工作难以有效开展。根据《青岛市深化科技成果转化创新改革十条措施》（青政办字〔2024〕53 号）已调整政策支持范围，但与之对应的管理办法尚未做出匹配性的修订完善。</w:t>
      </w:r>
    </w:p>
    <w:p w14:paraId="667DAEF3">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b w:val="0"/>
          <w:bCs/>
          <w:lang w:val="en-US" w:eastAsia="zh-CN"/>
        </w:rPr>
      </w:pPr>
      <w:bookmarkStart w:id="48" w:name="_Toc7437"/>
      <w:r>
        <w:rPr>
          <w:rFonts w:hint="eastAsia"/>
          <w:b w:val="0"/>
          <w:bCs/>
          <w:lang w:val="en-US" w:eastAsia="zh-CN"/>
        </w:rPr>
        <w:t>（二）专户资金划转不及时，专户管理不到位</w:t>
      </w:r>
      <w:bookmarkEnd w:id="48"/>
    </w:p>
    <w:p w14:paraId="448DC897">
      <w:pPr>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sz w:val="32"/>
          <w:szCs w:val="40"/>
          <w:lang w:val="en-US" w:eastAsia="zh-CN"/>
        </w:rPr>
      </w:pPr>
      <w:r>
        <w:rPr>
          <w:rFonts w:hint="eastAsia" w:ascii="仿宋_GB2312" w:hAnsi="仿宋_GB2312" w:eastAsia="仿宋_GB2312" w:cs="仿宋_GB2312"/>
          <w:b w:val="0"/>
          <w:bCs/>
          <w:color w:val="auto"/>
          <w:sz w:val="32"/>
          <w:szCs w:val="40"/>
          <w:lang w:val="en-US" w:eastAsia="zh-CN"/>
        </w:rPr>
        <w:t>根据</w:t>
      </w:r>
      <w:r>
        <w:rPr>
          <w:rFonts w:hint="eastAsia" w:ascii="仿宋_GB2312" w:hAnsi="仿宋_GB2312" w:eastAsia="仿宋_GB2312" w:cs="仿宋_GB2312"/>
          <w:b w:val="0"/>
          <w:bCs/>
          <w:color w:val="auto"/>
          <w:sz w:val="32"/>
          <w:szCs w:val="40"/>
        </w:rPr>
        <w:t>《青岛市科技创业孵化财政资金股权投资运行管理办法（试行）》（青科创委办字〔2022〕1号）</w:t>
      </w:r>
      <w:r>
        <w:rPr>
          <w:rFonts w:hint="eastAsia" w:ascii="仿宋_GB2312" w:hAnsi="仿宋_GB2312" w:eastAsia="仿宋_GB2312" w:cs="仿宋_GB2312"/>
          <w:b w:val="0"/>
          <w:bCs/>
          <w:color w:val="auto"/>
          <w:sz w:val="32"/>
          <w:szCs w:val="40"/>
          <w:lang w:val="en-US" w:eastAsia="zh-CN"/>
        </w:rPr>
        <w:t>规定，</w:t>
      </w:r>
      <w:r>
        <w:rPr>
          <w:rFonts w:hint="eastAsia" w:ascii="仿宋_GB2312" w:hAnsi="仿宋_GB2312" w:eastAsia="仿宋_GB2312" w:cs="仿宋_GB2312"/>
          <w:b w:val="0"/>
          <w:bCs/>
          <w:color w:val="auto"/>
          <w:sz w:val="32"/>
          <w:szCs w:val="40"/>
          <w:lang w:eastAsia="zh-CN"/>
        </w:rPr>
        <w:t>“</w:t>
      </w:r>
      <w:r>
        <w:rPr>
          <w:rFonts w:hint="eastAsia" w:ascii="仿宋_GB2312" w:hAnsi="仿宋_GB2312" w:eastAsia="仿宋_GB2312" w:cs="仿宋_GB2312"/>
          <w:b w:val="0"/>
          <w:bCs/>
          <w:color w:val="auto"/>
          <w:sz w:val="32"/>
          <w:szCs w:val="40"/>
          <w:highlight w:val="none"/>
          <w:lang w:val="en-US" w:eastAsia="zh-CN"/>
        </w:rPr>
        <w:t>财通集团对‘</w:t>
      </w:r>
      <w:r>
        <w:rPr>
          <w:rFonts w:hint="eastAsia" w:ascii="仿宋_GB2312" w:hAnsi="仿宋_GB2312" w:eastAsia="仿宋_GB2312" w:cs="仿宋_GB2312"/>
          <w:b w:val="0"/>
          <w:bCs/>
          <w:sz w:val="32"/>
          <w:szCs w:val="32"/>
          <w:lang w:val="en-US" w:eastAsia="zh-CN"/>
        </w:rPr>
        <w:t>硕果金</w:t>
      </w:r>
      <w:r>
        <w:rPr>
          <w:rFonts w:hint="eastAsia" w:ascii="仿宋_GB2312" w:hAnsi="仿宋_GB2312" w:eastAsia="仿宋_GB2312" w:cs="仿宋_GB2312"/>
          <w:b w:val="0"/>
          <w:bCs/>
          <w:color w:val="auto"/>
          <w:sz w:val="32"/>
          <w:szCs w:val="40"/>
          <w:highlight w:val="none"/>
          <w:lang w:val="en-US" w:eastAsia="zh-CN"/>
        </w:rPr>
        <w:t>’实行专户管理，按照约定用途进行投资</w:t>
      </w:r>
      <w:r>
        <w:rPr>
          <w:rFonts w:hint="eastAsia" w:ascii="仿宋_GB2312" w:hAnsi="仿宋_GB2312" w:eastAsia="仿宋_GB2312" w:cs="仿宋_GB2312"/>
          <w:b w:val="0"/>
          <w:bCs/>
          <w:color w:val="auto"/>
          <w:sz w:val="32"/>
          <w:szCs w:val="40"/>
          <w:lang w:eastAsia="zh-CN"/>
        </w:rPr>
        <w:t>”。</w:t>
      </w:r>
      <w:r>
        <w:rPr>
          <w:rFonts w:hint="eastAsia" w:ascii="仿宋_GB2312" w:hAnsi="仿宋_GB2312" w:eastAsia="仿宋_GB2312" w:cs="仿宋_GB2312"/>
          <w:b w:val="0"/>
          <w:bCs/>
          <w:color w:val="auto"/>
          <w:sz w:val="32"/>
          <w:szCs w:val="40"/>
          <w:lang w:val="en-US" w:eastAsia="zh-CN"/>
        </w:rPr>
        <w:t>经评价，</w:t>
      </w:r>
      <w:r>
        <w:rPr>
          <w:rFonts w:hint="eastAsia" w:ascii="仿宋_GB2312" w:hAnsi="仿宋_GB2312" w:eastAsia="仿宋_GB2312" w:cs="仿宋_GB2312"/>
          <w:b w:val="0"/>
          <w:bCs/>
          <w:sz w:val="32"/>
          <w:szCs w:val="40"/>
          <w:highlight w:val="none"/>
          <w:lang w:val="en-US" w:eastAsia="zh-CN"/>
        </w:rPr>
        <w:t>2023—2025年累计拨付财通集团“硕果金”8400万元，实际投资项目、参股赋能基金合计5550万元，应结余资金2850万元。“硕果金”拨付财通集团后，在集团户进行统一管理，资金未及时归集至专用托管账户，如2025年12月拨付财通集团“硕果金”2400万元，该笔资金直至2026年6月30日新投资项目需实缴出资时，财通集团才将投资款400万元转入托管专户。截至2026年6月30日，账户实际余额20.09万元（托管银行：青岛银行辽阳路支行，账号802030200765189）。</w:t>
      </w:r>
    </w:p>
    <w:p w14:paraId="67F88778">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b w:val="0"/>
          <w:bCs/>
          <w:lang w:val="en-US" w:eastAsia="zh-CN"/>
        </w:rPr>
      </w:pPr>
      <w:bookmarkStart w:id="49" w:name="_Toc19267"/>
      <w:r>
        <w:rPr>
          <w:rFonts w:hint="eastAsia"/>
          <w:b w:val="0"/>
          <w:bCs/>
          <w:lang w:val="en-US" w:eastAsia="zh-CN"/>
        </w:rPr>
        <w:t>（三）年度报告报送不及时，相关制度未有效执行</w:t>
      </w:r>
      <w:bookmarkEnd w:id="49"/>
    </w:p>
    <w:p w14:paraId="79564A46">
      <w:pPr>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40"/>
          <w:lang w:val="en-US" w:eastAsia="zh-CN"/>
        </w:rPr>
      </w:pPr>
      <w:r>
        <w:rPr>
          <w:rFonts w:hint="eastAsia" w:ascii="仿宋_GB2312" w:hAnsi="仿宋_GB2312" w:eastAsia="仿宋_GB2312" w:cs="仿宋_GB2312"/>
          <w:b w:val="0"/>
          <w:bCs/>
          <w:sz w:val="32"/>
          <w:szCs w:val="40"/>
          <w:lang w:val="en-US" w:eastAsia="zh-CN"/>
        </w:rPr>
        <w:t>一是</w:t>
      </w:r>
      <w:r>
        <w:rPr>
          <w:rFonts w:hint="eastAsia" w:ascii="仿宋_GB2312" w:hAnsi="仿宋_GB2312" w:eastAsia="仿宋_GB2312" w:cs="仿宋_GB2312"/>
          <w:sz w:val="32"/>
          <w:szCs w:val="32"/>
          <w:lang w:eastAsia="zh-CN"/>
        </w:rPr>
        <w:t>年度报告报送不及时</w:t>
      </w:r>
      <w:r>
        <w:rPr>
          <w:rFonts w:hint="eastAsia" w:ascii="仿宋_GB2312" w:hAnsi="仿宋_GB2312" w:eastAsia="仿宋_GB2312" w:cs="仿宋_GB2312"/>
          <w:b w:val="0"/>
          <w:bCs/>
          <w:sz w:val="32"/>
          <w:szCs w:val="40"/>
          <w:lang w:val="en-US" w:eastAsia="zh-CN"/>
        </w:rPr>
        <w:t>。</w:t>
      </w:r>
      <w:r>
        <w:rPr>
          <w:rFonts w:hint="eastAsia" w:ascii="仿宋_GB2312" w:hAnsi="仿宋_GB2312" w:eastAsia="仿宋_GB2312" w:cs="仿宋_GB2312"/>
          <w:b w:val="0"/>
          <w:bCs/>
          <w:color w:val="auto"/>
          <w:sz w:val="32"/>
          <w:szCs w:val="40"/>
          <w:lang w:val="en-US" w:eastAsia="zh-CN"/>
        </w:rPr>
        <w:t>根据</w:t>
      </w:r>
      <w:r>
        <w:rPr>
          <w:rFonts w:hint="eastAsia" w:ascii="仿宋_GB2312" w:hAnsi="仿宋_GB2312" w:eastAsia="仿宋_GB2312" w:cs="仿宋_GB2312"/>
          <w:b w:val="0"/>
          <w:bCs/>
          <w:color w:val="auto"/>
          <w:sz w:val="32"/>
          <w:szCs w:val="40"/>
        </w:rPr>
        <w:t>《青岛市科技创业孵化财政资金股权投资运行管理办法（试行）》（青科创委办字〔2022〕1号）</w:t>
      </w:r>
      <w:r>
        <w:rPr>
          <w:rFonts w:hint="eastAsia" w:ascii="仿宋_GB2312" w:hAnsi="仿宋_GB2312" w:eastAsia="仿宋_GB2312" w:cs="仿宋_GB2312"/>
          <w:b w:val="0"/>
          <w:bCs/>
          <w:color w:val="auto"/>
          <w:sz w:val="32"/>
          <w:szCs w:val="40"/>
          <w:lang w:val="en-US" w:eastAsia="zh-CN"/>
        </w:rPr>
        <w:t>规定，</w:t>
      </w:r>
      <w:r>
        <w:rPr>
          <w:rFonts w:hint="eastAsia" w:ascii="仿宋_GB2312" w:hAnsi="仿宋_GB2312" w:eastAsia="仿宋_GB2312" w:cs="仿宋_GB2312"/>
          <w:b w:val="0"/>
          <w:bCs/>
          <w:sz w:val="32"/>
          <w:szCs w:val="40"/>
          <w:lang w:val="en-US" w:eastAsia="zh-CN"/>
        </w:rPr>
        <w:t>“财通集团每半年向联席会书面报告股权投资运作情况，并在每年4月30日前，书面向联席会报送‘硕果金’年度运营报告及经审计的上年度财务报告”。截至评价日，财通集团未及时提交2025年度运营报告和</w:t>
      </w:r>
      <w:r>
        <w:rPr>
          <w:rFonts w:hint="eastAsia" w:ascii="仿宋_GB2312" w:hAnsi="仿宋_GB2312" w:eastAsia="仿宋_GB2312" w:cs="仿宋_GB2312"/>
          <w:b w:val="0"/>
          <w:bCs w:val="0"/>
          <w:kern w:val="0"/>
          <w:sz w:val="32"/>
          <w:szCs w:val="32"/>
          <w:lang w:val="en-US" w:eastAsia="zh-CN"/>
        </w:rPr>
        <w:t>经审计的财务报告</w:t>
      </w:r>
      <w:r>
        <w:rPr>
          <w:rFonts w:hint="eastAsia" w:ascii="仿宋_GB2312" w:hAnsi="仿宋_GB2312" w:eastAsia="仿宋_GB2312" w:cs="仿宋_GB2312"/>
          <w:b w:val="0"/>
          <w:bCs/>
          <w:sz w:val="32"/>
          <w:szCs w:val="40"/>
          <w:lang w:val="en-US" w:eastAsia="zh-CN"/>
        </w:rPr>
        <w:t>。二是缺少年度综合评价工作。</w:t>
      </w:r>
      <w:r>
        <w:rPr>
          <w:rFonts w:hint="eastAsia" w:ascii="仿宋_GB2312" w:hAnsi="仿宋_GB2312" w:eastAsia="仿宋_GB2312" w:cs="仿宋_GB2312"/>
          <w:sz w:val="32"/>
          <w:szCs w:val="40"/>
          <w:highlight w:val="none"/>
          <w:lang w:val="en-US" w:eastAsia="zh-CN"/>
        </w:rPr>
        <w:t>政策文件明确要求，硕果赋能基金连续两年评价不合格可采取提前收回出资、启</w:t>
      </w:r>
      <w:r>
        <w:rPr>
          <w:rFonts w:hint="eastAsia" w:ascii="仿宋_GB2312" w:hAnsi="仿宋_GB2312" w:eastAsia="仿宋_GB2312" w:cs="仿宋_GB2312"/>
          <w:sz w:val="32"/>
          <w:szCs w:val="40"/>
          <w:lang w:val="en-US" w:eastAsia="zh-CN"/>
        </w:rPr>
        <w:t>动清算等处置措施</w:t>
      </w:r>
      <w:r>
        <w:rPr>
          <w:rFonts w:hint="eastAsia" w:ascii="仿宋_GB2312" w:hAnsi="仿宋_GB2312" w:eastAsia="仿宋_GB2312" w:cs="仿宋_GB2312"/>
          <w:b w:val="0"/>
          <w:bCs/>
          <w:sz w:val="32"/>
          <w:szCs w:val="40"/>
          <w:lang w:val="en-US" w:eastAsia="zh-CN"/>
        </w:rPr>
        <w:t>。</w:t>
      </w:r>
      <w:r>
        <w:rPr>
          <w:rFonts w:hint="eastAsia" w:ascii="仿宋_GB2312" w:hAnsi="仿宋_GB2312" w:eastAsia="仿宋_GB2312" w:cs="仿宋_GB2312"/>
          <w:b w:val="0"/>
          <w:bCs w:val="0"/>
          <w:kern w:val="0"/>
          <w:sz w:val="32"/>
          <w:szCs w:val="32"/>
          <w:lang w:val="en-US" w:eastAsia="zh-CN"/>
        </w:rPr>
        <w:t>硕果赋能基金于2024年12月23日注册成立，2025年首期募集资金到账并启动项目投资，</w:t>
      </w:r>
      <w:r>
        <w:rPr>
          <w:rFonts w:hint="eastAsia" w:ascii="仿宋_GB2312" w:hAnsi="仿宋_GB2312" w:eastAsia="仿宋_GB2312" w:cs="仿宋_GB2312"/>
          <w:b w:val="0"/>
          <w:bCs/>
          <w:sz w:val="32"/>
          <w:szCs w:val="40"/>
          <w:lang w:val="en-US" w:eastAsia="zh-CN"/>
        </w:rPr>
        <w:t>现阶段未组织开展年度综合评价工作，缺少约束考核依据，相关管控条款未有效落地。</w:t>
      </w:r>
    </w:p>
    <w:p w14:paraId="1E8106A5">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b w:val="0"/>
          <w:bCs/>
          <w:highlight w:val="none"/>
          <w:lang w:val="en-US" w:eastAsia="zh-CN"/>
        </w:rPr>
      </w:pPr>
      <w:bookmarkStart w:id="50" w:name="_Toc1421"/>
      <w:r>
        <w:rPr>
          <w:rFonts w:hint="eastAsia"/>
          <w:b w:val="0"/>
          <w:bCs/>
          <w:highlight w:val="none"/>
          <w:lang w:val="en-US" w:eastAsia="zh-CN"/>
        </w:rPr>
        <w:t>（四）孵化器赋能评价机制有待完善，可持续服务能力不足</w:t>
      </w:r>
      <w:bookmarkEnd w:id="50"/>
    </w:p>
    <w:p w14:paraId="1020EAF0">
      <w:pPr>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40"/>
          <w:highlight w:val="none"/>
          <w:lang w:val="en-US" w:eastAsia="zh-CN"/>
        </w:rPr>
      </w:pPr>
      <w:r>
        <w:rPr>
          <w:rFonts w:hint="eastAsia" w:ascii="仿宋_GB2312" w:hAnsi="仿宋_GB2312" w:eastAsia="仿宋_GB2312" w:cs="仿宋_GB2312"/>
          <w:b w:val="0"/>
          <w:bCs/>
          <w:sz w:val="32"/>
          <w:szCs w:val="40"/>
          <w:highlight w:val="none"/>
        </w:rPr>
        <w:t>孵化载体在投后服务和跟踪服务方面</w:t>
      </w:r>
      <w:r>
        <w:rPr>
          <w:rFonts w:hint="eastAsia" w:ascii="仿宋_GB2312" w:hAnsi="仿宋_GB2312" w:eastAsia="仿宋_GB2312" w:cs="仿宋_GB2312"/>
          <w:b w:val="0"/>
          <w:bCs/>
          <w:sz w:val="32"/>
          <w:szCs w:val="40"/>
          <w:highlight w:val="none"/>
          <w:lang w:val="en-US" w:eastAsia="zh-CN"/>
        </w:rPr>
        <w:t>缺少</w:t>
      </w:r>
      <w:r>
        <w:rPr>
          <w:rFonts w:hint="eastAsia" w:ascii="仿宋_GB2312" w:hAnsi="仿宋_GB2312" w:eastAsia="仿宋_GB2312" w:cs="仿宋_GB2312"/>
          <w:b w:val="0"/>
          <w:bCs/>
          <w:sz w:val="32"/>
          <w:szCs w:val="40"/>
          <w:highlight w:val="none"/>
        </w:rPr>
        <w:t>效益评估</w:t>
      </w:r>
      <w:r>
        <w:rPr>
          <w:rFonts w:hint="eastAsia" w:ascii="仿宋_GB2312" w:hAnsi="仿宋_GB2312" w:eastAsia="仿宋_GB2312" w:cs="仿宋_GB2312"/>
          <w:b w:val="0"/>
          <w:bCs/>
          <w:sz w:val="32"/>
          <w:szCs w:val="40"/>
          <w:highlight w:val="none"/>
          <w:lang w:val="en-US" w:eastAsia="zh-CN"/>
        </w:rPr>
        <w:t>，针对“硕果金”投资的非标杆孵化器推荐项目，政策规定“若标杆孵化器提供相关服务，在项目退出时得到项目方满意和认可，即可享受该项目的投资净收益”，但</w:t>
      </w:r>
      <w:r>
        <w:rPr>
          <w:rFonts w:hint="default" w:ascii="仿宋_GB2312" w:hAnsi="仿宋_GB2312" w:eastAsia="仿宋_GB2312" w:cs="仿宋_GB2312"/>
          <w:b w:val="0"/>
          <w:bCs/>
          <w:sz w:val="32"/>
          <w:szCs w:val="40"/>
          <w:highlight w:val="none"/>
          <w:lang w:val="en-US" w:eastAsia="zh-CN"/>
        </w:rPr>
        <w:t>未明确孵化器服务履职标准、企业满意度判定规则，</w:t>
      </w:r>
      <w:r>
        <w:rPr>
          <w:rFonts w:hint="eastAsia" w:ascii="仿宋_GB2312" w:hAnsi="仿宋_GB2312" w:eastAsia="仿宋_GB2312" w:cs="仿宋_GB2312"/>
          <w:b w:val="0"/>
          <w:bCs/>
          <w:sz w:val="32"/>
          <w:szCs w:val="40"/>
          <w:highlight w:val="none"/>
          <w:lang w:val="en-US" w:eastAsia="zh-CN"/>
        </w:rPr>
        <w:t>易出现孵化服务成效认定分歧的情况，缺乏收益分配的判定依据。</w:t>
      </w:r>
    </w:p>
    <w:p w14:paraId="1EFC4F04">
      <w:pPr>
        <w:pStyle w:val="2"/>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ascii="Calibri" w:hAnsi="Calibri" w:cs="Times New Roman"/>
          <w:b w:val="0"/>
          <w:bCs/>
          <w:sz w:val="32"/>
          <w:szCs w:val="32"/>
        </w:rPr>
      </w:pPr>
      <w:bookmarkStart w:id="51" w:name="_Toc29664"/>
      <w:r>
        <w:rPr>
          <w:rFonts w:hint="eastAsia" w:ascii="Calibri" w:hAnsi="Calibri" w:cs="Times New Roman"/>
          <w:b w:val="0"/>
          <w:bCs/>
          <w:sz w:val="32"/>
          <w:szCs w:val="32"/>
        </w:rPr>
        <w:t>六、相关建议</w:t>
      </w:r>
      <w:bookmarkEnd w:id="45"/>
      <w:bookmarkEnd w:id="51"/>
    </w:p>
    <w:p w14:paraId="2F6B0678">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eastAsia="楷体_GB2312"/>
          <w:b w:val="0"/>
          <w:bCs/>
          <w:lang w:val="en-US" w:eastAsia="zh-CN"/>
        </w:rPr>
      </w:pPr>
      <w:bookmarkStart w:id="52" w:name="_Toc24578"/>
      <w:bookmarkStart w:id="53" w:name="_Toc19843"/>
      <w:bookmarkStart w:id="54" w:name="_Toc19403"/>
      <w:r>
        <w:rPr>
          <w:rFonts w:hint="eastAsia"/>
          <w:b w:val="0"/>
          <w:bCs/>
        </w:rPr>
        <w:t>（</w:t>
      </w:r>
      <w:r>
        <w:rPr>
          <w:rFonts w:hint="eastAsia"/>
          <w:b w:val="0"/>
          <w:bCs/>
          <w:lang w:val="en-US" w:eastAsia="zh-CN"/>
        </w:rPr>
        <w:t>一</w:t>
      </w:r>
      <w:r>
        <w:rPr>
          <w:rFonts w:hint="eastAsia"/>
          <w:b w:val="0"/>
          <w:bCs/>
        </w:rPr>
        <w:t>）</w:t>
      </w:r>
      <w:bookmarkEnd w:id="52"/>
      <w:r>
        <w:rPr>
          <w:rFonts w:hint="eastAsia"/>
          <w:b w:val="0"/>
          <w:bCs/>
          <w:lang w:val="en-US" w:eastAsia="zh-CN"/>
        </w:rPr>
        <w:t>修订“硕果金”投资运行管理办法</w:t>
      </w:r>
      <w:bookmarkEnd w:id="53"/>
    </w:p>
    <w:p w14:paraId="7DAB89EF">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b w:val="0"/>
          <w:bCs/>
          <w:sz w:val="32"/>
          <w:szCs w:val="40"/>
          <w:highlight w:val="none"/>
        </w:rPr>
      </w:pPr>
      <w:r>
        <w:rPr>
          <w:rFonts w:hint="eastAsia" w:ascii="Times New Roman Regular" w:hAnsi="Times New Roman Regular" w:eastAsia="仿宋_GB2312" w:cs="Times New Roman Regular"/>
          <w:b w:val="0"/>
          <w:bCs/>
          <w:sz w:val="32"/>
          <w:szCs w:val="40"/>
          <w:highlight w:val="none"/>
        </w:rPr>
        <w:t>加快调整修订青岛市科技创业孵化财政资金股权投资运行管理办法，理顺政策调整前后衔接机制，完善相关管理规定，保障政策落地。</w:t>
      </w:r>
    </w:p>
    <w:p w14:paraId="1D346475">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default" w:eastAsia="楷体_GB2312"/>
          <w:b w:val="0"/>
          <w:bCs/>
          <w:lang w:val="en-US" w:eastAsia="zh-CN"/>
        </w:rPr>
      </w:pPr>
      <w:bookmarkStart w:id="55" w:name="_Toc7733"/>
      <w:r>
        <w:rPr>
          <w:rFonts w:hint="eastAsia"/>
          <w:b w:val="0"/>
          <w:bCs/>
          <w:lang w:eastAsia="zh-CN"/>
        </w:rPr>
        <w:t>（</w:t>
      </w:r>
      <w:r>
        <w:rPr>
          <w:rFonts w:hint="eastAsia"/>
          <w:b w:val="0"/>
          <w:bCs/>
          <w:lang w:val="en-US" w:eastAsia="zh-CN"/>
        </w:rPr>
        <w:t>二</w:t>
      </w:r>
      <w:r>
        <w:rPr>
          <w:rFonts w:hint="eastAsia"/>
          <w:b w:val="0"/>
          <w:bCs/>
          <w:lang w:eastAsia="zh-CN"/>
        </w:rPr>
        <w:t>）完善</w:t>
      </w:r>
      <w:r>
        <w:rPr>
          <w:rFonts w:hint="eastAsia"/>
          <w:b w:val="0"/>
          <w:bCs/>
        </w:rPr>
        <w:t>资金</w:t>
      </w:r>
      <w:r>
        <w:rPr>
          <w:rFonts w:hint="eastAsia"/>
          <w:b w:val="0"/>
          <w:bCs/>
          <w:lang w:val="en-US" w:eastAsia="zh-CN"/>
        </w:rPr>
        <w:t>专户</w:t>
      </w:r>
      <w:r>
        <w:rPr>
          <w:rFonts w:hint="eastAsia"/>
          <w:b w:val="0"/>
          <w:bCs/>
        </w:rPr>
        <w:t>管理</w:t>
      </w:r>
      <w:r>
        <w:rPr>
          <w:rFonts w:hint="eastAsia"/>
          <w:b w:val="0"/>
          <w:bCs/>
          <w:lang w:val="en-US" w:eastAsia="zh-CN"/>
        </w:rPr>
        <w:t>要求</w:t>
      </w:r>
      <w:r>
        <w:rPr>
          <w:rFonts w:hint="eastAsia"/>
          <w:b w:val="0"/>
          <w:bCs/>
        </w:rPr>
        <w:t>，</w:t>
      </w:r>
      <w:r>
        <w:rPr>
          <w:rFonts w:hint="eastAsia"/>
          <w:b w:val="0"/>
          <w:bCs/>
          <w:lang w:val="en-US" w:eastAsia="zh-CN"/>
        </w:rPr>
        <w:t>明确专户管理方式</w:t>
      </w:r>
      <w:bookmarkEnd w:id="55"/>
    </w:p>
    <w:p w14:paraId="57EC6B88">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b w:val="0"/>
          <w:bCs/>
          <w:sz w:val="32"/>
          <w:szCs w:val="40"/>
          <w:lang w:eastAsia="zh-CN"/>
        </w:rPr>
      </w:pPr>
      <w:r>
        <w:rPr>
          <w:rFonts w:hint="eastAsia" w:ascii="Times New Roman Regular" w:hAnsi="Times New Roman Regular" w:eastAsia="仿宋_GB2312" w:cs="Times New Roman Regular"/>
          <w:b w:val="0"/>
          <w:bCs/>
          <w:sz w:val="32"/>
          <w:szCs w:val="40"/>
          <w:lang w:val="en-US" w:eastAsia="zh-CN"/>
        </w:rPr>
        <w:t>深入落实</w:t>
      </w:r>
      <w:r>
        <w:rPr>
          <w:rFonts w:hint="eastAsia" w:ascii="仿宋_GB2312" w:hAnsi="仿宋_GB2312" w:eastAsia="仿宋_GB2312" w:cs="仿宋_GB2312"/>
          <w:b w:val="0"/>
          <w:bCs/>
          <w:color w:val="auto"/>
          <w:sz w:val="32"/>
          <w:szCs w:val="40"/>
        </w:rPr>
        <w:t>《青岛市科技创业孵化财政资金股权投资运行管理办法（试行）》（青科创委办字〔2022〕1号）</w:t>
      </w:r>
      <w:r>
        <w:rPr>
          <w:rFonts w:hint="eastAsia" w:ascii="仿宋_GB2312" w:hAnsi="仿宋_GB2312" w:eastAsia="仿宋_GB2312" w:cs="仿宋_GB2312"/>
          <w:b w:val="0"/>
          <w:bCs/>
          <w:color w:val="auto"/>
          <w:sz w:val="32"/>
          <w:szCs w:val="40"/>
          <w:lang w:val="en-US" w:eastAsia="zh-CN"/>
        </w:rPr>
        <w:t>关于</w:t>
      </w:r>
      <w:r>
        <w:rPr>
          <w:rFonts w:hint="eastAsia" w:ascii="仿宋_GB2312" w:hAnsi="仿宋_GB2312" w:eastAsia="仿宋_GB2312" w:cs="仿宋_GB2312"/>
          <w:b w:val="0"/>
          <w:bCs/>
          <w:color w:val="auto"/>
          <w:sz w:val="32"/>
          <w:szCs w:val="40"/>
          <w:lang w:eastAsia="zh-CN"/>
        </w:rPr>
        <w:t>“</w:t>
      </w:r>
      <w:r>
        <w:rPr>
          <w:rFonts w:hint="eastAsia" w:ascii="仿宋_GB2312" w:hAnsi="仿宋_GB2312" w:eastAsia="仿宋_GB2312" w:cs="仿宋_GB2312"/>
          <w:b w:val="0"/>
          <w:bCs/>
          <w:color w:val="auto"/>
          <w:sz w:val="32"/>
          <w:szCs w:val="40"/>
          <w:highlight w:val="none"/>
          <w:lang w:val="en-US" w:eastAsia="zh-CN"/>
        </w:rPr>
        <w:t>财通集团对‘</w:t>
      </w:r>
      <w:r>
        <w:rPr>
          <w:rFonts w:hint="eastAsia" w:ascii="仿宋_GB2312" w:hAnsi="仿宋_GB2312" w:eastAsia="仿宋_GB2312" w:cs="仿宋_GB2312"/>
          <w:b w:val="0"/>
          <w:bCs/>
          <w:sz w:val="32"/>
          <w:szCs w:val="32"/>
          <w:lang w:val="en-US" w:eastAsia="zh-CN"/>
        </w:rPr>
        <w:t>硕果金</w:t>
      </w:r>
      <w:r>
        <w:rPr>
          <w:rFonts w:hint="eastAsia" w:ascii="仿宋_GB2312" w:hAnsi="仿宋_GB2312" w:eastAsia="仿宋_GB2312" w:cs="仿宋_GB2312"/>
          <w:b w:val="0"/>
          <w:bCs/>
          <w:color w:val="auto"/>
          <w:sz w:val="32"/>
          <w:szCs w:val="40"/>
          <w:highlight w:val="none"/>
          <w:lang w:val="en-US" w:eastAsia="zh-CN"/>
        </w:rPr>
        <w:t>’实行专户管理，按照约定用途进行投资</w:t>
      </w:r>
      <w:r>
        <w:rPr>
          <w:rFonts w:hint="eastAsia" w:ascii="仿宋_GB2312" w:hAnsi="仿宋_GB2312" w:eastAsia="仿宋_GB2312" w:cs="仿宋_GB2312"/>
          <w:b w:val="0"/>
          <w:bCs/>
          <w:color w:val="auto"/>
          <w:sz w:val="32"/>
          <w:szCs w:val="40"/>
          <w:lang w:eastAsia="zh-CN"/>
        </w:rPr>
        <w:t>”的</w:t>
      </w:r>
      <w:r>
        <w:rPr>
          <w:rFonts w:hint="eastAsia" w:ascii="仿宋_GB2312" w:hAnsi="仿宋_GB2312" w:eastAsia="仿宋_GB2312" w:cs="仿宋_GB2312"/>
          <w:b w:val="0"/>
          <w:bCs/>
          <w:color w:val="auto"/>
          <w:sz w:val="32"/>
          <w:szCs w:val="40"/>
          <w:lang w:val="en-US" w:eastAsia="zh-CN"/>
        </w:rPr>
        <w:t>规定，</w:t>
      </w:r>
      <w:r>
        <w:rPr>
          <w:rFonts w:hint="eastAsia" w:ascii="Times New Roman Regular" w:hAnsi="Times New Roman Regular" w:eastAsia="仿宋_GB2312" w:cs="Times New Roman Regular"/>
          <w:b w:val="0"/>
          <w:bCs/>
          <w:sz w:val="32"/>
          <w:szCs w:val="40"/>
          <w:lang w:val="en-US" w:eastAsia="zh-CN"/>
        </w:rPr>
        <w:t>进一步完善</w:t>
      </w:r>
      <w:r>
        <w:rPr>
          <w:rFonts w:hint="eastAsia" w:ascii="Times New Roman Regular" w:hAnsi="Times New Roman Regular" w:eastAsia="仿宋_GB2312" w:cs="Times New Roman Regular"/>
          <w:b w:val="0"/>
          <w:bCs/>
          <w:sz w:val="32"/>
          <w:szCs w:val="40"/>
          <w:lang w:eastAsia="zh-CN"/>
        </w:rPr>
        <w:t>“</w:t>
      </w:r>
      <w:r>
        <w:rPr>
          <w:rFonts w:hint="eastAsia" w:ascii="Times New Roman Regular" w:hAnsi="Times New Roman Regular" w:eastAsia="仿宋_GB2312" w:cs="Times New Roman Regular"/>
          <w:b w:val="0"/>
          <w:bCs/>
          <w:sz w:val="32"/>
          <w:szCs w:val="40"/>
          <w:lang w:val="en-US" w:eastAsia="zh-CN"/>
        </w:rPr>
        <w:t>硕果金</w:t>
      </w:r>
      <w:r>
        <w:rPr>
          <w:rFonts w:hint="eastAsia" w:ascii="Times New Roman Regular" w:hAnsi="Times New Roman Regular" w:eastAsia="仿宋_GB2312" w:cs="Times New Roman Regular"/>
          <w:b w:val="0"/>
          <w:bCs/>
          <w:sz w:val="32"/>
          <w:szCs w:val="40"/>
          <w:lang w:eastAsia="zh-CN"/>
        </w:rPr>
        <w:t>”专户管理</w:t>
      </w:r>
      <w:r>
        <w:rPr>
          <w:rFonts w:hint="eastAsia" w:ascii="Times New Roman Regular" w:hAnsi="Times New Roman Regular" w:eastAsia="仿宋_GB2312" w:cs="Times New Roman Regular"/>
          <w:b w:val="0"/>
          <w:bCs/>
          <w:sz w:val="32"/>
          <w:szCs w:val="40"/>
          <w:lang w:val="en-US" w:eastAsia="zh-CN"/>
        </w:rPr>
        <w:t>要求</w:t>
      </w:r>
      <w:r>
        <w:rPr>
          <w:rFonts w:hint="eastAsia" w:ascii="Times New Roman Regular" w:hAnsi="Times New Roman Regular" w:eastAsia="仿宋_GB2312" w:cs="Times New Roman Regular"/>
          <w:b w:val="0"/>
          <w:bCs/>
          <w:sz w:val="32"/>
          <w:szCs w:val="40"/>
          <w:lang w:eastAsia="zh-CN"/>
        </w:rPr>
        <w:t>。</w:t>
      </w:r>
    </w:p>
    <w:p w14:paraId="415E37DB">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b w:val="0"/>
          <w:bCs/>
        </w:rPr>
      </w:pPr>
      <w:bookmarkStart w:id="56" w:name="_Toc28926"/>
      <w:r>
        <w:rPr>
          <w:rFonts w:hint="eastAsia"/>
          <w:b w:val="0"/>
          <w:bCs/>
        </w:rPr>
        <w:t>（</w:t>
      </w:r>
      <w:r>
        <w:rPr>
          <w:rFonts w:hint="eastAsia"/>
          <w:b w:val="0"/>
          <w:bCs/>
          <w:lang w:val="en-US" w:eastAsia="zh-CN"/>
        </w:rPr>
        <w:t>三</w:t>
      </w:r>
      <w:r>
        <w:rPr>
          <w:rFonts w:hint="eastAsia"/>
          <w:b w:val="0"/>
          <w:bCs/>
        </w:rPr>
        <w:t>）及时提交年度报告，健全跟踪问效机制</w:t>
      </w:r>
      <w:bookmarkEnd w:id="56"/>
    </w:p>
    <w:p w14:paraId="0D4724E4">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b w:val="0"/>
          <w:bCs/>
          <w:sz w:val="32"/>
          <w:szCs w:val="40"/>
        </w:rPr>
      </w:pPr>
      <w:r>
        <w:rPr>
          <w:rFonts w:hint="eastAsia" w:ascii="Times New Roman Regular" w:hAnsi="Times New Roman Regular" w:eastAsia="仿宋_GB2312" w:cs="Times New Roman Regular"/>
          <w:b w:val="0"/>
          <w:bCs/>
          <w:sz w:val="32"/>
          <w:szCs w:val="40"/>
          <w:lang w:val="en-US" w:eastAsia="zh-CN"/>
        </w:rPr>
        <w:t>一是抓好政策实施，督促受托管理机构按时提报年度运营报告和审计报告</w:t>
      </w:r>
      <w:r>
        <w:rPr>
          <w:rFonts w:hint="eastAsia" w:ascii="Times New Roman Regular" w:hAnsi="Times New Roman Regular" w:eastAsia="仿宋_GB2312" w:cs="Times New Roman Regular"/>
          <w:b w:val="0"/>
          <w:bCs/>
          <w:sz w:val="32"/>
          <w:szCs w:val="40"/>
        </w:rPr>
        <w:t>。</w:t>
      </w:r>
      <w:r>
        <w:rPr>
          <w:rFonts w:hint="eastAsia" w:ascii="Times New Roman Regular" w:hAnsi="Times New Roman Regular" w:eastAsia="仿宋_GB2312" w:cs="Times New Roman Regular"/>
          <w:b w:val="0"/>
          <w:bCs/>
          <w:sz w:val="32"/>
          <w:szCs w:val="40"/>
          <w:lang w:val="en-US" w:eastAsia="zh-CN"/>
        </w:rPr>
        <w:t>二是按要求</w:t>
      </w:r>
      <w:r>
        <w:rPr>
          <w:rFonts w:hint="eastAsia" w:ascii="Times New Roman Regular" w:hAnsi="Times New Roman Regular" w:eastAsia="仿宋_GB2312" w:cs="Times New Roman Regular"/>
          <w:b w:val="0"/>
          <w:bCs/>
          <w:sz w:val="32"/>
          <w:szCs w:val="40"/>
        </w:rPr>
        <w:t>开展</w:t>
      </w:r>
      <w:r>
        <w:rPr>
          <w:rFonts w:hint="eastAsia" w:ascii="Times New Roman Regular" w:hAnsi="Times New Roman Regular" w:eastAsia="仿宋_GB2312" w:cs="Times New Roman Regular"/>
          <w:b w:val="0"/>
          <w:bCs/>
          <w:sz w:val="32"/>
          <w:szCs w:val="40"/>
          <w:lang w:val="en-US" w:eastAsia="zh-CN"/>
        </w:rPr>
        <w:t>年度综合</w:t>
      </w:r>
      <w:r>
        <w:rPr>
          <w:rFonts w:hint="eastAsia" w:ascii="Times New Roman Regular" w:hAnsi="Times New Roman Regular" w:eastAsia="仿宋_GB2312" w:cs="Times New Roman Regular"/>
          <w:b w:val="0"/>
          <w:bCs/>
          <w:sz w:val="32"/>
          <w:szCs w:val="40"/>
        </w:rPr>
        <w:t>评价</w:t>
      </w:r>
      <w:r>
        <w:rPr>
          <w:rFonts w:hint="eastAsia" w:ascii="Times New Roman Regular" w:hAnsi="Times New Roman Regular" w:eastAsia="仿宋_GB2312" w:cs="Times New Roman Regular"/>
          <w:b w:val="0"/>
          <w:bCs/>
          <w:sz w:val="32"/>
          <w:szCs w:val="40"/>
          <w:lang w:eastAsia="zh-CN"/>
        </w:rPr>
        <w:t>。</w:t>
      </w:r>
      <w:r>
        <w:rPr>
          <w:rFonts w:hint="eastAsia" w:ascii="Times New Roman Regular" w:hAnsi="Times New Roman Regular" w:eastAsia="仿宋_GB2312" w:cs="Times New Roman Regular"/>
          <w:b w:val="0"/>
          <w:bCs/>
          <w:sz w:val="32"/>
          <w:szCs w:val="40"/>
        </w:rPr>
        <w:t>每年</w:t>
      </w:r>
      <w:r>
        <w:rPr>
          <w:rFonts w:hint="eastAsia" w:ascii="Times New Roman Regular" w:hAnsi="Times New Roman Regular" w:eastAsia="仿宋_GB2312" w:cs="Times New Roman Regular"/>
          <w:b w:val="0"/>
          <w:bCs/>
          <w:sz w:val="32"/>
          <w:szCs w:val="40"/>
          <w:highlight w:val="none"/>
          <w:lang w:val="en-US" w:eastAsia="zh-CN"/>
        </w:rPr>
        <w:t>定期</w:t>
      </w:r>
      <w:r>
        <w:rPr>
          <w:rFonts w:hint="eastAsia" w:ascii="仿宋_GB2312" w:hAnsi="仿宋_GB2312" w:eastAsia="仿宋_GB2312" w:cs="仿宋_GB2312"/>
          <w:b w:val="0"/>
          <w:bCs/>
          <w:kern w:val="0"/>
          <w:sz w:val="32"/>
          <w:szCs w:val="32"/>
          <w:lang w:val="en-US" w:eastAsia="zh-CN"/>
        </w:rPr>
        <w:t>对硕果赋能基金运行情况开展综合评价</w:t>
      </w:r>
      <w:r>
        <w:rPr>
          <w:rFonts w:hint="eastAsia" w:ascii="Times New Roman Regular" w:hAnsi="Times New Roman Regular" w:eastAsia="仿宋_GB2312" w:cs="Times New Roman Regular"/>
          <w:b w:val="0"/>
          <w:bCs/>
          <w:sz w:val="32"/>
          <w:szCs w:val="40"/>
        </w:rPr>
        <w:t>，全面核查资金投放、制度执行、绩效达成情况。</w:t>
      </w:r>
    </w:p>
    <w:p w14:paraId="514AB796">
      <w:pPr>
        <w:pStyle w:val="3"/>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b w:val="0"/>
          <w:bCs/>
          <w:highlight w:val="none"/>
        </w:rPr>
      </w:pPr>
      <w:bookmarkStart w:id="57" w:name="_Toc20731"/>
      <w:r>
        <w:rPr>
          <w:rFonts w:hint="eastAsia"/>
          <w:b w:val="0"/>
          <w:bCs/>
          <w:highlight w:val="none"/>
          <w:lang w:eastAsia="zh-CN"/>
        </w:rPr>
        <w:t>（</w:t>
      </w:r>
      <w:r>
        <w:rPr>
          <w:rFonts w:hint="eastAsia"/>
          <w:b w:val="0"/>
          <w:bCs/>
          <w:highlight w:val="none"/>
          <w:lang w:val="en-US" w:eastAsia="zh-CN"/>
        </w:rPr>
        <w:t>四</w:t>
      </w:r>
      <w:r>
        <w:rPr>
          <w:rFonts w:hint="eastAsia"/>
          <w:b w:val="0"/>
          <w:bCs/>
          <w:highlight w:val="none"/>
          <w:lang w:eastAsia="zh-CN"/>
        </w:rPr>
        <w:t>）</w:t>
      </w:r>
      <w:r>
        <w:rPr>
          <w:rFonts w:hint="eastAsia"/>
          <w:b w:val="0"/>
          <w:bCs/>
          <w:highlight w:val="none"/>
          <w:lang w:val="en-US" w:eastAsia="zh-CN"/>
        </w:rPr>
        <w:t>健全孵化器赋能评价机制，提升可持续服务水平</w:t>
      </w:r>
      <w:bookmarkEnd w:id="57"/>
    </w:p>
    <w:p w14:paraId="6F80E377">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b w:val="0"/>
          <w:bCs/>
          <w:sz w:val="32"/>
          <w:szCs w:val="40"/>
          <w:highlight w:val="none"/>
          <w:lang w:val="en-US" w:eastAsia="zh-CN"/>
        </w:rPr>
      </w:pPr>
      <w:r>
        <w:rPr>
          <w:rFonts w:hint="eastAsia" w:ascii="Times New Roman Regular" w:hAnsi="Times New Roman Regular" w:eastAsia="仿宋_GB2312" w:cs="Times New Roman Regular"/>
          <w:b w:val="0"/>
          <w:bCs/>
          <w:sz w:val="32"/>
          <w:szCs w:val="40"/>
          <w:highlight w:val="none"/>
          <w:lang w:val="en-US" w:eastAsia="zh-CN"/>
        </w:rPr>
        <w:t>推动孵化器提升投后和跟踪服务水平，细化孵化器服务履职标准、企业满意度判定流程与认定依据。结合企业需求，为企业提供人力资源、市场拓展、投融资等增值服务，赋能企业快速健康成长，推动企业实现科技成果转化，不断</w:t>
      </w:r>
      <w:r>
        <w:rPr>
          <w:rFonts w:hint="eastAsia" w:ascii="仿宋_GB2312" w:hAnsi="仿宋_GB2312" w:eastAsia="仿宋_GB2312" w:cs="仿宋_GB2312"/>
          <w:b w:val="0"/>
          <w:bCs/>
          <w:sz w:val="32"/>
          <w:szCs w:val="40"/>
          <w:highlight w:val="none"/>
          <w:lang w:val="en-US" w:eastAsia="zh-CN"/>
        </w:rPr>
        <w:t>提高孵化器服务水平。</w:t>
      </w:r>
    </w:p>
    <w:bookmarkEnd w:id="54"/>
    <w:p w14:paraId="7D24DF44">
      <w:pPr>
        <w:spacing w:line="560" w:lineRule="exact"/>
        <w:rPr>
          <w:rFonts w:ascii="Times New Roman Regular" w:hAnsi="Times New Roman Regular" w:eastAsia="仿宋_GB2312" w:cs="Times New Roman Regular"/>
          <w:sz w:val="32"/>
          <w:szCs w:val="40"/>
        </w:rPr>
      </w:pPr>
    </w:p>
    <w:p w14:paraId="0D4846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ascii="Times New Roman Regular" w:hAnsi="Times New Roman Regular" w:eastAsia="仿宋_GB2312" w:cs="Times New Roman Regular"/>
          <w:sz w:val="32"/>
          <w:szCs w:val="40"/>
        </w:rPr>
        <w:t>附件：</w:t>
      </w:r>
      <w:r>
        <w:rPr>
          <w:rFonts w:hint="eastAsia" w:ascii="仿宋_GB2312" w:hAnsi="仿宋_GB2312" w:eastAsia="仿宋_GB2312" w:cs="仿宋_GB2312"/>
          <w:sz w:val="32"/>
          <w:szCs w:val="40"/>
          <w:lang w:eastAsia="zh-CN"/>
        </w:rPr>
        <w:t>1.科技创业孵化股权投资资金政策绩效评价指标体系</w:t>
      </w:r>
      <w:bookmarkEnd w:id="46"/>
      <w:bookmarkEnd w:id="47"/>
    </w:p>
    <w:p w14:paraId="42BA9C3F">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w:t>
      </w:r>
      <w:r>
        <w:rPr>
          <w:rFonts w:hint="eastAsia" w:ascii="仿宋_GB2312" w:hAnsi="仿宋_GB2312" w:eastAsia="仿宋_GB2312" w:cs="仿宋_GB2312"/>
          <w:sz w:val="32"/>
          <w:szCs w:val="40"/>
          <w:lang w:eastAsia="zh-CN"/>
        </w:rPr>
        <w:t>科技创业孵化股权投资资金</w:t>
      </w:r>
      <w:r>
        <w:rPr>
          <w:rFonts w:hint="eastAsia" w:ascii="仿宋_GB2312" w:hAnsi="仿宋_GB2312" w:eastAsia="仿宋_GB2312" w:cs="仿宋_GB2312"/>
          <w:sz w:val="32"/>
          <w:szCs w:val="40"/>
        </w:rPr>
        <w:t>政策绩效评价得分表</w:t>
      </w:r>
    </w:p>
    <w:p w14:paraId="624FC73E">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w:t>
      </w:r>
      <w:r>
        <w:rPr>
          <w:rFonts w:hint="eastAsia" w:ascii="仿宋_GB2312" w:hAnsi="仿宋_GB2312" w:eastAsia="仿宋_GB2312" w:cs="仿宋_GB2312"/>
          <w:sz w:val="32"/>
          <w:szCs w:val="40"/>
          <w:lang w:eastAsia="zh-CN"/>
        </w:rPr>
        <w:t>科技创业孵化股权投资资金</w:t>
      </w:r>
      <w:r>
        <w:rPr>
          <w:rFonts w:hint="eastAsia" w:ascii="仿宋_GB2312" w:hAnsi="仿宋_GB2312" w:eastAsia="仿宋_GB2312" w:cs="仿宋_GB2312"/>
          <w:sz w:val="32"/>
          <w:szCs w:val="40"/>
        </w:rPr>
        <w:t>政策问题清单</w:t>
      </w:r>
    </w:p>
    <w:p w14:paraId="288E4373">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lang w:eastAsia="zh-CN"/>
        </w:rPr>
        <w:t>科技创业孵化股权投资资金</w:t>
      </w:r>
      <w:r>
        <w:rPr>
          <w:rFonts w:hint="eastAsia" w:ascii="仿宋_GB2312" w:hAnsi="仿宋_GB2312" w:eastAsia="仿宋_GB2312" w:cs="仿宋_GB2312"/>
          <w:sz w:val="32"/>
          <w:szCs w:val="40"/>
        </w:rPr>
        <w:t>政策</w:t>
      </w:r>
      <w:r>
        <w:rPr>
          <w:rFonts w:hint="eastAsia" w:ascii="仿宋_GB2312" w:hAnsi="仿宋_GB2312" w:eastAsia="仿宋_GB2312" w:cs="仿宋_GB2312"/>
          <w:sz w:val="32"/>
          <w:szCs w:val="40"/>
          <w:highlight w:val="none"/>
          <w:lang w:eastAsia="zh-CN"/>
        </w:rPr>
        <w:t>核心绩效指标</w:t>
      </w:r>
    </w:p>
    <w:p w14:paraId="5957439C">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5.科技创业孵化股权投资资金政策评价人员分工表</w:t>
      </w:r>
    </w:p>
    <w:p w14:paraId="00DA88EC">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sectPr>
          <w:footerReference r:id="rId6" w:type="default"/>
          <w:pgSz w:w="11906" w:h="16838"/>
          <w:pgMar w:top="1440" w:right="1800" w:bottom="1440" w:left="1800" w:header="851" w:footer="1361" w:gutter="0"/>
          <w:pgNumType w:fmt="decimal" w:start="1"/>
          <w:cols w:space="0" w:num="1"/>
          <w:docGrid w:linePitch="312" w:charSpace="0"/>
        </w:sectPr>
      </w:pPr>
    </w:p>
    <w:p w14:paraId="0E74F8E0">
      <w:pPr>
        <w:spacing w:line="600" w:lineRule="exact"/>
        <w:jc w:val="left"/>
        <w:outlineLvl w:val="0"/>
        <w:rPr>
          <w:rFonts w:hint="eastAsia" w:ascii="黑体" w:hAnsi="黑体" w:eastAsia="黑体" w:cs="黑体"/>
          <w:sz w:val="32"/>
          <w:szCs w:val="32"/>
          <w:lang w:eastAsia="zh-CN"/>
        </w:rPr>
      </w:pPr>
      <w:bookmarkStart w:id="58" w:name="_Toc29480"/>
      <w:r>
        <w:rPr>
          <w:rFonts w:hint="eastAsia" w:ascii="黑体" w:hAnsi="黑体" w:eastAsia="黑体" w:cs="黑体"/>
          <w:sz w:val="32"/>
          <w:szCs w:val="32"/>
          <w:lang w:eastAsia="zh-CN"/>
        </w:rPr>
        <w:t>附件1：</w:t>
      </w:r>
      <w:bookmarkEnd w:id="58"/>
    </w:p>
    <w:p w14:paraId="321CADD2">
      <w:pPr>
        <w:spacing w:line="600" w:lineRule="exact"/>
        <w:jc w:val="center"/>
        <w:outlineLvl w:val="0"/>
        <w:rPr>
          <w:rFonts w:hint="eastAsia" w:ascii="黑体" w:hAnsi="黑体" w:eastAsia="黑体" w:cs="黑体"/>
          <w:sz w:val="32"/>
          <w:szCs w:val="40"/>
        </w:rPr>
      </w:pPr>
      <w:bookmarkStart w:id="59" w:name="_Toc5226"/>
      <w:bookmarkStart w:id="60" w:name="_Toc25953281"/>
      <w:bookmarkStart w:id="61" w:name="_Toc52216807"/>
      <w:bookmarkStart w:id="62" w:name="_Toc9378"/>
      <w:bookmarkStart w:id="63" w:name="_Toc1503668447"/>
      <w:r>
        <w:rPr>
          <w:rFonts w:hint="eastAsia" w:ascii="方正小标宋简体" w:hAnsi="方正小标宋简体" w:eastAsia="方正小标宋简体" w:cs="方正小标宋简体"/>
          <w:sz w:val="36"/>
          <w:szCs w:val="44"/>
          <w:lang w:eastAsia="zh-CN"/>
        </w:rPr>
        <w:t>科技创业孵化股权投资资金</w:t>
      </w:r>
      <w:r>
        <w:rPr>
          <w:rFonts w:hint="eastAsia" w:ascii="方正小标宋简体" w:hAnsi="方正小标宋简体" w:eastAsia="方正小标宋简体" w:cs="方正小标宋简体"/>
          <w:sz w:val="36"/>
          <w:szCs w:val="44"/>
        </w:rPr>
        <w:t>政策绩效评价指标体系</w:t>
      </w:r>
      <w:bookmarkEnd w:id="59"/>
      <w:bookmarkEnd w:id="60"/>
      <w:bookmarkEnd w:id="61"/>
      <w:bookmarkEnd w:id="62"/>
      <w:bookmarkEnd w:id="63"/>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4"/>
        <w:gridCol w:w="1364"/>
        <w:gridCol w:w="1345"/>
        <w:gridCol w:w="1340"/>
        <w:gridCol w:w="1631"/>
        <w:gridCol w:w="4192"/>
        <w:gridCol w:w="2213"/>
      </w:tblGrid>
      <w:tr w14:paraId="2C5D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507"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08BEAA7F">
            <w:pPr>
              <w:keepNext w:val="0"/>
              <w:keepLines w:val="0"/>
              <w:widowControl/>
              <w:suppressLineNumbers w:val="0"/>
              <w:ind w:left="0" w:leftChars="0" w:right="0" w:rightChars="0" w:firstLine="0" w:firstLineChars="0"/>
              <w:jc w:val="center"/>
              <w:textAlignment w:val="center"/>
              <w:rPr>
                <w:rFonts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一级指标</w:t>
            </w:r>
          </w:p>
        </w:tc>
        <w:tc>
          <w:tcPr>
            <w:tcW w:w="507"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1D2A5829">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二级指标</w:t>
            </w:r>
          </w:p>
        </w:tc>
        <w:tc>
          <w:tcPr>
            <w:tcW w:w="500"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262CCDCB">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三级指标</w:t>
            </w:r>
          </w:p>
        </w:tc>
        <w:tc>
          <w:tcPr>
            <w:tcW w:w="498"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1C150843">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四级指标</w:t>
            </w:r>
          </w:p>
        </w:tc>
        <w:tc>
          <w:tcPr>
            <w:tcW w:w="606"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1BEF5F5C">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指标解释</w:t>
            </w:r>
          </w:p>
        </w:tc>
        <w:tc>
          <w:tcPr>
            <w:tcW w:w="1558"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6077EF97">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评价要点</w:t>
            </w:r>
          </w:p>
        </w:tc>
        <w:tc>
          <w:tcPr>
            <w:tcW w:w="822"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0FDA3CA6">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000000"/>
                <w:kern w:val="0"/>
                <w:sz w:val="24"/>
                <w:szCs w:val="24"/>
                <w:u w:val="none"/>
                <w:lang w:val="en-US" w:eastAsia="zh-CN" w:bidi="ar"/>
              </w:rPr>
            </w:pPr>
            <w:r>
              <w:rPr>
                <w:rFonts w:hint="default" w:ascii="仿宋_GB2312" w:hAnsi="宋体" w:eastAsia="仿宋_GB2312" w:cs="仿宋_GB2312"/>
                <w:b/>
                <w:bCs/>
                <w:i w:val="0"/>
                <w:iCs w:val="0"/>
                <w:color w:val="000000"/>
                <w:kern w:val="0"/>
                <w:sz w:val="24"/>
                <w:szCs w:val="24"/>
                <w:u w:val="none"/>
                <w:lang w:val="en-US" w:eastAsia="zh-CN" w:bidi="ar"/>
              </w:rPr>
              <w:t>指标来源</w:t>
            </w:r>
          </w:p>
          <w:p w14:paraId="6EB1D5AD">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（指标设置依据）</w:t>
            </w:r>
          </w:p>
        </w:tc>
      </w:tr>
      <w:tr w14:paraId="05395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1B34">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政策制定（</w:t>
            </w:r>
            <w:r>
              <w:rPr>
                <w:rStyle w:val="36"/>
                <w:rFonts w:hint="eastAsia" w:ascii="仿宋_GB2312" w:hAnsi="仿宋_GB2312" w:eastAsia="仿宋_GB2312" w:cs="仿宋_GB2312"/>
                <w:lang w:val="en-US" w:eastAsia="zh-CN" w:bidi="ar"/>
              </w:rPr>
              <w:t>10</w:t>
            </w:r>
            <w:r>
              <w:rPr>
                <w:rFonts w:hint="default" w:ascii="仿宋_GB2312" w:hAnsi="宋体" w:eastAsia="仿宋_GB2312" w:cs="仿宋_GB2312"/>
                <w:i w:val="0"/>
                <w:iCs w:val="0"/>
                <w:color w:val="000000"/>
                <w:kern w:val="0"/>
                <w:sz w:val="24"/>
                <w:szCs w:val="24"/>
                <w:u w:val="none"/>
                <w:lang w:val="en-US" w:eastAsia="zh-CN" w:bidi="ar"/>
              </w:rPr>
              <w:t>分）</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D588E">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政策制定（</w:t>
            </w:r>
            <w:r>
              <w:rPr>
                <w:rStyle w:val="36"/>
                <w:rFonts w:hint="eastAsia" w:ascii="仿宋_GB2312" w:hAnsi="仿宋_GB2312" w:eastAsia="仿宋_GB2312" w:cs="仿宋_GB2312"/>
                <w:lang w:val="en-US" w:eastAsia="zh-CN" w:bidi="ar"/>
              </w:rPr>
              <w:t>10</w:t>
            </w:r>
            <w:r>
              <w:rPr>
                <w:rFonts w:hint="default" w:ascii="仿宋_GB2312" w:hAnsi="宋体" w:eastAsia="仿宋_GB2312" w:cs="仿宋_GB2312"/>
                <w:i w:val="0"/>
                <w:iCs w:val="0"/>
                <w:color w:val="000000"/>
                <w:kern w:val="0"/>
                <w:sz w:val="24"/>
                <w:szCs w:val="24"/>
                <w:u w:val="none"/>
                <w:lang w:val="en-US" w:eastAsia="zh-CN" w:bidi="ar"/>
              </w:rPr>
              <w:t>分）</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74AE">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政策制定科学性（</w:t>
            </w:r>
            <w:r>
              <w:rPr>
                <w:rStyle w:val="36"/>
                <w:rFonts w:hint="eastAsia" w:ascii="仿宋_GB2312" w:hAnsi="仿宋_GB2312" w:eastAsia="仿宋_GB2312" w:cs="仿宋_GB2312"/>
                <w:lang w:val="en-US" w:eastAsia="zh-CN" w:bidi="ar"/>
              </w:rPr>
              <w:t>10</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01BE">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EC0C">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反映政策从立项依据、设立程序、目标设定到资金安排全流程的合规性、科学性与合理性，重点考核政策制定是否符合法律法规、相关规划及部门职责，程序是否规范，目标与资金配置是否匹配，是否能为政策有效实施奠定合规基础。</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AEE02">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①政策制定是否符合国家法律法规、国民经济发展规划、行业政策及部门职责范围，属于公共财政支持范畴，且不与相关部门同类政策重复，符合中央、地方事权支出责任划分原则；</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②政策设立及修订是否按规定程序申请，审批文件材料齐全合规，事前经过可行性研究、专家论证、风险评估、绩效评估、集体决策等必要环节；​</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③是否明确绩效目标，目标与实际工作内容相关，预期产出效益和效果符合正常业绩水平，且与预算投资额或资金量相匹配；​</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④政策支出标准经过科学论证，与政策目标、现实需求、经济发展情况相适应，支出标准依据充分、程序规范，已合理测算资金需求；</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⑤是否已制定相关资金管理办法并明确资金分配办法，资金分配因素全面合理，与补助对象或地方实际相适应，能保障政策目标或绩效目标达成。​</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5</w:t>
            </w:r>
            <w:r>
              <w:rPr>
                <w:rFonts w:hint="default" w:ascii="仿宋_GB2312" w:hAnsi="宋体" w:eastAsia="仿宋_GB2312" w:cs="仿宋_GB2312"/>
                <w:i w:val="0"/>
                <w:iCs w:val="0"/>
                <w:color w:val="000000"/>
                <w:kern w:val="0"/>
                <w:sz w:val="24"/>
                <w:szCs w:val="24"/>
                <w:u w:val="none"/>
                <w:lang w:val="en-US" w:eastAsia="zh-CN" w:bidi="ar"/>
              </w:rPr>
              <w:t>项各占</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5</w:t>
            </w:r>
            <w:r>
              <w:rPr>
                <w:rFonts w:hint="default" w:ascii="仿宋_GB2312" w:hAnsi="宋体" w:eastAsia="仿宋_GB2312" w:cs="仿宋_GB2312"/>
                <w:i w:val="0"/>
                <w:iCs w:val="0"/>
                <w:color w:val="000000"/>
                <w:kern w:val="0"/>
                <w:sz w:val="24"/>
                <w:szCs w:val="24"/>
                <w:u w:val="none"/>
                <w:lang w:val="en-US" w:eastAsia="zh-CN" w:bidi="ar"/>
              </w:rPr>
              <w:t>权重分，每出现一项不符合，扣除相应权重分。</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32081">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政策绩效评价指标体系框架</w:t>
            </w:r>
          </w:p>
        </w:tc>
      </w:tr>
      <w:tr w14:paraId="7CF3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5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BABDA6">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政策实施（</w:t>
            </w:r>
            <w:r>
              <w:rPr>
                <w:rStyle w:val="36"/>
                <w:rFonts w:hint="eastAsia" w:ascii="仿宋_GB2312" w:hAnsi="仿宋_GB2312" w:eastAsia="仿宋_GB2312" w:cs="仿宋_GB2312"/>
                <w:lang w:val="en-US" w:eastAsia="zh-CN" w:bidi="ar"/>
              </w:rPr>
              <w:t>25</w:t>
            </w:r>
            <w:r>
              <w:rPr>
                <w:rFonts w:hint="default" w:ascii="仿宋_GB2312" w:hAnsi="宋体" w:eastAsia="仿宋_GB2312" w:cs="仿宋_GB2312"/>
                <w:i w:val="0"/>
                <w:iCs w:val="0"/>
                <w:color w:val="000000"/>
                <w:kern w:val="0"/>
                <w:sz w:val="24"/>
                <w:szCs w:val="24"/>
                <w:u w:val="none"/>
                <w:lang w:val="en-US" w:eastAsia="zh-CN" w:bidi="ar"/>
              </w:rPr>
              <w:t>分）</w:t>
            </w:r>
          </w:p>
        </w:tc>
        <w:tc>
          <w:tcPr>
            <w:tcW w:w="5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DEA4B">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资金管理（</w:t>
            </w:r>
            <w:r>
              <w:rPr>
                <w:rStyle w:val="36"/>
                <w:rFonts w:hint="eastAsia" w:ascii="仿宋_GB2312" w:hAnsi="仿宋_GB2312" w:eastAsia="仿宋_GB2312" w:cs="仿宋_GB2312"/>
                <w:lang w:val="en-US" w:eastAsia="zh-CN" w:bidi="ar"/>
              </w:rPr>
              <w:t>6</w:t>
            </w:r>
            <w:r>
              <w:rPr>
                <w:rFonts w:hint="default" w:ascii="仿宋_GB2312" w:hAnsi="宋体" w:eastAsia="仿宋_GB2312" w:cs="仿宋_GB2312"/>
                <w:i w:val="0"/>
                <w:iCs w:val="0"/>
                <w:color w:val="000000"/>
                <w:kern w:val="0"/>
                <w:sz w:val="24"/>
                <w:szCs w:val="24"/>
                <w:u w:val="none"/>
                <w:lang w:val="en-US" w:eastAsia="zh-CN" w:bidi="ar"/>
              </w:rPr>
              <w:t>分）</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7E848">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预算执行率（</w:t>
            </w:r>
            <w:r>
              <w:rPr>
                <w:rStyle w:val="36"/>
                <w:rFonts w:hint="eastAsia" w:ascii="仿宋_GB2312" w:hAnsi="仿宋_GB2312" w:eastAsia="仿宋_GB2312" w:cs="仿宋_GB2312"/>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D1A2">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8326">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项目预算资金是否按照计划执行，用以反映或考核项目预算执行情况。</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DFCA">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预算执行率=（实际支出资金/实际到位资金）×</w:t>
            </w:r>
            <w:r>
              <w:rPr>
                <w:rFonts w:hint="eastAsia" w:ascii="仿宋_GB2312" w:hAnsi="仿宋_GB2312" w:eastAsia="仿宋_GB2312" w:cs="仿宋_GB2312"/>
                <w:i w:val="0"/>
                <w:iCs w:val="0"/>
                <w:color w:val="000000"/>
                <w:kern w:val="0"/>
                <w:sz w:val="24"/>
                <w:szCs w:val="24"/>
                <w:u w:val="none"/>
                <w:lang w:val="en-US" w:eastAsia="zh-CN" w:bidi="ar"/>
              </w:rPr>
              <w:t>100</w:t>
            </w:r>
            <w:r>
              <w:rPr>
                <w:rFonts w:hint="default"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实际支出资金：一定时期内项目实际拨付的资金。</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6E32">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政策绩效评价指标体系框架</w:t>
            </w:r>
          </w:p>
        </w:tc>
      </w:tr>
      <w:tr w14:paraId="11D0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F2B5">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359FA">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D8308">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资金使用规范性（</w:t>
            </w:r>
            <w:r>
              <w:rPr>
                <w:rStyle w:val="36"/>
                <w:rFonts w:hint="eastAsia" w:ascii="仿宋_GB2312" w:hAnsi="仿宋_GB2312" w:eastAsia="仿宋_GB2312" w:cs="仿宋_GB2312"/>
                <w:lang w:val="en-US" w:eastAsia="zh-CN" w:bidi="ar"/>
              </w:rPr>
              <w:t>4</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A98D">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9215">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项目资金使用是否符合相关的财务管理制度规定，用以反映和考核项目资金的规范运行情况。</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BC2CA">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①是否符合国家财经法规和财务管理制度以及《青岛市科技创业孵化财政资金股权投资运行管理办法（试行）》（青科创委办字〔</w:t>
            </w:r>
            <w:r>
              <w:rPr>
                <w:rFonts w:hint="eastAsia" w:ascii="仿宋_GB2312" w:hAnsi="仿宋_GB2312" w:eastAsia="仿宋_GB2312" w:cs="仿宋_GB2312"/>
                <w:i w:val="0"/>
                <w:iCs w:val="0"/>
                <w:color w:val="000000"/>
                <w:kern w:val="0"/>
                <w:sz w:val="24"/>
                <w:szCs w:val="24"/>
                <w:u w:val="none"/>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号）的规定；</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②资金的拨付是否有完整的审批程序和手续；</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③是否符合项目预算批复规定的用途；</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④是否存在截留、挤占、挪用、虚列支出等情况。</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每出现一</w:t>
            </w:r>
            <w:r>
              <w:rPr>
                <w:rFonts w:hint="eastAsia" w:ascii="仿宋_GB2312" w:hAnsi="宋体" w:eastAsia="仿宋_GB2312" w:cs="仿宋_GB2312"/>
                <w:i w:val="0"/>
                <w:iCs w:val="0"/>
                <w:color w:val="000000"/>
                <w:kern w:val="0"/>
                <w:sz w:val="24"/>
                <w:szCs w:val="24"/>
                <w:u w:val="none"/>
                <w:lang w:val="en-US" w:eastAsia="zh-CN" w:bidi="ar"/>
              </w:rPr>
              <w:t>次使用不规范情况</w:t>
            </w:r>
            <w:r>
              <w:rPr>
                <w:rFonts w:hint="default" w:ascii="仿宋_GB2312" w:hAnsi="宋体" w:eastAsia="仿宋_GB2312" w:cs="仿宋_GB2312"/>
                <w:i w:val="0"/>
                <w:iCs w:val="0"/>
                <w:color w:val="000000"/>
                <w:kern w:val="0"/>
                <w:sz w:val="24"/>
                <w:szCs w:val="24"/>
                <w:u w:val="none"/>
                <w:lang w:val="en-US" w:eastAsia="zh-CN" w:bidi="ar"/>
              </w:rPr>
              <w:t>扣</w:t>
            </w:r>
            <w:r>
              <w:rPr>
                <w:rFonts w:hint="eastAsia" w:ascii="仿宋_GB2312" w:hAnsi="宋体"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分</w:t>
            </w:r>
            <w:r>
              <w:rPr>
                <w:rFonts w:hint="eastAsia" w:ascii="仿宋_GB2312" w:hAnsi="宋体" w:eastAsia="仿宋_GB2312" w:cs="仿宋_GB2312"/>
                <w:i w:val="0"/>
                <w:iCs w:val="0"/>
                <w:color w:val="000000"/>
                <w:kern w:val="0"/>
                <w:sz w:val="24"/>
                <w:szCs w:val="24"/>
                <w:u w:val="none"/>
                <w:lang w:val="en-US" w:eastAsia="zh-CN" w:bidi="ar"/>
              </w:rPr>
              <w:t>，扣完为止</w:t>
            </w:r>
            <w:r>
              <w:rPr>
                <w:rFonts w:hint="default" w:ascii="仿宋_GB2312" w:hAnsi="宋体" w:eastAsia="仿宋_GB2312" w:cs="仿宋_GB2312"/>
                <w:i w:val="0"/>
                <w:iCs w:val="0"/>
                <w:color w:val="000000"/>
                <w:kern w:val="0"/>
                <w:sz w:val="24"/>
                <w:szCs w:val="24"/>
                <w:u w:val="none"/>
                <w:lang w:val="en-US" w:eastAsia="zh-CN" w:bidi="ar"/>
              </w:rPr>
              <w:t>。</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839CC">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政策绩效评价指标体系框架</w:t>
            </w:r>
          </w:p>
        </w:tc>
      </w:tr>
      <w:tr w14:paraId="584A9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BA02B">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0F95E">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保障机制（</w:t>
            </w:r>
            <w:r>
              <w:rPr>
                <w:rStyle w:val="36"/>
                <w:rFonts w:hint="eastAsia" w:ascii="仿宋_GB2312" w:hAnsi="仿宋_GB2312" w:eastAsia="仿宋_GB2312" w:cs="仿宋_GB2312"/>
                <w:lang w:val="en-US" w:eastAsia="zh-CN" w:bidi="ar"/>
              </w:rPr>
              <w:t>19</w:t>
            </w:r>
            <w:r>
              <w:rPr>
                <w:rFonts w:hint="default" w:ascii="仿宋_GB2312" w:hAnsi="宋体" w:eastAsia="仿宋_GB2312" w:cs="仿宋_GB2312"/>
                <w:i w:val="0"/>
                <w:iCs w:val="0"/>
                <w:color w:val="000000"/>
                <w:kern w:val="0"/>
                <w:sz w:val="24"/>
                <w:szCs w:val="24"/>
                <w:u w:val="none"/>
                <w:lang w:val="en-US" w:eastAsia="zh-CN" w:bidi="ar"/>
              </w:rPr>
              <w:t>分）</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69244">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政策管理制度健全性及执行有效性（</w:t>
            </w:r>
            <w:r>
              <w:rPr>
                <w:rStyle w:val="36"/>
                <w:rFonts w:hint="eastAsia" w:ascii="仿宋_GB2312" w:hAnsi="仿宋_GB2312" w:eastAsia="仿宋_GB2312" w:cs="仿宋_GB2312"/>
                <w:lang w:val="en-US" w:eastAsia="zh-CN" w:bidi="ar"/>
              </w:rPr>
              <w:t>19</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D22D">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0248D">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政策实施单位的财务和业务管理制度是否健全，政策实施是否符合相关管理规定，用以反映和考核财务和业务管理制度对项目顺利实施的保障情况，以及相关管理制度的有效执行情况。</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8382F">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①是否已制定或具有相应的财务和业务管理制度，制度是否合法、合规、完整；</w:t>
            </w:r>
          </w:p>
          <w:p w14:paraId="1C184F84">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②是否遵守《青岛市科技创业孵化财政资金股权投资运行管理办法（试行）》（青科创委办字〔</w:t>
            </w:r>
            <w:r>
              <w:rPr>
                <w:rStyle w:val="36"/>
                <w:rFonts w:hint="eastAsia" w:ascii="仿宋_GB2312" w:hAnsi="仿宋_GB2312" w:eastAsia="仿宋_GB2312" w:cs="仿宋_GB2312"/>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Style w:val="36"/>
                <w:rFonts w:hint="eastAsia" w:ascii="仿宋_GB2312" w:hAnsi="仿宋_GB2312" w:eastAsia="仿宋_GB2312" w:cs="仿宋_GB2312"/>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r>
              <w:rPr>
                <w:rFonts w:hint="eastAsia" w:ascii="仿宋_GB2312" w:hAnsi="宋体" w:eastAsia="仿宋_GB2312" w:cs="仿宋_GB2312"/>
                <w:i w:val="0"/>
                <w:iCs w:val="0"/>
                <w:color w:val="000000"/>
                <w:kern w:val="0"/>
                <w:sz w:val="24"/>
                <w:szCs w:val="24"/>
                <w:u w:val="none"/>
                <w:lang w:val="en-US" w:eastAsia="zh-CN" w:bidi="ar"/>
              </w:rPr>
              <w:t>等</w:t>
            </w:r>
            <w:r>
              <w:rPr>
                <w:rFonts w:hint="default" w:ascii="仿宋_GB2312" w:hAnsi="宋体" w:eastAsia="仿宋_GB2312" w:cs="仿宋_GB2312"/>
                <w:i w:val="0"/>
                <w:iCs w:val="0"/>
                <w:color w:val="000000"/>
                <w:kern w:val="0"/>
                <w:sz w:val="24"/>
                <w:szCs w:val="24"/>
                <w:u w:val="none"/>
                <w:lang w:val="en-US" w:eastAsia="zh-CN" w:bidi="ar"/>
              </w:rPr>
              <w:t>相关法律法规和相关管理规定；</w:t>
            </w:r>
          </w:p>
          <w:p w14:paraId="4CAC342A">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③项目调整及支出调整手续是否完备；</w:t>
            </w:r>
          </w:p>
          <w:p w14:paraId="2D5ABB00">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④项目合同书、验收报告、技术鉴定等资料是否齐全并及时归档；</w:t>
            </w:r>
          </w:p>
          <w:p w14:paraId="33B6480B">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⑤项目实施的人员条件、场地设备、信息支撑等是否落实到位。</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5</w:t>
            </w:r>
            <w:r>
              <w:rPr>
                <w:rFonts w:hint="default" w:ascii="仿宋_GB2312" w:hAnsi="宋体" w:eastAsia="仿宋_GB2312" w:cs="仿宋_GB2312"/>
                <w:i w:val="0"/>
                <w:iCs w:val="0"/>
                <w:color w:val="000000"/>
                <w:kern w:val="0"/>
                <w:sz w:val="24"/>
                <w:szCs w:val="24"/>
                <w:u w:val="none"/>
                <w:lang w:val="en-US" w:eastAsia="zh-CN" w:bidi="ar"/>
              </w:rPr>
              <w:t>项各占</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5</w:t>
            </w:r>
            <w:r>
              <w:rPr>
                <w:rFonts w:hint="default" w:ascii="仿宋_GB2312" w:hAnsi="宋体" w:eastAsia="仿宋_GB2312" w:cs="仿宋_GB2312"/>
                <w:i w:val="0"/>
                <w:iCs w:val="0"/>
                <w:color w:val="000000"/>
                <w:kern w:val="0"/>
                <w:sz w:val="24"/>
                <w:szCs w:val="24"/>
                <w:u w:val="none"/>
                <w:lang w:val="en-US" w:eastAsia="zh-CN" w:bidi="ar"/>
              </w:rPr>
              <w:t>权重分，每出现一项不符合扣</w:t>
            </w:r>
            <w:r>
              <w:rPr>
                <w:rFonts w:hint="eastAsia" w:ascii="仿宋_GB2312" w:hAnsi="宋体" w:eastAsia="仿宋_GB2312" w:cs="仿宋_GB2312"/>
                <w:i w:val="0"/>
                <w:iCs w:val="0"/>
                <w:color w:val="000000"/>
                <w:kern w:val="0"/>
                <w:sz w:val="24"/>
                <w:szCs w:val="24"/>
                <w:u w:val="none"/>
                <w:lang w:val="en-US" w:eastAsia="zh-CN" w:bidi="ar"/>
              </w:rPr>
              <w:t>1.5</w:t>
            </w:r>
            <w:r>
              <w:rPr>
                <w:rFonts w:hint="default" w:ascii="仿宋_GB2312" w:hAnsi="宋体" w:eastAsia="仿宋_GB2312" w:cs="仿宋_GB2312"/>
                <w:i w:val="0"/>
                <w:iCs w:val="0"/>
                <w:color w:val="000000"/>
                <w:kern w:val="0"/>
                <w:sz w:val="24"/>
                <w:szCs w:val="24"/>
                <w:u w:val="none"/>
                <w:lang w:val="en-US" w:eastAsia="zh-CN" w:bidi="ar"/>
              </w:rPr>
              <w:t>分</w:t>
            </w:r>
            <w:r>
              <w:rPr>
                <w:rFonts w:hint="eastAsia" w:ascii="仿宋_GB2312" w:hAnsi="宋体" w:eastAsia="仿宋_GB2312" w:cs="仿宋_GB2312"/>
                <w:i w:val="0"/>
                <w:iCs w:val="0"/>
                <w:color w:val="000000"/>
                <w:kern w:val="0"/>
                <w:sz w:val="24"/>
                <w:szCs w:val="24"/>
                <w:u w:val="none"/>
                <w:lang w:val="en-US" w:eastAsia="zh-CN" w:bidi="ar"/>
              </w:rPr>
              <w:t>，扣完为止</w:t>
            </w:r>
            <w:r>
              <w:rPr>
                <w:rFonts w:hint="default" w:ascii="仿宋_GB2312" w:hAnsi="宋体" w:eastAsia="仿宋_GB2312" w:cs="仿宋_GB2312"/>
                <w:i w:val="0"/>
                <w:iCs w:val="0"/>
                <w:color w:val="000000"/>
                <w:kern w:val="0"/>
                <w:sz w:val="24"/>
                <w:szCs w:val="24"/>
                <w:u w:val="none"/>
                <w:lang w:val="en-US" w:eastAsia="zh-CN" w:bidi="ar"/>
              </w:rPr>
              <w:t>。</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80F08">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政策绩效评价指标体系框架</w:t>
            </w:r>
          </w:p>
        </w:tc>
      </w:tr>
      <w:tr w14:paraId="25407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381B9">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政策效果（</w:t>
            </w:r>
            <w:r>
              <w:rPr>
                <w:rStyle w:val="36"/>
                <w:rFonts w:hint="eastAsia" w:ascii="仿宋_GB2312" w:hAnsi="仿宋_GB2312" w:eastAsia="仿宋_GB2312" w:cs="仿宋_GB2312"/>
                <w:lang w:val="en-US" w:eastAsia="zh-CN" w:bidi="ar"/>
              </w:rPr>
              <w:t>65</w:t>
            </w:r>
            <w:r>
              <w:rPr>
                <w:rFonts w:hint="default" w:ascii="仿宋_GB2312" w:hAnsi="宋体" w:eastAsia="仿宋_GB2312" w:cs="仿宋_GB2312"/>
                <w:i w:val="0"/>
                <w:iCs w:val="0"/>
                <w:color w:val="000000"/>
                <w:kern w:val="0"/>
                <w:sz w:val="24"/>
                <w:szCs w:val="24"/>
                <w:u w:val="none"/>
                <w:lang w:val="en-US" w:eastAsia="zh-CN" w:bidi="ar"/>
              </w:rPr>
              <w:t>分）</w:t>
            </w:r>
          </w:p>
        </w:tc>
        <w:tc>
          <w:tcPr>
            <w:tcW w:w="5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D06B0">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政策产出（</w:t>
            </w:r>
            <w:r>
              <w:rPr>
                <w:rStyle w:val="36"/>
                <w:rFonts w:hint="eastAsia" w:ascii="仿宋_GB2312" w:hAnsi="仿宋_GB2312" w:eastAsia="仿宋_GB2312" w:cs="仿宋_GB2312"/>
                <w:lang w:val="en-US" w:eastAsia="zh-CN" w:bidi="ar"/>
              </w:rPr>
              <w:t>30</w:t>
            </w:r>
            <w:r>
              <w:rPr>
                <w:rFonts w:hint="default" w:ascii="仿宋_GB2312" w:hAnsi="宋体" w:eastAsia="仿宋_GB2312" w:cs="仿宋_GB2312"/>
                <w:i w:val="0"/>
                <w:iCs w:val="0"/>
                <w:color w:val="000000"/>
                <w:kern w:val="0"/>
                <w:sz w:val="24"/>
                <w:szCs w:val="24"/>
                <w:u w:val="none"/>
                <w:lang w:val="en-US" w:eastAsia="zh-CN" w:bidi="ar"/>
              </w:rPr>
              <w:t>分）</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E6CDE">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数量指标（</w:t>
            </w:r>
            <w:r>
              <w:rPr>
                <w:rStyle w:val="36"/>
                <w:rFonts w:hint="eastAsia" w:ascii="仿宋_GB2312" w:hAnsi="仿宋_GB2312" w:eastAsia="仿宋_GB2312" w:cs="仿宋_GB2312"/>
                <w:lang w:val="en-US" w:eastAsia="zh-CN" w:bidi="ar"/>
              </w:rPr>
              <w:t>14</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7280">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财政股权投资完成率（</w:t>
            </w:r>
            <w:r>
              <w:rPr>
                <w:rStyle w:val="36"/>
                <w:rFonts w:hint="eastAsia" w:ascii="仿宋_GB2312" w:hAnsi="仿宋_GB2312" w:eastAsia="仿宋_GB2312" w:cs="仿宋_GB2312"/>
                <w:lang w:val="en-US" w:eastAsia="zh-CN" w:bidi="ar"/>
              </w:rPr>
              <w:t>14</w:t>
            </w:r>
            <w:r>
              <w:rPr>
                <w:rFonts w:hint="default" w:ascii="仿宋_GB2312" w:hAnsi="宋体" w:eastAsia="仿宋_GB2312" w:cs="仿宋_GB2312"/>
                <w:i w:val="0"/>
                <w:iCs w:val="0"/>
                <w:color w:val="000000"/>
                <w:kern w:val="0"/>
                <w:sz w:val="24"/>
                <w:szCs w:val="24"/>
                <w:u w:val="none"/>
                <w:lang w:val="en-US" w:eastAsia="zh-CN" w:bidi="ar"/>
              </w:rPr>
              <w:t>分）</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632C">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反映“硕果金”累计投资进度</w:t>
            </w:r>
            <w:r>
              <w:rPr>
                <w:rFonts w:hint="eastAsia" w:ascii="仿宋_GB2312" w:hAnsi="宋体" w:eastAsia="仿宋_GB2312" w:cs="仿宋_GB2312"/>
                <w:i w:val="0"/>
                <w:iCs w:val="0"/>
                <w:color w:val="000000"/>
                <w:kern w:val="0"/>
                <w:sz w:val="24"/>
                <w:szCs w:val="24"/>
                <w:u w:val="none"/>
                <w:lang w:val="en-US" w:eastAsia="zh-CN" w:bidi="ar"/>
              </w:rPr>
              <w:t>情况</w:t>
            </w:r>
            <w:r>
              <w:rPr>
                <w:rFonts w:hint="default" w:ascii="仿宋_GB2312" w:hAnsi="宋体" w:eastAsia="仿宋_GB2312" w:cs="仿宋_GB2312"/>
                <w:i w:val="0"/>
                <w:iCs w:val="0"/>
                <w:color w:val="000000"/>
                <w:kern w:val="0"/>
                <w:sz w:val="24"/>
                <w:szCs w:val="24"/>
                <w:u w:val="none"/>
                <w:lang w:val="en-US" w:eastAsia="zh-CN" w:bidi="ar"/>
              </w:rPr>
              <w:t>。</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5A1F2">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实际投资进度率=（“硕果金”累计实际完成直投金额+赋能基金</w:t>
            </w:r>
            <w:r>
              <w:rPr>
                <w:rFonts w:hint="eastAsia" w:ascii="仿宋_GB2312" w:hAnsi="宋体" w:eastAsia="仿宋_GB2312" w:cs="仿宋_GB2312"/>
                <w:i w:val="0"/>
                <w:iCs w:val="0"/>
                <w:color w:val="000000"/>
                <w:kern w:val="0"/>
                <w:sz w:val="24"/>
                <w:szCs w:val="24"/>
                <w:u w:val="none"/>
                <w:lang w:val="en-US" w:eastAsia="zh-CN" w:bidi="ar"/>
              </w:rPr>
              <w:t>实缴</w:t>
            </w:r>
            <w:r>
              <w:rPr>
                <w:rFonts w:hint="default" w:ascii="仿宋_GB2312" w:hAnsi="宋体" w:eastAsia="仿宋_GB2312" w:cs="仿宋_GB2312"/>
                <w:i w:val="0"/>
                <w:iCs w:val="0"/>
                <w:color w:val="000000"/>
                <w:kern w:val="0"/>
                <w:sz w:val="24"/>
                <w:szCs w:val="24"/>
                <w:u w:val="none"/>
                <w:lang w:val="en-US" w:eastAsia="zh-CN" w:bidi="ar"/>
              </w:rPr>
              <w:t>金额）÷“硕果金”已拨付总额×</w:t>
            </w:r>
            <w:r>
              <w:rPr>
                <w:rFonts w:hint="eastAsia" w:ascii="仿宋_GB2312" w:hAnsi="仿宋_GB2312" w:eastAsia="仿宋_GB2312" w:cs="仿宋_GB2312"/>
                <w:i w:val="0"/>
                <w:iCs w:val="0"/>
                <w:color w:val="000000"/>
                <w:kern w:val="0"/>
                <w:sz w:val="24"/>
                <w:szCs w:val="24"/>
                <w:u w:val="none"/>
                <w:lang w:val="en-US" w:eastAsia="zh-CN" w:bidi="ar"/>
              </w:rPr>
              <w:t>100</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实际投资进度率</w:t>
            </w:r>
            <w:r>
              <w:rPr>
                <w:rFonts w:hint="eastAsia" w:ascii="仿宋_GB2312" w:hAnsi="宋体" w:eastAsia="仿宋_GB2312" w:cs="仿宋_GB2312"/>
                <w:i w:val="0"/>
                <w:iCs w:val="0"/>
                <w:color w:val="000000"/>
                <w:kern w:val="0"/>
                <w:sz w:val="24"/>
                <w:szCs w:val="24"/>
                <w:u w:val="none"/>
                <w:lang w:val="en-US" w:eastAsia="zh-CN" w:bidi="ar"/>
              </w:rPr>
              <w:t>80%-100%得满分，60%-80%得10分，40%-60%得6分，20%-40%得2分，20%以下不得分。</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E267">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实际投资进度率：参照《山东省省级股权投资引导基金绩效评价管理暂行办法》的通知（鲁财预〔</w:t>
            </w:r>
            <w:r>
              <w:rPr>
                <w:rFonts w:hint="eastAsia" w:ascii="仿宋_GB2312" w:hAnsi="仿宋_GB2312" w:eastAsia="仿宋_GB2312" w:cs="仿宋_GB2312"/>
                <w:i w:val="0"/>
                <w:iCs w:val="0"/>
                <w:color w:val="000000"/>
                <w:kern w:val="0"/>
                <w:sz w:val="24"/>
                <w:szCs w:val="24"/>
                <w:u w:val="none"/>
                <w:lang w:val="en-US" w:eastAsia="zh-CN" w:bidi="ar"/>
              </w:rPr>
              <w:t>2015</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57</w:t>
            </w:r>
            <w:r>
              <w:rPr>
                <w:rFonts w:hint="default" w:ascii="仿宋_GB2312" w:hAnsi="宋体" w:eastAsia="仿宋_GB2312" w:cs="仿宋_GB2312"/>
                <w:i w:val="0"/>
                <w:iCs w:val="0"/>
                <w:color w:val="000000"/>
                <w:kern w:val="0"/>
                <w:sz w:val="24"/>
                <w:szCs w:val="24"/>
                <w:u w:val="none"/>
                <w:lang w:val="en-US" w:eastAsia="zh-CN" w:bidi="ar"/>
              </w:rPr>
              <w:t>号）</w:t>
            </w:r>
            <w:r>
              <w:rPr>
                <w:rFonts w:hint="eastAsia" w:ascii="仿宋_GB2312" w:hAnsi="宋体" w:eastAsia="仿宋_GB2312" w:cs="仿宋_GB2312"/>
                <w:i w:val="0"/>
                <w:iCs w:val="0"/>
                <w:color w:val="000000"/>
                <w:kern w:val="0"/>
                <w:sz w:val="24"/>
                <w:szCs w:val="24"/>
                <w:u w:val="none"/>
                <w:lang w:val="en-US" w:eastAsia="zh-CN" w:bidi="ar"/>
              </w:rPr>
              <w:t>。</w:t>
            </w:r>
          </w:p>
        </w:tc>
      </w:tr>
      <w:tr w14:paraId="532A6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59723">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A66DA">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1D8AC">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质量指标（</w:t>
            </w:r>
            <w:r>
              <w:rPr>
                <w:rStyle w:val="36"/>
                <w:rFonts w:hint="eastAsia" w:ascii="仿宋_GB2312" w:hAnsi="仿宋_GB2312" w:eastAsia="仿宋_GB2312" w:cs="仿宋_GB2312"/>
                <w:lang w:val="en-US" w:eastAsia="zh-CN" w:bidi="ar"/>
              </w:rPr>
              <w:t>14</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D9CEF">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投资项目达标率（</w:t>
            </w:r>
            <w:r>
              <w:rPr>
                <w:rStyle w:val="36"/>
                <w:rFonts w:hint="eastAsia" w:ascii="仿宋_GB2312" w:hAnsi="仿宋_GB2312" w:eastAsia="仿宋_GB2312" w:cs="仿宋_GB2312"/>
                <w:lang w:val="en-US" w:eastAsia="zh-CN" w:bidi="ar"/>
              </w:rPr>
              <w:t>14</w:t>
            </w:r>
            <w:r>
              <w:rPr>
                <w:rFonts w:hint="default" w:ascii="仿宋_GB2312" w:hAnsi="宋体" w:eastAsia="仿宋_GB2312" w:cs="仿宋_GB2312"/>
                <w:i w:val="0"/>
                <w:iCs w:val="0"/>
                <w:color w:val="000000"/>
                <w:kern w:val="0"/>
                <w:sz w:val="24"/>
                <w:szCs w:val="24"/>
                <w:u w:val="none"/>
                <w:lang w:val="en-US" w:eastAsia="zh-CN" w:bidi="ar"/>
              </w:rPr>
              <w:t>分）</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A56B">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反映已投项目在产业方向、企业阶段、资金结构等方面是否符合政策要求。</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80151">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①投资方向符合度</w:t>
            </w:r>
            <w:r>
              <w:rPr>
                <w:rFonts w:hint="eastAsia" w:ascii="仿宋_GB2312" w:hAnsi="仿宋_GB2312" w:eastAsia="仿宋_GB2312" w:cs="仿宋_GB2312"/>
                <w:i w:val="0"/>
                <w:iCs w:val="0"/>
                <w:color w:val="000000"/>
                <w:kern w:val="0"/>
                <w:sz w:val="24"/>
                <w:szCs w:val="24"/>
                <w:u w:val="none"/>
                <w:lang w:val="en-US" w:eastAsia="zh-CN" w:bidi="ar"/>
              </w:rPr>
              <w:t>100</w:t>
            </w:r>
            <w:r>
              <w:rPr>
                <w:rFonts w:hint="default" w:ascii="仿宋_GB2312" w:hAnsi="宋体" w:eastAsia="仿宋_GB2312" w:cs="仿宋_GB2312"/>
                <w:i w:val="0"/>
                <w:iCs w:val="0"/>
                <w:color w:val="000000"/>
                <w:kern w:val="0"/>
                <w:sz w:val="24"/>
                <w:szCs w:val="24"/>
                <w:u w:val="none"/>
                <w:lang w:val="en-US" w:eastAsia="zh-CN" w:bidi="ar"/>
              </w:rPr>
              <w:t>%：是否为科技企业孵化器（包括众创空间、大学科技园）及科技园区和产业链专业园区孵化培育科技企业；</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②初创期企业占比≥</w:t>
            </w:r>
            <w:r>
              <w:rPr>
                <w:rFonts w:hint="eastAsia" w:ascii="仿宋_GB2312" w:hAnsi="仿宋_GB2312" w:eastAsia="仿宋_GB2312" w:cs="仿宋_GB2312"/>
                <w:i w:val="0"/>
                <w:iCs w:val="0"/>
                <w:color w:val="000000"/>
                <w:kern w:val="0"/>
                <w:sz w:val="24"/>
                <w:szCs w:val="24"/>
                <w:u w:val="none"/>
                <w:lang w:val="en-US" w:eastAsia="zh-CN" w:bidi="ar"/>
              </w:rPr>
              <w:t>70</w:t>
            </w:r>
            <w:r>
              <w:rPr>
                <w:rFonts w:hint="default"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③参股赋能基金规模≤资金总额的</w:t>
            </w:r>
            <w:r>
              <w:rPr>
                <w:rFonts w:hint="eastAsia" w:ascii="仿宋_GB2312" w:hAnsi="仿宋_GB2312" w:eastAsia="仿宋_GB2312" w:cs="仿宋_GB2312"/>
                <w:i w:val="0"/>
                <w:iCs w:val="0"/>
                <w:color w:val="000000"/>
                <w:kern w:val="0"/>
                <w:sz w:val="24"/>
                <w:szCs w:val="24"/>
                <w:u w:val="none"/>
                <w:lang w:val="en-US" w:eastAsia="zh-CN" w:bidi="ar"/>
              </w:rPr>
              <w:t>50</w:t>
            </w:r>
            <w:r>
              <w:rPr>
                <w:rFonts w:hint="default"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④标杆孵化器推荐项目（含体外孵化）</w:t>
            </w:r>
            <w:r>
              <w:rPr>
                <w:rFonts w:hint="eastAsia" w:ascii="仿宋_GB2312" w:hAnsi="宋体" w:eastAsia="仿宋_GB2312" w:cs="仿宋_GB2312"/>
                <w:i w:val="0"/>
                <w:iCs w:val="0"/>
                <w:color w:val="000000"/>
                <w:kern w:val="0"/>
                <w:sz w:val="24"/>
                <w:szCs w:val="24"/>
                <w:u w:val="none"/>
                <w:lang w:val="en-US" w:eastAsia="zh-CN" w:bidi="ar"/>
              </w:rPr>
              <w:t>金额</w:t>
            </w:r>
            <w:r>
              <w:rPr>
                <w:rFonts w:hint="default" w:ascii="仿宋_GB2312" w:hAnsi="宋体" w:eastAsia="仿宋_GB2312" w:cs="仿宋_GB2312"/>
                <w:i w:val="0"/>
                <w:iCs w:val="0"/>
                <w:color w:val="000000"/>
                <w:kern w:val="0"/>
                <w:sz w:val="24"/>
                <w:szCs w:val="24"/>
                <w:u w:val="none"/>
                <w:lang w:val="en-US" w:eastAsia="zh-CN" w:bidi="ar"/>
              </w:rPr>
              <w:t>≥可投额度的</w:t>
            </w:r>
            <w:r>
              <w:rPr>
                <w:rFonts w:hint="eastAsia" w:ascii="仿宋_GB2312" w:hAnsi="仿宋_GB2312" w:eastAsia="仿宋_GB2312" w:cs="仿宋_GB2312"/>
                <w:i w:val="0"/>
                <w:iCs w:val="0"/>
                <w:color w:val="000000"/>
                <w:kern w:val="0"/>
                <w:sz w:val="24"/>
                <w:szCs w:val="24"/>
                <w:u w:val="none"/>
                <w:lang w:val="en-US" w:eastAsia="zh-CN" w:bidi="ar"/>
              </w:rPr>
              <w:t>50</w:t>
            </w:r>
            <w:r>
              <w:rPr>
                <w:rFonts w:hint="default"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4</w:t>
            </w:r>
            <w:r>
              <w:rPr>
                <w:rFonts w:hint="default" w:ascii="仿宋_GB2312" w:hAnsi="宋体" w:eastAsia="仿宋_GB2312" w:cs="仿宋_GB2312"/>
                <w:i w:val="0"/>
                <w:iCs w:val="0"/>
                <w:color w:val="000000"/>
                <w:kern w:val="0"/>
                <w:sz w:val="24"/>
                <w:szCs w:val="24"/>
                <w:u w:val="none"/>
                <w:lang w:val="en-US" w:eastAsia="zh-CN" w:bidi="ar"/>
              </w:rPr>
              <w:t>项各占</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4</w:t>
            </w:r>
            <w:r>
              <w:rPr>
                <w:rFonts w:hint="default" w:ascii="仿宋_GB2312" w:hAnsi="宋体" w:eastAsia="仿宋_GB2312" w:cs="仿宋_GB2312"/>
                <w:i w:val="0"/>
                <w:iCs w:val="0"/>
                <w:color w:val="000000"/>
                <w:kern w:val="0"/>
                <w:sz w:val="24"/>
                <w:szCs w:val="24"/>
                <w:u w:val="none"/>
                <w:lang w:val="en-US" w:eastAsia="zh-CN" w:bidi="ar"/>
              </w:rPr>
              <w:t>权重分，每出现一项不符合，扣除相应权重分。</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5E08E">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《青岛市科技创业孵化财政资金股权投资运行管理办法（试行）》（青科创委办字〔</w:t>
            </w:r>
            <w:r>
              <w:rPr>
                <w:rStyle w:val="36"/>
                <w:rFonts w:hint="eastAsia" w:ascii="仿宋_GB2312" w:hAnsi="仿宋_GB2312" w:eastAsia="仿宋_GB2312" w:cs="仿宋_GB2312"/>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Style w:val="36"/>
                <w:rFonts w:hint="eastAsia" w:ascii="仿宋_GB2312" w:hAnsi="仿宋_GB2312" w:eastAsia="仿宋_GB2312" w:cs="仿宋_GB2312"/>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p>
        </w:tc>
      </w:tr>
      <w:tr w14:paraId="54ED8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D73D8">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88A1E">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8D7C2">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成本指标（</w:t>
            </w:r>
            <w:r>
              <w:rPr>
                <w:rStyle w:val="36"/>
                <w:rFonts w:hint="eastAsia" w:ascii="仿宋_GB2312" w:hAnsi="仿宋_GB2312" w:eastAsia="仿宋_GB2312" w:cs="仿宋_GB2312"/>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36785">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投资成本合规率（</w:t>
            </w:r>
            <w:r>
              <w:rPr>
                <w:rStyle w:val="36"/>
                <w:rFonts w:hint="eastAsia" w:ascii="仿宋_GB2312" w:hAnsi="仿宋_GB2312" w:eastAsia="仿宋_GB2312" w:cs="仿宋_GB2312"/>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分）</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42980">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反映单个项目投资额度和管理费计提的合规性。</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6FDC">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①项目投资标准合规：不少于可投额度的</w:t>
            </w:r>
            <w:r>
              <w:rPr>
                <w:rFonts w:hint="eastAsia" w:ascii="仿宋_GB2312" w:hAnsi="仿宋_GB2312" w:eastAsia="仿宋_GB2312" w:cs="仿宋_GB2312"/>
                <w:i w:val="0"/>
                <w:iCs w:val="0"/>
                <w:color w:val="000000"/>
                <w:kern w:val="0"/>
                <w:sz w:val="24"/>
                <w:szCs w:val="24"/>
                <w:u w:val="none"/>
                <w:lang w:val="en-US" w:eastAsia="zh-CN" w:bidi="ar"/>
              </w:rPr>
              <w:t>50</w:t>
            </w:r>
            <w:r>
              <w:rPr>
                <w:rFonts w:hint="default" w:ascii="仿宋_GB2312" w:hAnsi="宋体" w:eastAsia="仿宋_GB2312" w:cs="仿宋_GB2312"/>
                <w:i w:val="0"/>
                <w:iCs w:val="0"/>
                <w:color w:val="000000"/>
                <w:kern w:val="0"/>
                <w:sz w:val="24"/>
                <w:szCs w:val="24"/>
                <w:u w:val="none"/>
                <w:lang w:val="en-US" w:eastAsia="zh-CN" w:bidi="ar"/>
              </w:rPr>
              <w:t>%用于“硕果金”对单个企业首次投资，单次首次投资≤</w:t>
            </w:r>
            <w:r>
              <w:rPr>
                <w:rFonts w:hint="eastAsia" w:ascii="仿宋_GB2312" w:hAnsi="仿宋_GB2312" w:eastAsia="仿宋_GB2312" w:cs="仿宋_GB2312"/>
                <w:i w:val="0"/>
                <w:iCs w:val="0"/>
                <w:color w:val="000000"/>
                <w:kern w:val="0"/>
                <w:sz w:val="24"/>
                <w:szCs w:val="24"/>
                <w:u w:val="none"/>
                <w:lang w:val="en-US" w:eastAsia="zh-CN" w:bidi="ar"/>
              </w:rPr>
              <w:t>500</w:t>
            </w:r>
            <w:r>
              <w:rPr>
                <w:rFonts w:hint="default" w:ascii="仿宋_GB2312" w:hAnsi="宋体" w:eastAsia="仿宋_GB2312" w:cs="仿宋_GB2312"/>
                <w:i w:val="0"/>
                <w:iCs w:val="0"/>
                <w:color w:val="000000"/>
                <w:kern w:val="0"/>
                <w:sz w:val="24"/>
                <w:szCs w:val="24"/>
                <w:u w:val="none"/>
                <w:lang w:val="en-US" w:eastAsia="zh-CN" w:bidi="ar"/>
              </w:rPr>
              <w:t>万元、总投资≤</w:t>
            </w:r>
            <w:r>
              <w:rPr>
                <w:rFonts w:hint="eastAsia" w:ascii="仿宋_GB2312" w:hAnsi="仿宋_GB2312" w:eastAsia="仿宋_GB2312" w:cs="仿宋_GB2312"/>
                <w:i w:val="0"/>
                <w:iCs w:val="0"/>
                <w:color w:val="000000"/>
                <w:kern w:val="0"/>
                <w:sz w:val="24"/>
                <w:szCs w:val="24"/>
                <w:u w:val="none"/>
                <w:lang w:val="en-US" w:eastAsia="zh-CN" w:bidi="ar"/>
              </w:rPr>
              <w:t>1000</w:t>
            </w:r>
            <w:r>
              <w:rPr>
                <w:rFonts w:hint="default" w:ascii="仿宋_GB2312" w:hAnsi="宋体" w:eastAsia="仿宋_GB2312" w:cs="仿宋_GB2312"/>
                <w:i w:val="0"/>
                <w:iCs w:val="0"/>
                <w:color w:val="000000"/>
                <w:kern w:val="0"/>
                <w:sz w:val="24"/>
                <w:szCs w:val="24"/>
                <w:u w:val="none"/>
                <w:lang w:val="en-US" w:eastAsia="zh-CN" w:bidi="ar"/>
              </w:rPr>
              <w:t>万元；剩余</w:t>
            </w:r>
            <w:r>
              <w:rPr>
                <w:rFonts w:hint="eastAsia" w:ascii="仿宋_GB2312" w:hAnsi="仿宋_GB2312" w:eastAsia="仿宋_GB2312" w:cs="仿宋_GB2312"/>
                <w:i w:val="0"/>
                <w:iCs w:val="0"/>
                <w:color w:val="000000"/>
                <w:kern w:val="0"/>
                <w:sz w:val="24"/>
                <w:szCs w:val="24"/>
                <w:u w:val="none"/>
                <w:lang w:val="en-US" w:eastAsia="zh-CN" w:bidi="ar"/>
              </w:rPr>
              <w:t>50</w:t>
            </w:r>
            <w:r>
              <w:rPr>
                <w:rFonts w:hint="default" w:ascii="仿宋_GB2312" w:hAnsi="宋体" w:eastAsia="仿宋_GB2312" w:cs="仿宋_GB2312"/>
                <w:i w:val="0"/>
                <w:iCs w:val="0"/>
                <w:color w:val="000000"/>
                <w:kern w:val="0"/>
                <w:sz w:val="24"/>
                <w:szCs w:val="24"/>
                <w:u w:val="none"/>
                <w:lang w:val="en-US" w:eastAsia="zh-CN" w:bidi="ar"/>
              </w:rPr>
              <w:t>%的可投额度单个项目总投资≤</w:t>
            </w:r>
            <w:r>
              <w:rPr>
                <w:rFonts w:hint="eastAsia" w:ascii="仿宋_GB2312" w:hAnsi="仿宋_GB2312" w:eastAsia="仿宋_GB2312" w:cs="仿宋_GB2312"/>
                <w:i w:val="0"/>
                <w:iCs w:val="0"/>
                <w:color w:val="000000"/>
                <w:kern w:val="0"/>
                <w:sz w:val="24"/>
                <w:szCs w:val="24"/>
                <w:u w:val="none"/>
                <w:lang w:val="en-US" w:eastAsia="zh-CN" w:bidi="ar"/>
              </w:rPr>
              <w:t>2000</w:t>
            </w:r>
            <w:r>
              <w:rPr>
                <w:rFonts w:hint="default" w:ascii="仿宋_GB2312" w:hAnsi="宋体" w:eastAsia="仿宋_GB2312" w:cs="仿宋_GB2312"/>
                <w:i w:val="0"/>
                <w:iCs w:val="0"/>
                <w:color w:val="000000"/>
                <w:kern w:val="0"/>
                <w:sz w:val="24"/>
                <w:szCs w:val="24"/>
                <w:u w:val="none"/>
                <w:lang w:val="en-US" w:eastAsia="zh-CN" w:bidi="ar"/>
              </w:rPr>
              <w:t>万元。</w:t>
            </w:r>
          </w:p>
          <w:p w14:paraId="3E174D82">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赋能基金返投倍数=赋能基金累计实际投资到项目库企业的金额÷“硕果金”对赋能基金的出资额≥</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倍。</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②管理费提取标准合规：“硕果金”直接投资按以前年度余额</w:t>
            </w:r>
            <w:r>
              <w:rPr>
                <w:rFonts w:hint="eastAsia" w:ascii="仿宋_GB2312" w:hAnsi="仿宋_GB2312" w:eastAsia="仿宋_GB2312" w:cs="仿宋_GB2312"/>
                <w:i w:val="0"/>
                <w:iCs w:val="0"/>
                <w:color w:val="000000"/>
                <w:kern w:val="0"/>
                <w:sz w:val="24"/>
                <w:szCs w:val="24"/>
                <w:u w:val="none"/>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%、本年投资额</w:t>
            </w:r>
            <w:r>
              <w:rPr>
                <w:rFonts w:hint="eastAsia" w:ascii="仿宋_GB2312" w:hAnsi="仿宋_GB2312" w:eastAsia="仿宋_GB2312" w:cs="仿宋_GB2312"/>
                <w:i w:val="0"/>
                <w:iCs w:val="0"/>
                <w:color w:val="000000"/>
                <w:kern w:val="0"/>
                <w:sz w:val="24"/>
                <w:szCs w:val="24"/>
                <w:u w:val="none"/>
                <w:lang w:val="en-US" w:eastAsia="zh-CN" w:bidi="ar"/>
              </w:rPr>
              <w:t>3</w:t>
            </w:r>
            <w:r>
              <w:rPr>
                <w:rFonts w:hint="default" w:ascii="仿宋_GB2312" w:hAnsi="宋体" w:eastAsia="仿宋_GB2312" w:cs="仿宋_GB2312"/>
                <w:i w:val="0"/>
                <w:iCs w:val="0"/>
                <w:color w:val="000000"/>
                <w:kern w:val="0"/>
                <w:sz w:val="24"/>
                <w:szCs w:val="24"/>
                <w:u w:val="none"/>
                <w:lang w:val="en-US" w:eastAsia="zh-CN" w:bidi="ar"/>
              </w:rPr>
              <w:t>%计提；赋能基金以实缴额度为基数，财通集团和硕果赋能基金管理人提取管理费合计≤</w:t>
            </w:r>
            <w:r>
              <w:rPr>
                <w:rFonts w:hint="eastAsia" w:ascii="仿宋_GB2312" w:hAnsi="仿宋_GB2312" w:eastAsia="仿宋_GB2312" w:cs="仿宋_GB2312"/>
                <w:i w:val="0"/>
                <w:iCs w:val="0"/>
                <w:color w:val="000000"/>
                <w:kern w:val="0"/>
                <w:sz w:val="24"/>
                <w:szCs w:val="24"/>
                <w:u w:val="none"/>
                <w:lang w:val="en-US" w:eastAsia="zh-CN" w:bidi="ar"/>
              </w:rPr>
              <w:t>3</w:t>
            </w:r>
            <w:r>
              <w:rPr>
                <w:rFonts w:hint="default"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项各占</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权重分，每出现一项不符合，按比例扣除相应权重分。</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3E15F">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《青岛市科技创业孵化财政资金股权投资运行管理办法（试行）》（青科创委办字〔</w:t>
            </w:r>
            <w:r>
              <w:rPr>
                <w:rStyle w:val="36"/>
                <w:rFonts w:hint="eastAsia" w:ascii="仿宋_GB2312" w:hAnsi="仿宋_GB2312" w:eastAsia="仿宋_GB2312" w:cs="仿宋_GB2312"/>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Style w:val="36"/>
                <w:rFonts w:hint="eastAsia" w:ascii="仿宋_GB2312" w:hAnsi="仿宋_GB2312" w:eastAsia="仿宋_GB2312" w:cs="仿宋_GB2312"/>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p>
        </w:tc>
      </w:tr>
      <w:tr w14:paraId="189E2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65026">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61D64">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政策效益（</w:t>
            </w:r>
            <w:r>
              <w:rPr>
                <w:rStyle w:val="36"/>
                <w:rFonts w:hint="eastAsia" w:ascii="仿宋_GB2312" w:hAnsi="仿宋_GB2312" w:eastAsia="仿宋_GB2312" w:cs="仿宋_GB2312"/>
                <w:lang w:val="en-US" w:eastAsia="zh-CN" w:bidi="ar"/>
              </w:rPr>
              <w:t>35</w:t>
            </w:r>
            <w:r>
              <w:rPr>
                <w:rFonts w:hint="default" w:ascii="仿宋_GB2312" w:hAnsi="宋体" w:eastAsia="仿宋_GB2312" w:cs="仿宋_GB2312"/>
                <w:i w:val="0"/>
                <w:iCs w:val="0"/>
                <w:color w:val="000000"/>
                <w:kern w:val="0"/>
                <w:sz w:val="24"/>
                <w:szCs w:val="24"/>
                <w:u w:val="none"/>
                <w:lang w:val="en-US" w:eastAsia="zh-CN" w:bidi="ar"/>
              </w:rPr>
              <w:t>分）</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E113E">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经济效益（</w:t>
            </w:r>
            <w:r>
              <w:rPr>
                <w:rFonts w:hint="eastAsia" w:ascii="仿宋_GB2312" w:hAnsi="仿宋_GB2312" w:eastAsia="仿宋_GB2312" w:cs="仿宋_GB2312"/>
                <w:i w:val="0"/>
                <w:iCs w:val="0"/>
                <w:color w:val="000000"/>
                <w:kern w:val="0"/>
                <w:sz w:val="24"/>
                <w:szCs w:val="24"/>
                <w:u w:val="none"/>
                <w:lang w:val="en-US" w:eastAsia="zh-CN" w:bidi="ar"/>
              </w:rPr>
              <w:t>15</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29496">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lang w:val="en-US" w:eastAsia="zh-CN"/>
              </w:rPr>
              <w:t>被投企业营业收入增长情况</w:t>
            </w:r>
            <w:r>
              <w:rPr>
                <w:rFonts w:hint="default" w:ascii="仿宋_GB2312" w:hAnsi="宋体" w:eastAsia="仿宋_GB2312" w:cs="仿宋_GB2312"/>
                <w:i w:val="0"/>
                <w:iCs w:val="0"/>
                <w:color w:val="000000"/>
                <w:kern w:val="0"/>
                <w:sz w:val="24"/>
                <w:szCs w:val="24"/>
                <w:highlight w:val="none"/>
                <w:u w:val="none"/>
                <w:lang w:val="en-US" w:eastAsia="zh-CN" w:bidi="ar"/>
              </w:rPr>
              <w:t>（</w:t>
            </w:r>
            <w:r>
              <w:rPr>
                <w:rFonts w:hint="eastAsia" w:ascii="仿宋_GB2312" w:hAnsi="仿宋_GB2312" w:eastAsia="仿宋_GB2312" w:cs="仿宋_GB2312"/>
                <w:i w:val="0"/>
                <w:iCs w:val="0"/>
                <w:color w:val="000000"/>
                <w:kern w:val="0"/>
                <w:sz w:val="24"/>
                <w:szCs w:val="24"/>
                <w:highlight w:val="none"/>
                <w:u w:val="none"/>
                <w:lang w:val="en-US" w:eastAsia="zh-CN" w:bidi="ar"/>
              </w:rPr>
              <w:t>7</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26BB">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反映</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硕果金</w:t>
            </w:r>
            <w:r>
              <w:rPr>
                <w:rFonts w:hint="eastAsia" w:ascii="仿宋_GB2312" w:hAnsi="仿宋_GB2312" w:eastAsia="仿宋_GB2312" w:cs="仿宋_GB2312"/>
                <w:color w:val="000000"/>
                <w:sz w:val="24"/>
                <w:lang w:eastAsia="zh-CN"/>
              </w:rPr>
              <w:t>”</w:t>
            </w:r>
            <w:r>
              <w:rPr>
                <w:rFonts w:hint="default" w:ascii="仿宋_GB2312" w:hAnsi="宋体" w:eastAsia="仿宋_GB2312" w:cs="仿宋_GB2312"/>
                <w:i w:val="0"/>
                <w:iCs w:val="0"/>
                <w:color w:val="000000"/>
                <w:kern w:val="0"/>
                <w:sz w:val="24"/>
                <w:szCs w:val="24"/>
                <w:highlight w:val="none"/>
                <w:u w:val="none"/>
                <w:lang w:val="en-US" w:eastAsia="zh-CN" w:bidi="ar"/>
              </w:rPr>
              <w:t>股权投资对科创企业</w:t>
            </w:r>
            <w:r>
              <w:rPr>
                <w:rFonts w:hint="eastAsia" w:ascii="仿宋_GB2312" w:hAnsi="宋体" w:eastAsia="仿宋_GB2312" w:cs="仿宋_GB2312"/>
                <w:i w:val="0"/>
                <w:iCs w:val="0"/>
                <w:color w:val="000000"/>
                <w:kern w:val="0"/>
                <w:sz w:val="24"/>
                <w:szCs w:val="24"/>
                <w:highlight w:val="none"/>
                <w:u w:val="none"/>
                <w:lang w:val="en-US" w:eastAsia="zh-CN" w:bidi="ar"/>
              </w:rPr>
              <w:t>营业收入促进</w:t>
            </w:r>
            <w:r>
              <w:rPr>
                <w:rFonts w:hint="default" w:ascii="仿宋_GB2312" w:hAnsi="宋体" w:eastAsia="仿宋_GB2312" w:cs="仿宋_GB2312"/>
                <w:i w:val="0"/>
                <w:iCs w:val="0"/>
                <w:color w:val="000000"/>
                <w:kern w:val="0"/>
                <w:sz w:val="24"/>
                <w:szCs w:val="24"/>
                <w:highlight w:val="none"/>
                <w:u w:val="none"/>
                <w:lang w:val="en-US" w:eastAsia="zh-CN" w:bidi="ar"/>
              </w:rPr>
              <w:t>情况。</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B7D8">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highlight w:val="none"/>
                <w:u w:val="none"/>
                <w:lang w:val="en-US" w:eastAsia="zh-CN"/>
              </w:rPr>
              <w:t>被投企业营业收入增长比例：营业收入增长的企业数量/被投企业数量*100%。</w:t>
            </w:r>
            <w:r>
              <w:rPr>
                <w:rFonts w:hint="default" w:ascii="仿宋_GB2312" w:hAnsi="宋体" w:eastAsia="仿宋_GB2312" w:cs="仿宋_GB2312"/>
                <w:i w:val="0"/>
                <w:iCs w:val="0"/>
                <w:color w:val="000000"/>
                <w:kern w:val="0"/>
                <w:sz w:val="24"/>
                <w:szCs w:val="24"/>
                <w:u w:val="none"/>
                <w:lang w:val="en-US" w:eastAsia="zh-CN" w:bidi="ar"/>
              </w:rPr>
              <w:t>每家企业达到目标值得相应权重分，否则按照比例扣分。</w:t>
            </w:r>
          </w:p>
          <w:p w14:paraId="1086B90E">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备注：部分企业投资时间为2025年下半年，涉及项目采用2026年1-5月利润表数据，其他项目采用2025年度利润表数据。</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B76F">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营业收入：参照《青岛市标杆孵化器管理办法》（青科规〔2022〕3号）</w:t>
            </w:r>
          </w:p>
        </w:tc>
      </w:tr>
      <w:tr w14:paraId="5FCC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88EB8">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continue"/>
            <w:tcBorders>
              <w:left w:val="single" w:color="000000" w:sz="4" w:space="0"/>
              <w:right w:val="single" w:color="000000" w:sz="4" w:space="0"/>
            </w:tcBorders>
            <w:shd w:val="clear" w:color="auto" w:fill="auto"/>
            <w:vAlign w:val="center"/>
          </w:tcPr>
          <w:p w14:paraId="5A49E3D2">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B122">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0417">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被投企业</w:t>
            </w:r>
            <w:r>
              <w:rPr>
                <w:rFonts w:hint="eastAsia" w:ascii="仿宋_GB2312" w:hAnsi="宋体" w:eastAsia="仿宋_GB2312" w:cs="仿宋_GB2312"/>
                <w:i w:val="0"/>
                <w:iCs w:val="0"/>
                <w:color w:val="000000"/>
                <w:kern w:val="0"/>
                <w:sz w:val="24"/>
                <w:szCs w:val="24"/>
                <w:u w:val="none"/>
                <w:lang w:val="en-US" w:eastAsia="zh-CN" w:bidi="ar"/>
              </w:rPr>
              <w:t>获得</w:t>
            </w:r>
            <w:r>
              <w:rPr>
                <w:rFonts w:hint="default" w:ascii="仿宋_GB2312" w:hAnsi="宋体" w:eastAsia="仿宋_GB2312" w:cs="仿宋_GB2312"/>
                <w:i w:val="0"/>
                <w:iCs w:val="0"/>
                <w:color w:val="000000"/>
                <w:kern w:val="0"/>
                <w:sz w:val="24"/>
                <w:szCs w:val="24"/>
                <w:u w:val="none"/>
                <w:lang w:val="en-US" w:eastAsia="zh-CN" w:bidi="ar"/>
              </w:rPr>
              <w:t>融资情况（</w:t>
            </w:r>
            <w:r>
              <w:rPr>
                <w:rFonts w:hint="eastAsia" w:ascii="仿宋_GB2312" w:hAnsi="仿宋_GB2312" w:eastAsia="仿宋_GB2312" w:cs="仿宋_GB2312"/>
                <w:i w:val="0"/>
                <w:iCs w:val="0"/>
                <w:color w:val="000000"/>
                <w:kern w:val="0"/>
                <w:sz w:val="24"/>
                <w:szCs w:val="24"/>
                <w:u w:val="none"/>
                <w:lang w:val="en-US" w:eastAsia="zh-CN" w:bidi="ar"/>
              </w:rPr>
              <w:t>8</w:t>
            </w:r>
            <w:r>
              <w:rPr>
                <w:rFonts w:hint="default" w:ascii="仿宋_GB2312" w:hAnsi="宋体" w:eastAsia="仿宋_GB2312" w:cs="仿宋_GB2312"/>
                <w:i w:val="0"/>
                <w:iCs w:val="0"/>
                <w:color w:val="000000"/>
                <w:kern w:val="0"/>
                <w:sz w:val="24"/>
                <w:szCs w:val="24"/>
                <w:u w:val="none"/>
                <w:lang w:val="en-US" w:eastAsia="zh-CN" w:bidi="ar"/>
              </w:rPr>
              <w:t>分）</w:t>
            </w:r>
          </w:p>
        </w:tc>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4124">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反映</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硕果金</w:t>
            </w:r>
            <w:r>
              <w:rPr>
                <w:rFonts w:hint="eastAsia" w:ascii="仿宋_GB2312" w:hAnsi="仿宋_GB2312" w:eastAsia="仿宋_GB2312" w:cs="仿宋_GB2312"/>
                <w:color w:val="000000"/>
                <w:sz w:val="24"/>
                <w:lang w:eastAsia="zh-CN"/>
              </w:rPr>
              <w:t>”</w:t>
            </w:r>
            <w:r>
              <w:rPr>
                <w:rFonts w:hint="default" w:ascii="仿宋_GB2312" w:hAnsi="宋体" w:eastAsia="仿宋_GB2312" w:cs="仿宋_GB2312"/>
                <w:i w:val="0"/>
                <w:iCs w:val="0"/>
                <w:color w:val="000000"/>
                <w:kern w:val="0"/>
                <w:sz w:val="24"/>
                <w:szCs w:val="24"/>
                <w:u w:val="none"/>
                <w:lang w:val="en-US" w:eastAsia="zh-CN" w:bidi="ar"/>
              </w:rPr>
              <w:t>股权投资对科创企业</w:t>
            </w:r>
            <w:r>
              <w:rPr>
                <w:rFonts w:hint="eastAsia" w:ascii="仿宋_GB2312" w:hAnsi="宋体" w:eastAsia="仿宋_GB2312" w:cs="仿宋_GB2312"/>
                <w:i w:val="0"/>
                <w:iCs w:val="0"/>
                <w:color w:val="000000"/>
                <w:kern w:val="0"/>
                <w:sz w:val="24"/>
                <w:szCs w:val="24"/>
                <w:u w:val="none"/>
                <w:lang w:val="en-US" w:eastAsia="zh-CN" w:bidi="ar"/>
              </w:rPr>
              <w:t>融资</w:t>
            </w:r>
            <w:r>
              <w:rPr>
                <w:rFonts w:hint="default" w:ascii="仿宋_GB2312" w:hAnsi="宋体" w:eastAsia="仿宋_GB2312" w:cs="仿宋_GB2312"/>
                <w:i w:val="0"/>
                <w:iCs w:val="0"/>
                <w:color w:val="000000"/>
                <w:kern w:val="0"/>
                <w:sz w:val="24"/>
                <w:szCs w:val="24"/>
                <w:u w:val="none"/>
                <w:lang w:val="en-US" w:eastAsia="zh-CN" w:bidi="ar"/>
              </w:rPr>
              <w:t>赋能情况。</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5088">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被投企业</w:t>
            </w:r>
            <w:r>
              <w:rPr>
                <w:rFonts w:hint="eastAsia" w:ascii="仿宋_GB2312" w:hAnsi="宋体" w:eastAsia="仿宋_GB2312" w:cs="仿宋_GB2312"/>
                <w:i w:val="0"/>
                <w:iCs w:val="0"/>
                <w:color w:val="000000"/>
                <w:kern w:val="0"/>
                <w:sz w:val="24"/>
                <w:szCs w:val="24"/>
                <w:u w:val="none"/>
                <w:lang w:val="en-US" w:eastAsia="zh-CN" w:bidi="ar"/>
              </w:rPr>
              <w:t>获得</w:t>
            </w:r>
            <w:r>
              <w:rPr>
                <w:rFonts w:hint="default" w:ascii="仿宋_GB2312" w:hAnsi="宋体" w:eastAsia="仿宋_GB2312" w:cs="仿宋_GB2312"/>
                <w:i w:val="0"/>
                <w:iCs w:val="0"/>
                <w:color w:val="000000"/>
                <w:kern w:val="0"/>
                <w:sz w:val="24"/>
                <w:szCs w:val="24"/>
                <w:u w:val="none"/>
                <w:lang w:val="en-US" w:eastAsia="zh-CN" w:bidi="ar"/>
              </w:rPr>
              <w:t>再融资</w:t>
            </w:r>
            <w:r>
              <w:rPr>
                <w:rFonts w:hint="eastAsia" w:ascii="仿宋_GB2312" w:hAnsi="宋体" w:eastAsia="仿宋_GB2312" w:cs="仿宋_GB2312"/>
                <w:i w:val="0"/>
                <w:iCs w:val="0"/>
                <w:color w:val="000000"/>
                <w:kern w:val="0"/>
                <w:sz w:val="24"/>
                <w:szCs w:val="24"/>
                <w:u w:val="none"/>
                <w:lang w:val="en-US" w:eastAsia="zh-CN" w:bidi="ar"/>
              </w:rPr>
              <w:t>比例</w:t>
            </w:r>
            <w:r>
              <w:rPr>
                <w:rFonts w:hint="default" w:ascii="仿宋_GB2312" w:hAnsi="宋体" w:eastAsia="仿宋_GB2312" w:cs="仿宋_GB2312"/>
                <w:i w:val="0"/>
                <w:iCs w:val="0"/>
                <w:color w:val="000000"/>
                <w:kern w:val="0"/>
                <w:sz w:val="24"/>
                <w:szCs w:val="24"/>
                <w:u w:val="none"/>
                <w:lang w:val="en-US" w:eastAsia="zh-CN" w:bidi="ar"/>
              </w:rPr>
              <w:t>：获得“硕果金”投资后，获得新一轮再融资的企业数量/</w:t>
            </w:r>
            <w:r>
              <w:rPr>
                <w:rFonts w:hint="eastAsia" w:ascii="仿宋_GB2312" w:hAnsi="宋体" w:eastAsia="仿宋_GB2312" w:cs="仿宋_GB2312"/>
                <w:i w:val="0"/>
                <w:iCs w:val="0"/>
                <w:color w:val="000000"/>
                <w:kern w:val="0"/>
                <w:sz w:val="24"/>
                <w:szCs w:val="24"/>
                <w:u w:val="none"/>
                <w:lang w:val="en-US" w:eastAsia="zh-CN" w:bidi="ar"/>
              </w:rPr>
              <w:t>目前有融资需求被投</w:t>
            </w:r>
            <w:r>
              <w:rPr>
                <w:rFonts w:hint="default" w:ascii="仿宋_GB2312" w:hAnsi="宋体" w:eastAsia="仿宋_GB2312" w:cs="仿宋_GB2312"/>
                <w:i w:val="0"/>
                <w:iCs w:val="0"/>
                <w:color w:val="000000"/>
                <w:kern w:val="0"/>
                <w:sz w:val="24"/>
                <w:szCs w:val="24"/>
                <w:u w:val="none"/>
                <w:lang w:val="en-US" w:eastAsia="zh-CN" w:bidi="ar"/>
              </w:rPr>
              <w:t>企业数量×</w:t>
            </w:r>
            <w:r>
              <w:rPr>
                <w:rFonts w:hint="eastAsia" w:ascii="仿宋_GB2312" w:hAnsi="仿宋_GB2312" w:eastAsia="仿宋_GB2312" w:cs="仿宋_GB2312"/>
                <w:i w:val="0"/>
                <w:iCs w:val="0"/>
                <w:color w:val="000000"/>
                <w:kern w:val="0"/>
                <w:sz w:val="24"/>
                <w:szCs w:val="24"/>
                <w:u w:val="none"/>
                <w:lang w:val="en-US" w:eastAsia="zh-CN" w:bidi="ar"/>
              </w:rPr>
              <w:t>100</w:t>
            </w:r>
            <w:r>
              <w:rPr>
                <w:rFonts w:hint="default" w:ascii="仿宋_GB2312" w:hAnsi="宋体" w:eastAsia="仿宋_GB2312" w:cs="仿宋_GB2312"/>
                <w:i w:val="0"/>
                <w:iCs w:val="0"/>
                <w:color w:val="000000"/>
                <w:kern w:val="0"/>
                <w:sz w:val="24"/>
                <w:szCs w:val="24"/>
                <w:u w:val="none"/>
                <w:lang w:val="en-US" w:eastAsia="zh-CN" w:bidi="ar"/>
              </w:rPr>
              <w:t>%。每家企业达到目标值得相应权重分，否则按照比例扣分。</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9A63F">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获得</w:t>
            </w:r>
            <w:r>
              <w:rPr>
                <w:rFonts w:hint="default" w:ascii="仿宋_GB2312" w:hAnsi="宋体" w:eastAsia="仿宋_GB2312" w:cs="仿宋_GB2312"/>
                <w:i w:val="0"/>
                <w:iCs w:val="0"/>
                <w:color w:val="000000"/>
                <w:kern w:val="0"/>
                <w:sz w:val="24"/>
                <w:szCs w:val="24"/>
                <w:u w:val="none"/>
                <w:lang w:val="en-US" w:eastAsia="zh-CN" w:bidi="ar"/>
              </w:rPr>
              <w:t>融资企业</w:t>
            </w:r>
            <w:r>
              <w:rPr>
                <w:rFonts w:hint="eastAsia" w:ascii="仿宋_GB2312" w:hAnsi="宋体" w:eastAsia="仿宋_GB2312" w:cs="仿宋_GB2312"/>
                <w:i w:val="0"/>
                <w:iCs w:val="0"/>
                <w:color w:val="000000"/>
                <w:kern w:val="0"/>
                <w:sz w:val="24"/>
                <w:szCs w:val="24"/>
                <w:u w:val="none"/>
                <w:lang w:val="en-US" w:eastAsia="zh-CN" w:bidi="ar"/>
              </w:rPr>
              <w:t>：参照《青岛市标杆孵化器管理办法》（青科规〔2022〕3号）</w:t>
            </w:r>
          </w:p>
        </w:tc>
      </w:tr>
      <w:tr w14:paraId="44FF1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E651F">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E6D80">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CEFE1">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社会效益（</w:t>
            </w:r>
            <w:r>
              <w:rPr>
                <w:rFonts w:hint="eastAsia" w:ascii="仿宋_GB2312" w:hAnsi="仿宋_GB2312" w:eastAsia="仿宋_GB2312" w:cs="仿宋_GB2312"/>
                <w:i w:val="0"/>
                <w:iCs w:val="0"/>
                <w:color w:val="000000"/>
                <w:kern w:val="0"/>
                <w:sz w:val="24"/>
                <w:szCs w:val="24"/>
                <w:u w:val="none"/>
                <w:lang w:val="en-US" w:eastAsia="zh-CN" w:bidi="ar"/>
              </w:rPr>
              <w:t>10</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863F">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被投企业研发投入强度（</w:t>
            </w:r>
            <w:r>
              <w:rPr>
                <w:rFonts w:hint="eastAsia" w:ascii="仿宋_GB2312" w:hAnsi="仿宋_GB2312" w:eastAsia="仿宋_GB2312" w:cs="仿宋_GB2312"/>
                <w:i w:val="0"/>
                <w:iCs w:val="0"/>
                <w:color w:val="000000"/>
                <w:kern w:val="0"/>
                <w:sz w:val="24"/>
                <w:szCs w:val="24"/>
                <w:u w:val="none"/>
                <w:lang w:val="en-US" w:eastAsia="zh-CN" w:bidi="ar"/>
              </w:rPr>
              <w:t>5</w:t>
            </w:r>
            <w:r>
              <w:rPr>
                <w:rFonts w:hint="default" w:ascii="仿宋_GB2312" w:hAnsi="宋体" w:eastAsia="仿宋_GB2312" w:cs="仿宋_GB2312"/>
                <w:i w:val="0"/>
                <w:iCs w:val="0"/>
                <w:color w:val="000000"/>
                <w:kern w:val="0"/>
                <w:sz w:val="24"/>
                <w:szCs w:val="24"/>
                <w:u w:val="none"/>
                <w:lang w:val="en-US" w:eastAsia="zh-CN" w:bidi="ar"/>
              </w:rPr>
              <w:t>分）</w:t>
            </w:r>
          </w:p>
        </w:tc>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A9D3">
            <w:pPr>
              <w:keepNext w:val="0"/>
              <w:keepLines w:val="0"/>
              <w:widowControl/>
              <w:suppressLineNumbers w:val="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综合衡量采用二选一评价模式，区分企业不同发展阶段核算研发投入强度，客观衡量企业创新资源投入力度。</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6AFF">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根据被投资企业所处阶段，选取一条指标进行评价</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①适用于小试、中试、工程化阶段的企业</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研发费用占成本费用支出比例≥</w:t>
            </w:r>
            <w:r>
              <w:rPr>
                <w:rFonts w:hint="eastAsia" w:ascii="仿宋_GB2312" w:hAnsi="仿宋_GB2312" w:eastAsia="仿宋_GB2312" w:cs="仿宋_GB2312"/>
                <w:i w:val="0"/>
                <w:iCs w:val="0"/>
                <w:color w:val="000000"/>
                <w:kern w:val="0"/>
                <w:sz w:val="24"/>
                <w:szCs w:val="24"/>
                <w:u w:val="none"/>
                <w:lang w:val="en-US" w:eastAsia="zh-CN" w:bidi="ar"/>
              </w:rPr>
              <w:t>30</w:t>
            </w:r>
            <w:r>
              <w:rPr>
                <w:rFonts w:hint="default" w:ascii="仿宋_GB2312" w:hAnsi="宋体" w:eastAsia="仿宋_GB2312" w:cs="仿宋_GB2312"/>
                <w:i w:val="0"/>
                <w:iCs w:val="0"/>
                <w:color w:val="000000"/>
                <w:kern w:val="0"/>
                <w:sz w:val="24"/>
                <w:szCs w:val="24"/>
                <w:u w:val="none"/>
                <w:lang w:val="en-US" w:eastAsia="zh-CN" w:bidi="ar"/>
              </w:rPr>
              <w:t>%；②适用于产业化、具备稳定销售收入的企业，研发费用占营业收入比例≥</w:t>
            </w:r>
            <w:r>
              <w:rPr>
                <w:rFonts w:hint="eastAsia" w:ascii="仿宋_GB2312" w:hAnsi="仿宋_GB2312" w:eastAsia="仿宋_GB2312" w:cs="仿宋_GB2312"/>
                <w:i w:val="0"/>
                <w:iCs w:val="0"/>
                <w:color w:val="000000"/>
                <w:kern w:val="0"/>
                <w:sz w:val="24"/>
                <w:szCs w:val="24"/>
                <w:u w:val="none"/>
                <w:lang w:val="en-US" w:eastAsia="zh-CN" w:bidi="ar"/>
              </w:rPr>
              <w:t>6</w:t>
            </w:r>
            <w:r>
              <w:rPr>
                <w:rFonts w:hint="default" w:ascii="仿宋_GB2312" w:hAnsi="宋体" w:eastAsia="仿宋_GB2312" w:cs="仿宋_GB2312"/>
                <w:i w:val="0"/>
                <w:iCs w:val="0"/>
                <w:color w:val="000000"/>
                <w:kern w:val="0"/>
                <w:sz w:val="24"/>
                <w:szCs w:val="24"/>
                <w:u w:val="none"/>
                <w:lang w:val="en-US" w:eastAsia="zh-CN" w:bidi="ar"/>
              </w:rPr>
              <w:t>%。评分规则：</w:t>
            </w:r>
            <w:r>
              <w:rPr>
                <w:rFonts w:hint="eastAsia" w:ascii="仿宋_GB2312" w:hAnsi="仿宋_GB2312" w:eastAsia="仿宋_GB2312" w:cs="仿宋_GB2312"/>
                <w:i w:val="0"/>
                <w:iCs w:val="0"/>
                <w:color w:val="000000"/>
                <w:kern w:val="0"/>
                <w:sz w:val="24"/>
                <w:szCs w:val="24"/>
                <w:u w:val="none"/>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项各占</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2</w:t>
            </w:r>
            <w:r>
              <w:rPr>
                <w:rFonts w:hint="default" w:ascii="仿宋_GB2312" w:hAnsi="宋体" w:eastAsia="仿宋_GB2312" w:cs="仿宋_GB2312"/>
                <w:i w:val="0"/>
                <w:iCs w:val="0"/>
                <w:color w:val="000000"/>
                <w:kern w:val="0"/>
                <w:sz w:val="24"/>
                <w:szCs w:val="24"/>
                <w:u w:val="none"/>
                <w:lang w:val="en-US" w:eastAsia="zh-CN" w:bidi="ar"/>
              </w:rPr>
              <w:t>权重分，每家企业达到目标值得相应权重分，否则按照比例扣分。</w:t>
            </w:r>
          </w:p>
          <w:p w14:paraId="60252476">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备注：部分企业投资时间为2025年下半年，涉及项目采用2026年1-5月利润表数据，其他项目采用2025年度利润表数据。</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F1C25">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研发费用占成本费用支出比例≥</w:t>
            </w:r>
            <w:r>
              <w:rPr>
                <w:rFonts w:hint="eastAsia" w:ascii="仿宋_GB2312" w:hAnsi="仿宋_GB2312" w:eastAsia="仿宋_GB2312" w:cs="仿宋_GB2312"/>
                <w:i w:val="0"/>
                <w:iCs w:val="0"/>
                <w:color w:val="000000"/>
                <w:kern w:val="0"/>
                <w:sz w:val="24"/>
                <w:szCs w:val="24"/>
                <w:u w:val="none"/>
                <w:lang w:val="en-US" w:eastAsia="zh-CN" w:bidi="ar"/>
              </w:rPr>
              <w:t>30</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研发费用占营业收入比例≥</w:t>
            </w:r>
            <w:r>
              <w:rPr>
                <w:rFonts w:hint="eastAsia" w:ascii="仿宋_GB2312" w:hAnsi="仿宋_GB2312" w:eastAsia="仿宋_GB2312" w:cs="仿宋_GB2312"/>
                <w:i w:val="0"/>
                <w:iCs w:val="0"/>
                <w:color w:val="000000"/>
                <w:kern w:val="0"/>
                <w:sz w:val="24"/>
                <w:szCs w:val="24"/>
                <w:u w:val="none"/>
                <w:lang w:val="en-US" w:eastAsia="zh-CN" w:bidi="ar"/>
              </w:rPr>
              <w:t>6</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参照《科技部财政部国家税务总局关于印发&lt;科技型中小企业评价办法&gt;的通知》（国科发政〔</w:t>
            </w:r>
            <w:r>
              <w:rPr>
                <w:rFonts w:hint="eastAsia" w:ascii="仿宋_GB2312" w:hAnsi="仿宋_GB2312" w:eastAsia="仿宋_GB2312" w:cs="仿宋_GB2312"/>
                <w:i w:val="0"/>
                <w:iCs w:val="0"/>
                <w:color w:val="000000"/>
                <w:kern w:val="0"/>
                <w:sz w:val="24"/>
                <w:szCs w:val="24"/>
                <w:u w:val="none"/>
                <w:lang w:val="en-US" w:eastAsia="zh-CN" w:bidi="ar"/>
              </w:rPr>
              <w:t>2017</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115</w:t>
            </w:r>
            <w:r>
              <w:rPr>
                <w:rFonts w:hint="default" w:ascii="仿宋_GB2312" w:hAnsi="宋体" w:eastAsia="仿宋_GB2312" w:cs="仿宋_GB2312"/>
                <w:i w:val="0"/>
                <w:iCs w:val="0"/>
                <w:color w:val="000000"/>
                <w:kern w:val="0"/>
                <w:sz w:val="24"/>
                <w:szCs w:val="24"/>
                <w:u w:val="none"/>
                <w:lang w:val="en-US" w:eastAsia="zh-CN" w:bidi="ar"/>
              </w:rPr>
              <w:t>号）</w:t>
            </w:r>
          </w:p>
        </w:tc>
      </w:tr>
      <w:tr w14:paraId="14BB7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A6BE7">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3E22C">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EAAD4">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68BFE">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科技成果转化落地情况（</w:t>
            </w:r>
            <w:r>
              <w:rPr>
                <w:rFonts w:hint="eastAsia" w:ascii="仿宋_GB2312" w:hAnsi="仿宋_GB2312" w:eastAsia="仿宋_GB2312" w:cs="仿宋_GB2312"/>
                <w:i w:val="0"/>
                <w:iCs w:val="0"/>
                <w:color w:val="000000"/>
                <w:kern w:val="0"/>
                <w:sz w:val="24"/>
                <w:szCs w:val="24"/>
                <w:u w:val="none"/>
                <w:lang w:val="en-US" w:eastAsia="zh-CN" w:bidi="ar"/>
              </w:rPr>
              <w:t>5</w:t>
            </w:r>
            <w:r>
              <w:rPr>
                <w:rFonts w:hint="default" w:ascii="仿宋_GB2312" w:hAnsi="宋体" w:eastAsia="仿宋_GB2312" w:cs="仿宋_GB2312"/>
                <w:i w:val="0"/>
                <w:iCs w:val="0"/>
                <w:color w:val="000000"/>
                <w:kern w:val="0"/>
                <w:sz w:val="24"/>
                <w:szCs w:val="24"/>
                <w:u w:val="none"/>
                <w:lang w:val="en-US" w:eastAsia="zh-CN" w:bidi="ar"/>
              </w:rPr>
              <w:t>分）</w:t>
            </w:r>
          </w:p>
        </w:tc>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7286">
            <w:pPr>
              <w:keepNext w:val="0"/>
              <w:keepLines w:val="0"/>
              <w:widowControl/>
              <w:suppressLineNumbers w:val="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衡量获投企业科技成果</w:t>
            </w:r>
            <w:r>
              <w:rPr>
                <w:rFonts w:hint="eastAsia" w:ascii="仿宋_GB2312" w:hAnsi="宋体" w:eastAsia="仿宋_GB2312" w:cs="仿宋_GB2312"/>
                <w:i w:val="0"/>
                <w:iCs w:val="0"/>
                <w:color w:val="000000"/>
                <w:kern w:val="0"/>
                <w:sz w:val="24"/>
                <w:szCs w:val="24"/>
                <w:u w:val="none"/>
                <w:lang w:val="en-US" w:eastAsia="zh-CN" w:bidi="ar"/>
              </w:rPr>
              <w:t>转化</w:t>
            </w:r>
            <w:r>
              <w:rPr>
                <w:rFonts w:hint="default" w:ascii="仿宋_GB2312" w:hAnsi="宋体" w:eastAsia="仿宋_GB2312" w:cs="仿宋_GB2312"/>
                <w:i w:val="0"/>
                <w:iCs w:val="0"/>
                <w:color w:val="000000"/>
                <w:kern w:val="0"/>
                <w:sz w:val="24"/>
                <w:szCs w:val="24"/>
                <w:u w:val="none"/>
                <w:lang w:val="en-US" w:eastAsia="zh-CN" w:bidi="ar"/>
              </w:rPr>
              <w:t>实效，体现政策对科技成果转移转化的推动作用。</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B3FE3">
            <w:pPr>
              <w:keepNext w:val="0"/>
              <w:keepLines w:val="0"/>
              <w:widowControl/>
              <w:suppressLineNumbers w:val="0"/>
              <w:ind w:left="0" w:leftChars="0" w:right="0" w:rightChars="0" w:firstLine="0" w:firstLineChars="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以投资前技术状态为基准，投资资金专项用于企业核心科技成果开展中试、工程化、产业化攻关，投资期内在上述任一转化阶段取得实质性进展，即为完成。按照投资项目完成比例得分。</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624E">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《青岛市科技创业孵化财政资金股权投资运行管理办法（试行）》（青科创委办字〔</w:t>
            </w:r>
            <w:r>
              <w:rPr>
                <w:rStyle w:val="36"/>
                <w:rFonts w:hint="eastAsia" w:ascii="仿宋_GB2312" w:hAnsi="仿宋_GB2312" w:eastAsia="仿宋_GB2312" w:cs="仿宋_GB2312"/>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Style w:val="36"/>
                <w:rFonts w:hint="eastAsia" w:ascii="仿宋_GB2312" w:hAnsi="仿宋_GB2312" w:eastAsia="仿宋_GB2312" w:cs="仿宋_GB2312"/>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p>
        </w:tc>
      </w:tr>
      <w:tr w14:paraId="27A18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2027B">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5F0D">
            <w:pPr>
              <w:ind w:left="0" w:leftChars="0" w:right="0" w:rightChars="0" w:firstLine="0" w:firstLineChars="0"/>
              <w:jc w:val="center"/>
              <w:rPr>
                <w:rFonts w:hint="default" w:ascii="仿宋_GB2312" w:hAnsi="宋体" w:eastAsia="仿宋_GB2312" w:cs="仿宋_GB2312"/>
                <w:i w:val="0"/>
                <w:iCs w:val="0"/>
                <w:color w:val="000000"/>
                <w:sz w:val="24"/>
                <w:szCs w:val="24"/>
                <w:u w:val="none"/>
              </w:rPr>
            </w:pP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D3C6">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可持续影响（</w:t>
            </w:r>
            <w:r>
              <w:rPr>
                <w:rFonts w:hint="eastAsia" w:ascii="仿宋_GB2312" w:hAnsi="仿宋_GB2312" w:eastAsia="仿宋_GB2312" w:cs="仿宋_GB2312"/>
                <w:i w:val="0"/>
                <w:iCs w:val="0"/>
                <w:color w:val="000000"/>
                <w:kern w:val="0"/>
                <w:sz w:val="24"/>
                <w:szCs w:val="24"/>
                <w:u w:val="none"/>
                <w:lang w:val="en-US" w:eastAsia="zh-CN" w:bidi="ar"/>
              </w:rPr>
              <w:t>10</w:t>
            </w:r>
            <w:r>
              <w:rPr>
                <w:rFonts w:hint="default" w:ascii="仿宋_GB2312" w:hAnsi="宋体" w:eastAsia="仿宋_GB2312" w:cs="仿宋_GB2312"/>
                <w:i w:val="0"/>
                <w:iCs w:val="0"/>
                <w:color w:val="000000"/>
                <w:kern w:val="0"/>
                <w:sz w:val="24"/>
                <w:szCs w:val="24"/>
                <w:u w:val="none"/>
                <w:lang w:val="en-US" w:eastAsia="zh-CN" w:bidi="ar"/>
              </w:rPr>
              <w:t>分）</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E16B2">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长效管控与资金可持续运行机制（</w:t>
            </w:r>
            <w:r>
              <w:rPr>
                <w:rFonts w:hint="eastAsia" w:ascii="仿宋_GB2312" w:hAnsi="仿宋_GB2312" w:eastAsia="仿宋_GB2312" w:cs="仿宋_GB2312"/>
                <w:i w:val="0"/>
                <w:iCs w:val="0"/>
                <w:color w:val="000000"/>
                <w:kern w:val="0"/>
                <w:sz w:val="24"/>
                <w:szCs w:val="24"/>
                <w:u w:val="none"/>
                <w:lang w:val="en-US" w:eastAsia="zh-CN" w:bidi="ar"/>
              </w:rPr>
              <w:t>10</w:t>
            </w:r>
            <w:r>
              <w:rPr>
                <w:rFonts w:hint="default" w:ascii="仿宋_GB2312" w:hAnsi="宋体" w:eastAsia="仿宋_GB2312" w:cs="仿宋_GB2312"/>
                <w:i w:val="0"/>
                <w:iCs w:val="0"/>
                <w:color w:val="000000"/>
                <w:kern w:val="0"/>
                <w:sz w:val="24"/>
                <w:szCs w:val="24"/>
                <w:u w:val="none"/>
                <w:lang w:val="en-US" w:eastAsia="zh-CN" w:bidi="ar"/>
              </w:rPr>
              <w:t>分）</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2C75C">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反映“硕果金”考核约束长效管理机制、财政投资本金滚动循环机制建设完善程度及落地执行成效。</w:t>
            </w:r>
          </w:p>
        </w:tc>
        <w:tc>
          <w:tcPr>
            <w:tcW w:w="1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2168">
            <w:pPr>
              <w:keepNext w:val="0"/>
              <w:keepLines w:val="0"/>
              <w:widowControl/>
              <w:suppressLineNumbers w:val="0"/>
              <w:ind w:left="0" w:leftChars="0" w:right="0" w:rightChars="0" w:firstLine="0" w:firstLineChars="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①是否建立赋能基金管理人常态化管理及孵化器赋能评价</w:t>
            </w:r>
            <w:r>
              <w:rPr>
                <w:rFonts w:hint="eastAsia" w:ascii="仿宋_GB2312" w:hAnsi="宋体" w:eastAsia="仿宋_GB2312" w:cs="仿宋_GB2312"/>
                <w:i w:val="0"/>
                <w:iCs w:val="0"/>
                <w:color w:val="000000"/>
                <w:kern w:val="0"/>
                <w:sz w:val="24"/>
                <w:szCs w:val="24"/>
                <w:u w:val="none"/>
                <w:lang w:val="en-US" w:eastAsia="zh-CN" w:bidi="ar"/>
              </w:rPr>
              <w:t>体系</w:t>
            </w:r>
            <w:r>
              <w:rPr>
                <w:rFonts w:hint="default" w:ascii="仿宋_GB2312" w:hAnsi="宋体" w:eastAsia="仿宋_GB2312" w:cs="仿宋_GB2312"/>
                <w:i w:val="0"/>
                <w:iCs w:val="0"/>
                <w:color w:val="000000"/>
                <w:kern w:val="0"/>
                <w:sz w:val="24"/>
                <w:szCs w:val="24"/>
                <w:u w:val="none"/>
                <w:lang w:val="en-US" w:eastAsia="zh-CN" w:bidi="ar"/>
              </w:rPr>
              <w:t>，且</w:t>
            </w:r>
            <w:r>
              <w:rPr>
                <w:rFonts w:hint="eastAsia" w:ascii="仿宋_GB2312" w:hAnsi="宋体" w:eastAsia="仿宋_GB2312" w:cs="仿宋_GB2312"/>
                <w:i w:val="0"/>
                <w:iCs w:val="0"/>
                <w:color w:val="000000"/>
                <w:kern w:val="0"/>
                <w:sz w:val="24"/>
                <w:szCs w:val="24"/>
                <w:u w:val="none"/>
                <w:lang w:val="en-US" w:eastAsia="zh-CN" w:bidi="ar"/>
              </w:rPr>
              <w:t>定期</w:t>
            </w:r>
            <w:r>
              <w:rPr>
                <w:rFonts w:hint="default" w:ascii="仿宋_GB2312" w:hAnsi="宋体" w:eastAsia="仿宋_GB2312" w:cs="仿宋_GB2312"/>
                <w:i w:val="0"/>
                <w:iCs w:val="0"/>
                <w:color w:val="000000"/>
                <w:kern w:val="0"/>
                <w:sz w:val="24"/>
                <w:szCs w:val="24"/>
                <w:u w:val="none"/>
                <w:lang w:val="en-US" w:eastAsia="zh-CN" w:bidi="ar"/>
              </w:rPr>
              <w:t>开展</w:t>
            </w:r>
            <w:r>
              <w:rPr>
                <w:rFonts w:hint="eastAsia" w:ascii="仿宋_GB2312" w:hAnsi="宋体" w:eastAsia="仿宋_GB2312" w:cs="仿宋_GB2312"/>
                <w:i w:val="0"/>
                <w:iCs w:val="0"/>
                <w:color w:val="000000"/>
                <w:kern w:val="0"/>
                <w:sz w:val="24"/>
                <w:szCs w:val="24"/>
                <w:u w:val="none"/>
                <w:lang w:val="en-US" w:eastAsia="zh-CN" w:bidi="ar"/>
              </w:rPr>
              <w:t>评价</w:t>
            </w:r>
            <w:r>
              <w:rPr>
                <w:rFonts w:hint="default" w:ascii="仿宋_GB2312" w:hAnsi="宋体" w:eastAsia="仿宋_GB2312" w:cs="仿宋_GB2312"/>
                <w:i w:val="0"/>
                <w:iCs w:val="0"/>
                <w:color w:val="000000"/>
                <w:kern w:val="0"/>
                <w:sz w:val="24"/>
                <w:szCs w:val="24"/>
                <w:u w:val="none"/>
                <w:lang w:val="en-US" w:eastAsia="zh-CN" w:bidi="ar"/>
              </w:rPr>
              <w:t>、落实结果运用，相关资料完整；</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②是否制定股权退出回款管理规则，明确收益滚动再投资流程</w:t>
            </w:r>
            <w:r>
              <w:rPr>
                <w:rFonts w:hint="eastAsia" w:ascii="仿宋_GB2312" w:hAnsi="宋体" w:eastAsia="仿宋_GB2312" w:cs="仿宋_GB2312"/>
                <w:i w:val="0"/>
                <w:iCs w:val="0"/>
                <w:color w:val="000000"/>
                <w:kern w:val="0"/>
                <w:sz w:val="24"/>
                <w:szCs w:val="24"/>
                <w:u w:val="none"/>
                <w:lang w:val="en-US" w:eastAsia="zh-CN" w:bidi="ar"/>
              </w:rPr>
              <w:t>，在</w:t>
            </w:r>
            <w:r>
              <w:rPr>
                <w:rFonts w:hint="default" w:ascii="仿宋_GB2312" w:hAnsi="宋体" w:eastAsia="仿宋_GB2312" w:cs="仿宋_GB2312"/>
                <w:i w:val="0"/>
                <w:iCs w:val="0"/>
                <w:color w:val="000000"/>
                <w:kern w:val="0"/>
                <w:sz w:val="24"/>
                <w:szCs w:val="24"/>
                <w:u w:val="none"/>
                <w:lang w:val="en-US" w:eastAsia="zh-CN" w:bidi="ar"/>
              </w:rPr>
              <w:t>资金回流后持续投放新项目</w:t>
            </w:r>
            <w:r>
              <w:rPr>
                <w:rFonts w:hint="eastAsia" w:ascii="仿宋_GB2312" w:hAnsi="宋体" w:eastAsia="仿宋_GB2312" w:cs="仿宋_GB2312"/>
                <w:i w:val="0"/>
                <w:iCs w:val="0"/>
                <w:color w:val="000000"/>
                <w:kern w:val="0"/>
                <w:sz w:val="24"/>
                <w:szCs w:val="24"/>
                <w:u w:val="none"/>
                <w:lang w:val="en-US" w:eastAsia="zh-CN" w:bidi="ar"/>
              </w:rPr>
              <w:t>。</w:t>
            </w:r>
          </w:p>
          <w:p w14:paraId="5DBD437C">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每发现一处不合理扣除2分，扣完为止。</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52C0">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《青岛市科技创业孵化财政资金股权投资运行管理办法（试行）》（青科创委办字〔</w:t>
            </w:r>
            <w:r>
              <w:rPr>
                <w:rStyle w:val="36"/>
                <w:rFonts w:hint="eastAsia" w:ascii="仿宋_GB2312" w:hAnsi="仿宋_GB2312" w:eastAsia="仿宋_GB2312" w:cs="仿宋_GB2312"/>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Style w:val="36"/>
                <w:rFonts w:hint="eastAsia" w:ascii="仿宋_GB2312" w:hAnsi="仿宋_GB2312" w:eastAsia="仿宋_GB2312" w:cs="仿宋_GB2312"/>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p>
        </w:tc>
      </w:tr>
    </w:tbl>
    <w:p w14:paraId="1C49C411">
      <w:pPr>
        <w:spacing w:line="600" w:lineRule="exact"/>
        <w:rPr>
          <w:rFonts w:ascii="Times New Roman Regular" w:hAnsi="Times New Roman Regular" w:eastAsia="黑体" w:cs="Times New Roman Regular"/>
          <w:sz w:val="32"/>
          <w:szCs w:val="40"/>
        </w:rPr>
        <w:sectPr>
          <w:footerReference r:id="rId7" w:type="default"/>
          <w:pgSz w:w="16838" w:h="11906" w:orient="landscape"/>
          <w:pgMar w:top="1440" w:right="1800" w:bottom="1440" w:left="1800" w:header="851" w:footer="1361" w:gutter="0"/>
          <w:pgNumType w:fmt="decimal"/>
          <w:cols w:space="0" w:num="1"/>
          <w:docGrid w:linePitch="312" w:charSpace="0"/>
        </w:sectPr>
      </w:pPr>
    </w:p>
    <w:p w14:paraId="4BF89B50">
      <w:pPr>
        <w:spacing w:line="600" w:lineRule="exact"/>
        <w:jc w:val="left"/>
        <w:outlineLvl w:val="0"/>
        <w:rPr>
          <w:rFonts w:hint="eastAsia" w:ascii="黑体" w:hAnsi="黑体" w:eastAsia="黑体" w:cs="黑体"/>
          <w:sz w:val="32"/>
          <w:szCs w:val="32"/>
          <w:lang w:eastAsia="zh-CN"/>
        </w:rPr>
      </w:pPr>
      <w:bookmarkStart w:id="64" w:name="_Toc27873"/>
      <w:r>
        <w:rPr>
          <w:rFonts w:hint="eastAsia" w:ascii="黑体" w:hAnsi="黑体" w:eastAsia="黑体" w:cs="黑体"/>
          <w:sz w:val="32"/>
          <w:szCs w:val="32"/>
          <w:lang w:eastAsia="zh-CN"/>
        </w:rPr>
        <w:t>附件2：</w:t>
      </w:r>
      <w:bookmarkEnd w:id="64"/>
    </w:p>
    <w:p w14:paraId="64C34C2E">
      <w:pPr>
        <w:spacing w:line="600" w:lineRule="exact"/>
        <w:jc w:val="center"/>
        <w:outlineLvl w:val="0"/>
      </w:pPr>
      <w:bookmarkStart w:id="65" w:name="_Toc568030833"/>
      <w:bookmarkStart w:id="66" w:name="_Toc20495"/>
      <w:bookmarkStart w:id="67" w:name="_Toc1434547273"/>
      <w:bookmarkStart w:id="68" w:name="_Toc27940"/>
      <w:bookmarkStart w:id="69" w:name="_Toc257613426"/>
      <w:r>
        <w:rPr>
          <w:rFonts w:hint="eastAsia" w:ascii="方正小标宋简体" w:hAnsi="方正小标宋简体" w:eastAsia="方正小标宋简体" w:cs="方正小标宋简体"/>
          <w:sz w:val="36"/>
          <w:szCs w:val="44"/>
          <w:lang w:eastAsia="zh-CN"/>
        </w:rPr>
        <w:t>科技创业孵化股权投资资金</w:t>
      </w:r>
      <w:r>
        <w:rPr>
          <w:rFonts w:hint="eastAsia" w:ascii="方正小标宋简体" w:hAnsi="方正小标宋简体" w:eastAsia="方正小标宋简体" w:cs="方正小标宋简体"/>
          <w:sz w:val="36"/>
          <w:szCs w:val="44"/>
        </w:rPr>
        <w:t>政策绩效评价得分表</w:t>
      </w:r>
      <w:bookmarkEnd w:id="65"/>
      <w:bookmarkEnd w:id="66"/>
      <w:bookmarkEnd w:id="67"/>
      <w:bookmarkEnd w:id="68"/>
      <w:bookmarkEnd w:id="69"/>
    </w:p>
    <w:p w14:paraId="2140627E">
      <w:pPr>
        <w:sectPr>
          <w:pgSz w:w="16838" w:h="11906" w:orient="landscape"/>
          <w:pgMar w:top="1440" w:right="1800" w:bottom="1440" w:left="1800" w:header="851" w:footer="1361" w:gutter="0"/>
          <w:pgNumType w:fmt="decimal"/>
          <w:cols w:space="0" w:num="1"/>
          <w:docGrid w:linePitch="312" w:charSpace="0"/>
        </w:sectPr>
      </w:pP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3"/>
        <w:gridCol w:w="1173"/>
        <w:gridCol w:w="1208"/>
        <w:gridCol w:w="1477"/>
        <w:gridCol w:w="7799"/>
        <w:gridCol w:w="729"/>
      </w:tblGrid>
      <w:tr w14:paraId="1641D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395"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214FA7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310553F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二级指标</w:t>
            </w:r>
          </w:p>
        </w:tc>
        <w:tc>
          <w:tcPr>
            <w:tcW w:w="449"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796E66C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565F763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四级指标</w:t>
            </w:r>
          </w:p>
        </w:tc>
        <w:tc>
          <w:tcPr>
            <w:tcW w:w="2899"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58B905B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评分依据及分值测算过程</w:t>
            </w:r>
          </w:p>
        </w:tc>
        <w:tc>
          <w:tcPr>
            <w:tcW w:w="271" w:type="pct"/>
            <w:tcBorders>
              <w:top w:val="single" w:color="000000" w:sz="4" w:space="0"/>
              <w:left w:val="single" w:color="000000" w:sz="4" w:space="0"/>
              <w:bottom w:val="single" w:color="000000" w:sz="4" w:space="0"/>
              <w:right w:val="single" w:color="000000" w:sz="4" w:space="0"/>
            </w:tcBorders>
            <w:shd w:val="clear" w:color="auto" w:fill="BEBEBE"/>
            <w:vAlign w:val="center"/>
          </w:tcPr>
          <w:p w14:paraId="3DF50A3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得分</w:t>
            </w:r>
          </w:p>
        </w:tc>
      </w:tr>
      <w:tr w14:paraId="125F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4" w:hRule="atLeast"/>
        </w:trPr>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94AF">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政策制定（</w:t>
            </w:r>
            <w:r>
              <w:rPr>
                <w:rStyle w:val="36"/>
                <w:rFonts w:hint="eastAsia" w:ascii="仿宋_GB2312" w:hAnsi="仿宋_GB2312" w:eastAsia="仿宋_GB2312" w:cs="仿宋_GB2312"/>
                <w:highlight w:val="none"/>
                <w:lang w:val="en-US" w:eastAsia="zh-CN" w:bidi="ar"/>
              </w:rPr>
              <w:t>10</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49A8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政策制定（</w:t>
            </w:r>
            <w:r>
              <w:rPr>
                <w:rStyle w:val="36"/>
                <w:rFonts w:hint="eastAsia" w:ascii="仿宋_GB2312" w:hAnsi="仿宋_GB2312" w:eastAsia="仿宋_GB2312" w:cs="仿宋_GB2312"/>
                <w:highlight w:val="none"/>
                <w:lang w:val="en-US" w:eastAsia="zh-CN" w:bidi="ar"/>
              </w:rPr>
              <w:t>10</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58EEC">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政策制定科学性（</w:t>
            </w:r>
            <w:r>
              <w:rPr>
                <w:rStyle w:val="36"/>
                <w:rFonts w:hint="eastAsia" w:ascii="仿宋_GB2312" w:hAnsi="仿宋_GB2312" w:eastAsia="仿宋_GB2312" w:cs="仿宋_GB2312"/>
                <w:highlight w:val="none"/>
                <w:lang w:val="en-US" w:eastAsia="zh-CN" w:bidi="ar"/>
              </w:rPr>
              <w:t>10</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0211">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A34D4">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政策制定符合国家法律法规、国民经济发展规划、行业政策及部门职责范围，属于公共财政支持范畴，且不与相关部门同类政策重复，符合中央、地方事权支出责任划分原则；政策设立及修订按规定程序申请，审批文件材料齐全合规，事前经过集体决策等必要环节；已制定相关资金管理办法并明确资金分配办法，资金分配因素全面合理，与补助对象实际相适应，能保障政策目标或绩效目标达成；政策支出标准与政策目标、现实需求、经济发展情况等匹配，科学测算资金需求；政策设有绩效目标，与实际工作内容具有相关性，绩效目标编制较为合理。根据评分标准，该项得10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8D93">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10</w:t>
            </w:r>
          </w:p>
        </w:tc>
      </w:tr>
      <w:tr w14:paraId="62094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9F30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政策实施（</w:t>
            </w:r>
            <w:r>
              <w:rPr>
                <w:rStyle w:val="36"/>
                <w:rFonts w:hint="eastAsia" w:ascii="仿宋_GB2312" w:hAnsi="仿宋_GB2312" w:eastAsia="仿宋_GB2312" w:cs="仿宋_GB2312"/>
                <w:highlight w:val="none"/>
                <w:lang w:val="en-US" w:eastAsia="zh-CN" w:bidi="ar"/>
              </w:rPr>
              <w:t>25</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AF782">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资金管理（</w:t>
            </w:r>
            <w:r>
              <w:rPr>
                <w:rStyle w:val="36"/>
                <w:rFonts w:hint="eastAsia" w:ascii="仿宋_GB2312" w:hAnsi="仿宋_GB2312" w:eastAsia="仿宋_GB2312" w:cs="仿宋_GB2312"/>
                <w:highlight w:val="none"/>
                <w:lang w:val="en-US" w:eastAsia="zh-CN" w:bidi="ar"/>
              </w:rPr>
              <w:t>6</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7F63">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预算执行率（</w:t>
            </w:r>
            <w:r>
              <w:rPr>
                <w:rStyle w:val="36"/>
                <w:rFonts w:hint="eastAsia" w:ascii="仿宋_GB2312" w:hAnsi="仿宋_GB2312" w:eastAsia="仿宋_GB2312" w:cs="仿宋_GB2312"/>
                <w:highlight w:val="none"/>
                <w:lang w:val="en-US" w:eastAsia="zh-CN" w:bidi="ar"/>
              </w:rPr>
              <w:t>2</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ACB2">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E7FE9">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2023—2025年预算安排资金8400万元，实际拨付资金8400万元，预算执行率100%。根据评分标准，该项得2分。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76F6">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r>
      <w:tr w14:paraId="1668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56E48">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C4D2C">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9A38">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资金使用规范性（</w:t>
            </w:r>
            <w:r>
              <w:rPr>
                <w:rStyle w:val="36"/>
                <w:rFonts w:hint="eastAsia" w:ascii="仿宋_GB2312" w:hAnsi="仿宋_GB2312" w:eastAsia="仿宋_GB2312" w:cs="仿宋_GB2312"/>
                <w:highlight w:val="none"/>
                <w:lang w:val="en-US" w:eastAsia="zh-CN" w:bidi="ar"/>
              </w:rPr>
              <w:t>4</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A3669">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2AC9">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资金未及时归集至专用托管账户。2025年12月拨付财通集团“硕果金”2400万元，该笔资金未及时划转至“硕果金”专用托管账户；直至2026年6月30日新投资项目需实缴出资时，财通集团才将投资款400万元转入托管专户。根据评分标准，该项得3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C8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w:t>
            </w:r>
          </w:p>
        </w:tc>
      </w:tr>
      <w:tr w14:paraId="78C45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4C075">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F5FB">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保障机制（</w:t>
            </w:r>
            <w:r>
              <w:rPr>
                <w:rStyle w:val="36"/>
                <w:rFonts w:hint="eastAsia" w:ascii="仿宋_GB2312" w:hAnsi="仿宋_GB2312" w:eastAsia="仿宋_GB2312" w:cs="仿宋_GB2312"/>
                <w:highlight w:val="none"/>
                <w:lang w:val="en-US" w:eastAsia="zh-CN" w:bidi="ar"/>
              </w:rPr>
              <w:t>19</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B946A">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政策管理制度健全性及执行有效性（</w:t>
            </w:r>
            <w:r>
              <w:rPr>
                <w:rStyle w:val="36"/>
                <w:rFonts w:hint="eastAsia" w:ascii="仿宋_GB2312" w:hAnsi="仿宋_GB2312" w:eastAsia="仿宋_GB2312" w:cs="仿宋_GB2312"/>
                <w:highlight w:val="none"/>
                <w:lang w:val="en-US" w:eastAsia="zh-CN" w:bidi="ar"/>
              </w:rPr>
              <w:t>19</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69466">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31DD">
            <w:pPr>
              <w:keepNext w:val="0"/>
              <w:keepLines w:val="0"/>
              <w:widowControl/>
              <w:suppressLineNumbers w:val="0"/>
              <w:jc w:val="both"/>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①“硕果金”管理办法未及时修订完善。按照政策规定，“‘硕果金’出资根据标杆孵化器的评定进度予以资金预算安排”，经评价发现，因政策原因，标杆孵化器评定工作难以有效开展，根据《青岛市深化科技成果转化创新改革十条措施》（青政办字〔2024〕53 号）已调整</w:t>
            </w:r>
            <w:r>
              <w:rPr>
                <w:rFonts w:hint="eastAsia" w:ascii="仿宋_GB2312" w:hAnsi="仿宋_GB2312" w:eastAsia="仿宋_GB2312" w:cs="仿宋_GB2312"/>
                <w:sz w:val="24"/>
                <w:lang w:val="en-US" w:eastAsia="zh-CN"/>
              </w:rPr>
              <w:t>政策支持范围，但与之对应的管理办法尚未做出匹配性的修订完善</w:t>
            </w:r>
            <w:r>
              <w:rPr>
                <w:rFonts w:hint="eastAsia" w:ascii="仿宋_GB2312" w:hAnsi="仿宋_GB2312" w:eastAsia="仿宋_GB2312" w:cs="仿宋_GB2312"/>
                <w:i w:val="0"/>
                <w:iCs w:val="0"/>
                <w:color w:val="000000"/>
                <w:kern w:val="0"/>
                <w:sz w:val="24"/>
                <w:szCs w:val="24"/>
                <w:highlight w:val="none"/>
                <w:u w:val="none"/>
                <w:lang w:val="en-US" w:eastAsia="zh-CN" w:bidi="ar"/>
              </w:rPr>
              <w:t>。</w:t>
            </w:r>
          </w:p>
          <w:p w14:paraId="678A891E">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②部分制度执行不到位。根据《青岛市科技创业孵化财政资金股权投资运行管理办法（试行）》（青科创委办字〔2022〕1号）规定，“财通集团每半年向联席会书面报告股权投资运作情况，并在每年4月30日前，书面向联席会报送‘硕果金’年度运营报告及经审计的上年度财务报告”。截至评价日，财通集团未提交2025年度运营报告和审计报告。根据评分标准，该项得16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C02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16</w:t>
            </w:r>
          </w:p>
        </w:tc>
      </w:tr>
      <w:tr w14:paraId="6D7F2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FAF79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政策效果（</w:t>
            </w:r>
            <w:r>
              <w:rPr>
                <w:rStyle w:val="36"/>
                <w:rFonts w:hint="eastAsia" w:ascii="仿宋_GB2312" w:hAnsi="仿宋_GB2312" w:eastAsia="仿宋_GB2312" w:cs="仿宋_GB2312"/>
                <w:highlight w:val="none"/>
                <w:lang w:val="en-US" w:eastAsia="zh-CN" w:bidi="ar"/>
              </w:rPr>
              <w:t>65</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868CF">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政策产出（</w:t>
            </w:r>
            <w:r>
              <w:rPr>
                <w:rStyle w:val="36"/>
                <w:rFonts w:hint="eastAsia" w:ascii="仿宋_GB2312" w:hAnsi="仿宋_GB2312" w:eastAsia="仿宋_GB2312" w:cs="仿宋_GB2312"/>
                <w:highlight w:val="none"/>
                <w:lang w:val="en-US" w:eastAsia="zh-CN" w:bidi="ar"/>
              </w:rPr>
              <w:t>30</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F8BCE">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数量指标（</w:t>
            </w:r>
            <w:r>
              <w:rPr>
                <w:rStyle w:val="36"/>
                <w:rFonts w:hint="eastAsia" w:ascii="仿宋_GB2312" w:hAnsi="仿宋_GB2312" w:eastAsia="仿宋_GB2312" w:cs="仿宋_GB2312"/>
                <w:highlight w:val="none"/>
                <w:lang w:val="en-US" w:eastAsia="zh-CN" w:bidi="ar"/>
              </w:rPr>
              <w:t>14</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E493">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财政股权投资完成率（</w:t>
            </w:r>
            <w:r>
              <w:rPr>
                <w:rStyle w:val="36"/>
                <w:rFonts w:hint="eastAsia" w:ascii="仿宋_GB2312" w:hAnsi="仿宋_GB2312" w:eastAsia="仿宋_GB2312" w:cs="仿宋_GB2312"/>
                <w:highlight w:val="none"/>
                <w:lang w:val="en-US" w:eastAsia="zh-CN" w:bidi="ar"/>
              </w:rPr>
              <w:t>14</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39CEF">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2023—2025年“硕果金”实际拨付至财通集团8400万元，扣除管理费后可投额度为8114万元，实际完成对外投资5550万元，其中股权直投项目8个、投资金额4800万元，投资赋能基金1只、一期出资750万元，整体投资进度68.4%。根据评分标准，该项得10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9048">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10</w:t>
            </w:r>
          </w:p>
        </w:tc>
      </w:tr>
      <w:tr w14:paraId="05836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2C1D2">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01B1E">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D940">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质量指标（</w:t>
            </w:r>
            <w:r>
              <w:rPr>
                <w:rStyle w:val="36"/>
                <w:rFonts w:hint="eastAsia" w:ascii="仿宋_GB2312" w:hAnsi="仿宋_GB2312" w:eastAsia="仿宋_GB2312" w:cs="仿宋_GB2312"/>
                <w:highlight w:val="none"/>
                <w:lang w:val="en-US" w:eastAsia="zh-CN" w:bidi="ar"/>
              </w:rPr>
              <w:t>14</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95E4">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投资项目达标率（</w:t>
            </w:r>
            <w:r>
              <w:rPr>
                <w:rStyle w:val="36"/>
                <w:rFonts w:hint="eastAsia" w:ascii="仿宋_GB2312" w:hAnsi="仿宋_GB2312" w:eastAsia="仿宋_GB2312" w:cs="仿宋_GB2312"/>
                <w:highlight w:val="none"/>
                <w:lang w:val="en-US" w:eastAsia="zh-CN" w:bidi="ar"/>
              </w:rPr>
              <w:t>14</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5E5C2">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①被投资10家企业均为科技企业孵化器及科技园区和产业链专业园区孵化培育科技企业，投资方向符合度100%。</w:t>
            </w:r>
            <w:r>
              <w:rPr>
                <w:rFonts w:hint="eastAsia" w:ascii="仿宋_GB2312" w:hAnsi="仿宋_GB2312" w:eastAsia="仿宋_GB2312" w:cs="仿宋_GB2312"/>
                <w:i w:val="0"/>
                <w:iCs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iCs w:val="0"/>
                <w:color w:val="000000"/>
                <w:kern w:val="0"/>
                <w:sz w:val="24"/>
                <w:szCs w:val="24"/>
                <w:highlight w:val="none"/>
                <w:u w:val="none"/>
                <w:lang w:val="en-US" w:eastAsia="zh-CN" w:bidi="ar"/>
              </w:rPr>
              <w:t>②投资10家企业中，9家为初创期企业，占比90%，达到70%的目标。</w:t>
            </w:r>
            <w:r>
              <w:rPr>
                <w:rFonts w:hint="eastAsia" w:ascii="仿宋_GB2312" w:hAnsi="仿宋_GB2312" w:eastAsia="仿宋_GB2312" w:cs="仿宋_GB2312"/>
                <w:i w:val="0"/>
                <w:iCs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iCs w:val="0"/>
                <w:color w:val="000000"/>
                <w:kern w:val="0"/>
                <w:sz w:val="24"/>
                <w:szCs w:val="24"/>
                <w:highlight w:val="none"/>
                <w:u w:val="none"/>
                <w:lang w:val="en-US" w:eastAsia="zh-CN" w:bidi="ar"/>
              </w:rPr>
              <w:t>③参股赋能基金规模1500万元（目前已实现一期出资750万元），2023—2025年“硕果金”拨付总额为8400万元，控制在50%目标以内。</w:t>
            </w:r>
            <w:r>
              <w:rPr>
                <w:rFonts w:hint="eastAsia" w:ascii="仿宋_GB2312" w:hAnsi="仿宋_GB2312" w:eastAsia="仿宋_GB2312" w:cs="仿宋_GB2312"/>
                <w:i w:val="0"/>
                <w:iCs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iCs w:val="0"/>
                <w:color w:val="000000"/>
                <w:kern w:val="0"/>
                <w:sz w:val="24"/>
                <w:szCs w:val="24"/>
                <w:highlight w:val="none"/>
                <w:u w:val="none"/>
                <w:lang w:val="en-US" w:eastAsia="zh-CN" w:bidi="ar"/>
              </w:rPr>
              <w:t>④标杆孵化器推荐项目（含体外孵化）投资金额4250万元，达到可投额度50%的目标（8400-286）*50%=4057万元。根据评分标准，该项得14分。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E744">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14</w:t>
            </w:r>
          </w:p>
        </w:tc>
      </w:tr>
      <w:tr w14:paraId="558FE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DC002">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3B72475">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49" w:type="pct"/>
            <w:tcBorders>
              <w:top w:val="single" w:color="000000" w:sz="4" w:space="0"/>
              <w:left w:val="single" w:color="000000" w:sz="4" w:space="0"/>
              <w:bottom w:val="single" w:color="auto" w:sz="4" w:space="0"/>
              <w:right w:val="single" w:color="000000" w:sz="4" w:space="0"/>
            </w:tcBorders>
            <w:shd w:val="clear" w:color="auto" w:fill="auto"/>
            <w:vAlign w:val="center"/>
          </w:tcPr>
          <w:p w14:paraId="2072916A">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成本指标（</w:t>
            </w:r>
            <w:r>
              <w:rPr>
                <w:rStyle w:val="36"/>
                <w:rFonts w:hint="eastAsia" w:ascii="仿宋_GB2312" w:hAnsi="仿宋_GB2312" w:eastAsia="仿宋_GB2312" w:cs="仿宋_GB2312"/>
                <w:highlight w:val="none"/>
                <w:lang w:val="en-US" w:eastAsia="zh-CN" w:bidi="ar"/>
              </w:rPr>
              <w:t>2</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auto" w:sz="4" w:space="0"/>
              <w:right w:val="single" w:color="000000" w:sz="4" w:space="0"/>
            </w:tcBorders>
            <w:shd w:val="clear" w:color="auto" w:fill="auto"/>
            <w:vAlign w:val="center"/>
          </w:tcPr>
          <w:p w14:paraId="0190B622">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投资成本合规率（</w:t>
            </w:r>
            <w:r>
              <w:rPr>
                <w:rStyle w:val="36"/>
                <w:rFonts w:hint="eastAsia" w:ascii="仿宋_GB2312" w:hAnsi="仿宋_GB2312" w:eastAsia="仿宋_GB2312" w:cs="仿宋_GB2312"/>
                <w:highlight w:val="none"/>
                <w:lang w:val="en-US" w:eastAsia="zh-CN" w:bidi="ar"/>
              </w:rPr>
              <w:t>2</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EBE06">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①股权直投共落地8个项目，其中6个项目各投资500万元，合计投放3000万元，占股权直投总额4800万元的62.5%；剩余资金投向另外2个项目，投资额分别为800万元、1000万元，均未超出2000万元的限额标准。</w:t>
            </w:r>
            <w:r>
              <w:rPr>
                <w:rFonts w:hint="eastAsia" w:ascii="仿宋_GB2312" w:hAnsi="仿宋_GB2312" w:eastAsia="仿宋_GB2312" w:cs="仿宋_GB2312"/>
                <w:i w:val="0"/>
                <w:iCs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iCs w:val="0"/>
                <w:color w:val="000000"/>
                <w:kern w:val="0"/>
                <w:sz w:val="24"/>
                <w:szCs w:val="24"/>
                <w:highlight w:val="none"/>
                <w:u w:val="none"/>
                <w:lang w:val="en-US" w:eastAsia="zh-CN" w:bidi="ar"/>
              </w:rPr>
              <w:t>赋能基金：“硕果金”对赋能基金出资额750万元，赋能基金累计投资项目库企业投资金额930万元，返投倍数为1.24倍。</w:t>
            </w:r>
            <w:r>
              <w:rPr>
                <w:rFonts w:hint="eastAsia" w:ascii="仿宋_GB2312" w:hAnsi="仿宋_GB2312" w:eastAsia="仿宋_GB2312" w:cs="仿宋_GB2312"/>
                <w:i w:val="0"/>
                <w:iCs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iCs w:val="0"/>
                <w:color w:val="000000"/>
                <w:kern w:val="0"/>
                <w:sz w:val="24"/>
                <w:szCs w:val="24"/>
                <w:highlight w:val="none"/>
                <w:u w:val="none"/>
                <w:lang w:val="en-US" w:eastAsia="zh-CN" w:bidi="ar"/>
              </w:rPr>
              <w:t>②股权直投按存量资金2%、当年新增投资3%的标准完成测算，现阶段暂未实际提取管理费；赋能基金以“硕果金”实缴出资额为计费基数，财通集团按1%计取、赋能基金管理人按2%提取，两家机构管理费合计费率为3%，未超出政策约定合计不高于3%的管控上限，管理费计取标准、执行流程合规。根据评分标准，该项得2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3000">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2</w:t>
            </w:r>
          </w:p>
        </w:tc>
      </w:tr>
      <w:tr w14:paraId="129E9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7177828">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0F1D02">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政策效益（</w:t>
            </w:r>
            <w:r>
              <w:rPr>
                <w:rStyle w:val="36"/>
                <w:rFonts w:hint="eastAsia" w:ascii="仿宋_GB2312" w:hAnsi="仿宋_GB2312" w:eastAsia="仿宋_GB2312" w:cs="仿宋_GB2312"/>
                <w:highlight w:val="none"/>
                <w:lang w:val="en-US" w:eastAsia="zh-CN" w:bidi="ar"/>
              </w:rPr>
              <w:t>35</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44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07C1D8B">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经济效益（</w:t>
            </w:r>
            <w:r>
              <w:rPr>
                <w:rFonts w:hint="eastAsia" w:ascii="仿宋_GB2312" w:hAnsi="仿宋_GB2312" w:eastAsia="仿宋_GB2312" w:cs="仿宋_GB2312"/>
                <w:i w:val="0"/>
                <w:iCs w:val="0"/>
                <w:color w:val="000000"/>
                <w:kern w:val="0"/>
                <w:sz w:val="24"/>
                <w:szCs w:val="24"/>
                <w:highlight w:val="none"/>
                <w:u w:val="none"/>
                <w:lang w:val="en-US" w:eastAsia="zh-CN" w:bidi="ar"/>
              </w:rPr>
              <w:t>15</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auto" w:sz="4" w:space="0"/>
              <w:left w:val="single" w:color="auto" w:sz="4" w:space="0"/>
              <w:bottom w:val="single" w:color="auto" w:sz="4" w:space="0"/>
              <w:right w:val="single" w:color="auto" w:sz="4" w:space="0"/>
            </w:tcBorders>
            <w:shd w:val="clear" w:color="auto" w:fill="auto"/>
            <w:vAlign w:val="center"/>
          </w:tcPr>
          <w:p w14:paraId="0D0DC53F">
            <w:pPr>
              <w:keepNext w:val="0"/>
              <w:keepLines w:val="0"/>
              <w:widowControl/>
              <w:suppressLineNumbers w:val="0"/>
              <w:ind w:left="0" w:leftChars="0" w:right="0" w:rightChars="0" w:firstLine="0" w:firstLineChars="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被投企业营业收入增长情况</w:t>
            </w:r>
            <w:r>
              <w:rPr>
                <w:rFonts w:hint="default" w:ascii="仿宋_GB2312" w:hAnsi="宋体" w:eastAsia="仿宋_GB2312" w:cs="仿宋_GB2312"/>
                <w:i w:val="0"/>
                <w:iCs w:val="0"/>
                <w:color w:val="000000"/>
                <w:kern w:val="0"/>
                <w:sz w:val="24"/>
                <w:szCs w:val="24"/>
                <w:highlight w:val="none"/>
                <w:u w:val="none"/>
                <w:lang w:val="en-US" w:eastAsia="zh-CN" w:bidi="ar"/>
              </w:rPr>
              <w:t>（</w:t>
            </w:r>
            <w:r>
              <w:rPr>
                <w:rFonts w:hint="eastAsia" w:ascii="仿宋_GB2312" w:hAnsi="仿宋_GB2312" w:eastAsia="仿宋_GB2312" w:cs="仿宋_GB2312"/>
                <w:i w:val="0"/>
                <w:iCs w:val="0"/>
                <w:color w:val="000000"/>
                <w:kern w:val="0"/>
                <w:sz w:val="24"/>
                <w:szCs w:val="24"/>
                <w:highlight w:val="none"/>
                <w:u w:val="none"/>
                <w:lang w:val="en-US" w:eastAsia="zh-CN" w:bidi="ar"/>
              </w:rPr>
              <w:t>7</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auto" w:sz="4" w:space="0"/>
              <w:bottom w:val="single" w:color="000000" w:sz="4" w:space="0"/>
              <w:right w:val="single" w:color="000000" w:sz="4" w:space="0"/>
            </w:tcBorders>
            <w:shd w:val="clear" w:color="auto" w:fill="auto"/>
            <w:vAlign w:val="center"/>
          </w:tcPr>
          <w:p w14:paraId="320F62F5">
            <w:pPr>
              <w:keepNext w:val="0"/>
              <w:keepLines w:val="0"/>
              <w:widowControl/>
              <w:suppressLineNumbers w:val="0"/>
              <w:jc w:val="both"/>
              <w:textAlignment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sz w:val="24"/>
                <w:szCs w:val="24"/>
                <w:highlight w:val="none"/>
                <w:u w:val="none"/>
                <w:lang w:val="en-US" w:eastAsia="zh-CN"/>
              </w:rPr>
              <w:t>被投企业营业收入增长比例：</w:t>
            </w:r>
            <w:r>
              <w:rPr>
                <w:rFonts w:hint="eastAsia" w:ascii="仿宋_GB2312" w:hAnsi="仿宋_GB2312" w:eastAsia="仿宋_GB2312" w:cs="仿宋_GB2312"/>
                <w:i w:val="0"/>
                <w:iCs w:val="0"/>
                <w:color w:val="000000"/>
                <w:kern w:val="0"/>
                <w:sz w:val="24"/>
                <w:szCs w:val="24"/>
                <w:highlight w:val="none"/>
                <w:u w:val="none"/>
                <w:lang w:val="en-US" w:eastAsia="zh-CN" w:bidi="ar"/>
              </w:rPr>
              <w:t>被投资企业数量10家，</w:t>
            </w:r>
            <w:r>
              <w:rPr>
                <w:rFonts w:hint="eastAsia" w:ascii="仿宋_GB2312" w:hAnsi="仿宋_GB2312" w:eastAsia="仿宋_GB2312" w:cs="仿宋_GB2312"/>
                <w:i w:val="0"/>
                <w:iCs w:val="0"/>
                <w:color w:val="000000"/>
                <w:sz w:val="24"/>
                <w:szCs w:val="24"/>
                <w:highlight w:val="none"/>
                <w:u w:val="none"/>
                <w:lang w:val="en-US" w:eastAsia="zh-CN"/>
              </w:rPr>
              <w:t>营业收入增长的企业数量9家，占比90%。</w:t>
            </w:r>
            <w:r>
              <w:rPr>
                <w:rFonts w:hint="eastAsia" w:ascii="仿宋_GB2312" w:hAnsi="仿宋_GB2312" w:eastAsia="仿宋_GB2312" w:cs="仿宋_GB2312"/>
                <w:i w:val="0"/>
                <w:iCs w:val="0"/>
                <w:color w:val="000000"/>
                <w:kern w:val="0"/>
                <w:sz w:val="24"/>
                <w:szCs w:val="24"/>
                <w:highlight w:val="none"/>
                <w:u w:val="none"/>
                <w:lang w:val="en-US" w:eastAsia="zh-CN" w:bidi="ar"/>
              </w:rPr>
              <w:t>根据评分标准，该项得6.3分。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BE5C">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6.3</w:t>
            </w:r>
          </w:p>
        </w:tc>
      </w:tr>
      <w:tr w14:paraId="44C9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96C92EC">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continue"/>
            <w:tcBorders>
              <w:top w:val="single" w:color="auto" w:sz="4" w:space="0"/>
              <w:left w:val="single" w:color="auto" w:sz="4" w:space="0"/>
              <w:right w:val="single" w:color="000000" w:sz="4" w:space="0"/>
            </w:tcBorders>
            <w:shd w:val="clear" w:color="auto" w:fill="auto"/>
            <w:vAlign w:val="center"/>
          </w:tcPr>
          <w:p w14:paraId="72E9B6C6">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kern w:val="0"/>
                <w:sz w:val="24"/>
                <w:szCs w:val="24"/>
                <w:highlight w:val="none"/>
                <w:u w:val="none"/>
                <w:lang w:val="en-US" w:eastAsia="zh-CN" w:bidi="ar"/>
              </w:rPr>
            </w:pPr>
          </w:p>
        </w:tc>
        <w:tc>
          <w:tcPr>
            <w:tcW w:w="449" w:type="pct"/>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5F43B1DF">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highlight w:val="none"/>
                <w:u w:val="none"/>
                <w:lang w:val="en-US" w:eastAsia="zh-CN" w:bidi="ar"/>
              </w:rPr>
            </w:pPr>
          </w:p>
        </w:tc>
        <w:tc>
          <w:tcPr>
            <w:tcW w:w="549" w:type="pct"/>
            <w:tcBorders>
              <w:top w:val="single" w:color="auto" w:sz="4" w:space="0"/>
              <w:left w:val="single" w:color="000000" w:sz="4" w:space="0"/>
              <w:bottom w:val="single" w:color="000000" w:sz="4" w:space="0"/>
              <w:right w:val="single" w:color="000000" w:sz="4" w:space="0"/>
            </w:tcBorders>
            <w:shd w:val="clear" w:color="auto" w:fill="auto"/>
            <w:vAlign w:val="center"/>
          </w:tcPr>
          <w:p w14:paraId="77581B06">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kern w:val="0"/>
                <w:sz w:val="24"/>
                <w:szCs w:val="24"/>
                <w:highlight w:val="none"/>
                <w:u w:val="none"/>
                <w:lang w:val="en-US" w:eastAsia="zh-CN" w:bidi="ar"/>
              </w:rPr>
            </w:pPr>
            <w:r>
              <w:rPr>
                <w:rFonts w:hint="default" w:ascii="仿宋_GB2312" w:hAnsi="宋体" w:eastAsia="仿宋_GB2312" w:cs="仿宋_GB2312"/>
                <w:i w:val="0"/>
                <w:iCs w:val="0"/>
                <w:color w:val="000000"/>
                <w:kern w:val="0"/>
                <w:sz w:val="24"/>
                <w:szCs w:val="24"/>
                <w:highlight w:val="none"/>
                <w:u w:val="none"/>
                <w:lang w:val="en-US" w:eastAsia="zh-CN" w:bidi="ar"/>
              </w:rPr>
              <w:t>被投企业</w:t>
            </w:r>
            <w:r>
              <w:rPr>
                <w:rFonts w:hint="eastAsia" w:ascii="仿宋_GB2312" w:hAnsi="宋体" w:eastAsia="仿宋_GB2312" w:cs="仿宋_GB2312"/>
                <w:i w:val="0"/>
                <w:iCs w:val="0"/>
                <w:color w:val="000000"/>
                <w:kern w:val="0"/>
                <w:sz w:val="24"/>
                <w:szCs w:val="24"/>
                <w:highlight w:val="none"/>
                <w:u w:val="none"/>
                <w:lang w:val="en-US" w:eastAsia="zh-CN" w:bidi="ar"/>
              </w:rPr>
              <w:t>获得</w:t>
            </w:r>
            <w:r>
              <w:rPr>
                <w:rFonts w:hint="default" w:ascii="仿宋_GB2312" w:hAnsi="宋体" w:eastAsia="仿宋_GB2312" w:cs="仿宋_GB2312"/>
                <w:i w:val="0"/>
                <w:iCs w:val="0"/>
                <w:color w:val="000000"/>
                <w:kern w:val="0"/>
                <w:sz w:val="24"/>
                <w:szCs w:val="24"/>
                <w:highlight w:val="none"/>
                <w:u w:val="none"/>
                <w:lang w:val="en-US" w:eastAsia="zh-CN" w:bidi="ar"/>
              </w:rPr>
              <w:t>融资情况（</w:t>
            </w:r>
            <w:r>
              <w:rPr>
                <w:rFonts w:hint="eastAsia" w:ascii="仿宋_GB2312" w:hAnsi="仿宋_GB2312" w:eastAsia="仿宋_GB2312" w:cs="仿宋_GB2312"/>
                <w:i w:val="0"/>
                <w:iCs w:val="0"/>
                <w:color w:val="000000"/>
                <w:kern w:val="0"/>
                <w:sz w:val="24"/>
                <w:szCs w:val="24"/>
                <w:highlight w:val="none"/>
                <w:u w:val="none"/>
                <w:lang w:val="en-US" w:eastAsia="zh-CN" w:bidi="ar"/>
              </w:rPr>
              <w:t>8</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60F0">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被投企业再融资率：目前有融资需求被投企业数量8家，其中“硕果金”投资后，获得新一轮股权融资和信贷融资的企业数量7家。根据评分标准，该项得7分。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A3D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7</w:t>
            </w:r>
          </w:p>
        </w:tc>
      </w:tr>
      <w:tr w14:paraId="7B20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46D8BE6">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82E748C">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42D0E">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社会效益（</w:t>
            </w:r>
            <w:r>
              <w:rPr>
                <w:rFonts w:hint="eastAsia" w:ascii="仿宋_GB2312" w:hAnsi="仿宋_GB2312" w:eastAsia="仿宋_GB2312" w:cs="仿宋_GB2312"/>
                <w:i w:val="0"/>
                <w:iCs w:val="0"/>
                <w:color w:val="000000"/>
                <w:kern w:val="0"/>
                <w:sz w:val="24"/>
                <w:szCs w:val="24"/>
                <w:highlight w:val="none"/>
                <w:u w:val="none"/>
                <w:lang w:val="en-US" w:eastAsia="zh-CN" w:bidi="ar"/>
              </w:rPr>
              <w:t>10</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EDEB">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被投企业研发投入强度（</w:t>
            </w:r>
            <w:r>
              <w:rPr>
                <w:rFonts w:hint="eastAsia" w:ascii="仿宋_GB2312" w:hAnsi="仿宋_GB2312" w:eastAsia="仿宋_GB2312" w:cs="仿宋_GB2312"/>
                <w:i w:val="0"/>
                <w:iCs w:val="0"/>
                <w:color w:val="000000"/>
                <w:kern w:val="0"/>
                <w:sz w:val="24"/>
                <w:szCs w:val="24"/>
                <w:highlight w:val="none"/>
                <w:u w:val="none"/>
                <w:lang w:val="en-US" w:eastAsia="zh-CN" w:bidi="ar"/>
              </w:rPr>
              <w:t>5</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325F">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①处于小试、中试、工程化阶段的企业数量为5家，研发费用占成本费用支出比例≥30%的企业数量为3家，占比为60%。该项得1.5分。②处于产业化、具备稳定销售收入的企业数量为5家，研发费用占营业收入比例≥6%的企业数量为4家，占比为80%。该项得2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9501">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3.5</w:t>
            </w:r>
          </w:p>
        </w:tc>
      </w:tr>
      <w:tr w14:paraId="0B6F9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723A193">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2C731284">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9A06">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48BC">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科技成果转化落地情况（</w:t>
            </w:r>
            <w:r>
              <w:rPr>
                <w:rFonts w:hint="eastAsia" w:ascii="仿宋_GB2312" w:hAnsi="仿宋_GB2312" w:eastAsia="仿宋_GB2312" w:cs="仿宋_GB2312"/>
                <w:i w:val="0"/>
                <w:iCs w:val="0"/>
                <w:color w:val="000000"/>
                <w:kern w:val="0"/>
                <w:sz w:val="24"/>
                <w:szCs w:val="24"/>
                <w:highlight w:val="none"/>
                <w:u w:val="none"/>
                <w:lang w:val="en-US" w:eastAsia="zh-CN" w:bidi="ar"/>
              </w:rPr>
              <w:t>5</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FF091">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以投资前技术状态为基准，投资资金用于企业核心科技成果转化，在投资期内取得阶段性进展。根据评分标准，该项得5分。</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68CD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5</w:t>
            </w:r>
          </w:p>
        </w:tc>
      </w:tr>
      <w:tr w14:paraId="27622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5"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213B726">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36" w:type="pct"/>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8E468DD">
            <w:pPr>
              <w:ind w:left="0" w:leftChars="0" w:right="0" w:rightChars="0" w:firstLine="0" w:firstLineChars="0"/>
              <w:jc w:val="center"/>
              <w:rPr>
                <w:rFonts w:hint="eastAsia" w:ascii="仿宋_GB2312" w:hAnsi="仿宋_GB2312" w:eastAsia="仿宋_GB2312" w:cs="仿宋_GB2312"/>
                <w:i w:val="0"/>
                <w:iCs w:val="0"/>
                <w:color w:val="000000"/>
                <w:sz w:val="24"/>
                <w:szCs w:val="24"/>
                <w:highlight w:val="none"/>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8B29">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可持续影响（</w:t>
            </w:r>
            <w:r>
              <w:rPr>
                <w:rFonts w:hint="eastAsia" w:ascii="仿宋_GB2312" w:hAnsi="仿宋_GB2312" w:eastAsia="仿宋_GB2312" w:cs="仿宋_GB2312"/>
                <w:i w:val="0"/>
                <w:iCs w:val="0"/>
                <w:color w:val="000000"/>
                <w:kern w:val="0"/>
                <w:sz w:val="24"/>
                <w:szCs w:val="24"/>
                <w:highlight w:val="none"/>
                <w:u w:val="none"/>
                <w:lang w:val="en-US" w:eastAsia="zh-CN" w:bidi="ar"/>
              </w:rPr>
              <w:t>10</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EF08">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highlight w:val="none"/>
                <w:u w:val="none"/>
              </w:rPr>
            </w:pPr>
            <w:r>
              <w:rPr>
                <w:rFonts w:hint="default" w:ascii="仿宋_GB2312" w:hAnsi="宋体" w:eastAsia="仿宋_GB2312" w:cs="仿宋_GB2312"/>
                <w:i w:val="0"/>
                <w:iCs w:val="0"/>
                <w:color w:val="000000"/>
                <w:kern w:val="0"/>
                <w:sz w:val="24"/>
                <w:szCs w:val="24"/>
                <w:highlight w:val="none"/>
                <w:u w:val="none"/>
                <w:lang w:val="en-US" w:eastAsia="zh-CN" w:bidi="ar"/>
              </w:rPr>
              <w:t>长效管控与资金可持续运行机制（</w:t>
            </w:r>
            <w:r>
              <w:rPr>
                <w:rFonts w:hint="eastAsia" w:ascii="仿宋_GB2312" w:hAnsi="仿宋_GB2312" w:eastAsia="仿宋_GB2312" w:cs="仿宋_GB2312"/>
                <w:i w:val="0"/>
                <w:iCs w:val="0"/>
                <w:color w:val="000000"/>
                <w:kern w:val="0"/>
                <w:sz w:val="24"/>
                <w:szCs w:val="24"/>
                <w:highlight w:val="none"/>
                <w:u w:val="none"/>
                <w:lang w:val="en-US" w:eastAsia="zh-CN" w:bidi="ar"/>
              </w:rPr>
              <w:t>10</w:t>
            </w:r>
            <w:r>
              <w:rPr>
                <w:rFonts w:hint="default" w:ascii="仿宋_GB2312" w:hAnsi="宋体" w:eastAsia="仿宋_GB2312" w:cs="仿宋_GB2312"/>
                <w:i w:val="0"/>
                <w:iCs w:val="0"/>
                <w:color w:val="000000"/>
                <w:kern w:val="0"/>
                <w:sz w:val="24"/>
                <w:szCs w:val="24"/>
                <w:highlight w:val="none"/>
                <w:u w:val="none"/>
                <w:lang w:val="en-US" w:eastAsia="zh-CN" w:bidi="ar"/>
              </w:rPr>
              <w:t>分）</w:t>
            </w:r>
          </w:p>
        </w:tc>
        <w:tc>
          <w:tcPr>
            <w:tcW w:w="2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9231">
            <w:pPr>
              <w:keepNext w:val="0"/>
              <w:keepLines w:val="0"/>
              <w:widowControl/>
              <w:suppressLineNumbers w:val="0"/>
              <w:jc w:val="both"/>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①一是缺少年度综合评价工作。政策文件明确要求，硕果赋能基金连续两年评价不合格可采取提前收回出资、启动清算等处置措施。现阶段未组织开展年度综合评价工作，缺少约束考核依据，相关管控条款未有效落地。二是孵化器赋能评价机制有待完善。政策规定“若标杆孵化器提供相关服务，在项目退出时得到项目方满意和认可，即可享受该项目的投资净收益”，但未明确孵化器服务履职标准、企业满意度判定规则，缺乏收益分配的判定依据。②“硕果金”</w:t>
            </w:r>
            <w:r>
              <w:rPr>
                <w:rFonts w:hint="default" w:ascii="仿宋_GB2312" w:hAnsi="宋体" w:eastAsia="仿宋_GB2312" w:cs="仿宋_GB2312"/>
                <w:i w:val="0"/>
                <w:iCs w:val="0"/>
                <w:color w:val="000000"/>
                <w:kern w:val="0"/>
                <w:sz w:val="24"/>
                <w:szCs w:val="24"/>
                <w:highlight w:val="none"/>
                <w:u w:val="none"/>
                <w:lang w:val="en-US" w:eastAsia="zh-CN" w:bidi="ar"/>
              </w:rPr>
              <w:t>制定股权退出回款管理规则，明确</w:t>
            </w:r>
            <w:r>
              <w:rPr>
                <w:rFonts w:hint="eastAsia" w:ascii="仿宋_GB2312" w:hAnsi="宋体" w:eastAsia="仿宋_GB2312" w:cs="仿宋_GB2312"/>
                <w:i w:val="0"/>
                <w:iCs w:val="0"/>
                <w:color w:val="000000"/>
                <w:kern w:val="0"/>
                <w:sz w:val="24"/>
                <w:szCs w:val="24"/>
                <w:highlight w:val="none"/>
                <w:u w:val="none"/>
                <w:lang w:val="en-US" w:eastAsia="zh-CN" w:bidi="ar"/>
              </w:rPr>
              <w:t>退出净收益30%归入“硕果金”本金进行滚动投资。该项得6分。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72F98">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6</w:t>
            </w:r>
          </w:p>
        </w:tc>
      </w:tr>
      <w:tr w14:paraId="7E0E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2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19C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合计</w:t>
            </w:r>
          </w:p>
        </w:tc>
        <w:tc>
          <w:tcPr>
            <w:tcW w:w="2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050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C913">
            <w:pPr>
              <w:keepNext w:val="0"/>
              <w:keepLines w:val="0"/>
              <w:widowControl/>
              <w:suppressLineNumbers w:val="0"/>
              <w:jc w:val="center"/>
              <w:textAlignment w:val="center"/>
              <w:rPr>
                <w:rFonts w:hint="default" w:ascii="仿宋_GB2312" w:hAnsi="仿宋_GB2312" w:eastAsia="仿宋_GB2312" w:cs="仿宋_GB2312"/>
                <w:b/>
                <w:bCs/>
                <w:i w:val="0"/>
                <w:iCs w:val="0"/>
                <w:color w:val="000000"/>
                <w:sz w:val="24"/>
                <w:szCs w:val="24"/>
                <w:highlight w:val="none"/>
                <w:u w:val="none"/>
                <w:lang w:val="en-US" w:eastAsia="zh-CN"/>
              </w:rPr>
            </w:pPr>
            <w:r>
              <w:rPr>
                <w:rFonts w:hint="eastAsia" w:ascii="仿宋_GB2312" w:hAnsi="仿宋_GB2312" w:eastAsia="仿宋_GB2312" w:cs="仿宋_GB2312"/>
                <w:b/>
                <w:bCs/>
                <w:i w:val="0"/>
                <w:iCs w:val="0"/>
                <w:color w:val="000000"/>
                <w:sz w:val="24"/>
                <w:szCs w:val="24"/>
                <w:highlight w:val="none"/>
                <w:u w:val="none"/>
                <w:lang w:val="en-US" w:eastAsia="zh-CN"/>
              </w:rPr>
              <w:t>84.8</w:t>
            </w:r>
          </w:p>
        </w:tc>
      </w:tr>
    </w:tbl>
    <w:p w14:paraId="34BFEB56">
      <w:pPr>
        <w:rPr>
          <w:rFonts w:ascii="Times New Roman Regular" w:hAnsi="Times New Roman Regular" w:eastAsia="黑体" w:cs="Times New Roman Regular"/>
          <w:sz w:val="32"/>
          <w:szCs w:val="40"/>
        </w:rPr>
        <w:sectPr>
          <w:type w:val="continuous"/>
          <w:pgSz w:w="16838" w:h="11906" w:orient="landscape"/>
          <w:pgMar w:top="1440" w:right="1800" w:bottom="1440" w:left="1800" w:header="851" w:footer="1361" w:gutter="0"/>
          <w:pgNumType w:fmt="decimal"/>
          <w:cols w:space="0" w:num="1"/>
          <w:docGrid w:linePitch="312" w:charSpace="0"/>
        </w:sectPr>
      </w:pPr>
    </w:p>
    <w:p w14:paraId="704E1D39">
      <w:pPr>
        <w:rPr>
          <w:rFonts w:hint="eastAsia" w:ascii="黑体" w:hAnsi="黑体" w:eastAsia="黑体" w:cs="黑体"/>
          <w:sz w:val="32"/>
          <w:szCs w:val="32"/>
          <w:lang w:eastAsia="zh-CN"/>
        </w:rPr>
      </w:pPr>
      <w:r>
        <w:rPr>
          <w:rFonts w:hint="eastAsia" w:ascii="黑体" w:hAnsi="黑体" w:eastAsia="黑体" w:cs="黑体"/>
          <w:sz w:val="32"/>
          <w:szCs w:val="32"/>
          <w:lang w:eastAsia="zh-CN"/>
        </w:rPr>
        <w:br w:type="page"/>
      </w:r>
    </w:p>
    <w:p w14:paraId="7E706A03">
      <w:pPr>
        <w:spacing w:line="600" w:lineRule="exact"/>
        <w:jc w:val="left"/>
        <w:outlineLvl w:val="0"/>
        <w:rPr>
          <w:rFonts w:hint="eastAsia" w:ascii="黑体" w:hAnsi="黑体" w:eastAsia="黑体" w:cs="黑体"/>
          <w:sz w:val="32"/>
          <w:szCs w:val="32"/>
          <w:lang w:eastAsia="zh-CN"/>
        </w:rPr>
      </w:pPr>
      <w:bookmarkStart w:id="70" w:name="_Toc15599"/>
      <w:r>
        <w:rPr>
          <w:rFonts w:hint="eastAsia" w:ascii="黑体" w:hAnsi="黑体" w:eastAsia="黑体" w:cs="黑体"/>
          <w:sz w:val="32"/>
          <w:szCs w:val="32"/>
          <w:lang w:eastAsia="zh-CN"/>
        </w:rPr>
        <w:t>附件3：</w:t>
      </w:r>
      <w:bookmarkEnd w:id="70"/>
    </w:p>
    <w:p w14:paraId="1F7E6912">
      <w:pPr>
        <w:spacing w:line="600" w:lineRule="exact"/>
        <w:jc w:val="center"/>
        <w:outlineLvl w:val="0"/>
        <w:rPr>
          <w:rFonts w:hint="eastAsia" w:ascii="楷体_GB2312" w:hAnsi="楷体_GB2312" w:eastAsia="楷体_GB2312" w:cs="楷体_GB2312"/>
          <w:sz w:val="32"/>
          <w:szCs w:val="32"/>
        </w:rPr>
      </w:pPr>
      <w:bookmarkStart w:id="71" w:name="_Toc637112442"/>
      <w:bookmarkStart w:id="72" w:name="_Toc1329399316"/>
      <w:bookmarkStart w:id="73" w:name="_Toc381818430"/>
      <w:bookmarkStart w:id="74" w:name="_Toc12577"/>
      <w:bookmarkStart w:id="75" w:name="_Toc5251"/>
      <w:r>
        <w:rPr>
          <w:rFonts w:hint="eastAsia" w:ascii="方正小标宋简体" w:hAnsi="方正小标宋简体" w:eastAsia="方正小标宋简体" w:cs="方正小标宋简体"/>
          <w:sz w:val="44"/>
          <w:szCs w:val="44"/>
          <w:lang w:eastAsia="zh-CN"/>
        </w:rPr>
        <w:t>科技创业孵化股权投资资金</w:t>
      </w:r>
      <w:r>
        <w:rPr>
          <w:rFonts w:hint="eastAsia" w:ascii="方正小标宋简体" w:hAnsi="方正小标宋简体" w:eastAsia="方正小标宋简体" w:cs="方正小标宋简体"/>
          <w:sz w:val="44"/>
          <w:szCs w:val="44"/>
        </w:rPr>
        <w:t>政策问题清单</w:t>
      </w:r>
      <w:bookmarkEnd w:id="71"/>
      <w:bookmarkEnd w:id="72"/>
      <w:bookmarkEnd w:id="73"/>
      <w:bookmarkEnd w:id="74"/>
      <w:bookmarkEnd w:id="75"/>
    </w:p>
    <w:p w14:paraId="08760102">
      <w:pPr>
        <w:spacing w:line="20" w:lineRule="exact"/>
        <w:rPr>
          <w:rFonts w:hint="eastAsia" w:ascii="楷体_GB2312" w:hAnsi="楷体_GB2312" w:eastAsia="楷体_GB2312" w:cs="楷体_GB2312"/>
          <w:sz w:val="32"/>
          <w:szCs w:val="32"/>
        </w:rPr>
      </w:pPr>
    </w:p>
    <w:tbl>
      <w:tblPr>
        <w:tblStyle w:val="18"/>
        <w:tblW w:w="44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416"/>
        <w:gridCol w:w="9299"/>
        <w:gridCol w:w="1543"/>
      </w:tblGrid>
      <w:tr w14:paraId="447C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37" w:type="pct"/>
            <w:shd w:val="clear" w:color="auto" w:fill="BEBEBE" w:themeFill="background1" w:themeFillShade="BF"/>
            <w:vAlign w:val="center"/>
          </w:tcPr>
          <w:p w14:paraId="2D0B7B6D">
            <w:pPr>
              <w:widowControl/>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问题分类</w:t>
            </w:r>
          </w:p>
        </w:tc>
        <w:tc>
          <w:tcPr>
            <w:tcW w:w="172" w:type="pct"/>
            <w:shd w:val="clear" w:color="auto" w:fill="BEBEBE" w:themeFill="background1" w:themeFillShade="BF"/>
            <w:vAlign w:val="center"/>
          </w:tcPr>
          <w:p w14:paraId="0A6EBF85">
            <w:pPr>
              <w:widowControl/>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序号</w:t>
            </w:r>
          </w:p>
        </w:tc>
        <w:tc>
          <w:tcPr>
            <w:tcW w:w="3850" w:type="pct"/>
            <w:shd w:val="clear" w:color="auto" w:fill="BEBEBE" w:themeFill="background1" w:themeFillShade="BF"/>
            <w:vAlign w:val="center"/>
          </w:tcPr>
          <w:p w14:paraId="0641A986">
            <w:pPr>
              <w:widowControl/>
              <w:jc w:val="center"/>
              <w:textAlignment w:val="top"/>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问题描述</w:t>
            </w:r>
          </w:p>
        </w:tc>
        <w:tc>
          <w:tcPr>
            <w:tcW w:w="638" w:type="pct"/>
            <w:shd w:val="clear" w:color="auto" w:fill="BEBEBE" w:themeFill="background1" w:themeFillShade="BF"/>
            <w:vAlign w:val="center"/>
          </w:tcPr>
          <w:p w14:paraId="5110C4C0">
            <w:pPr>
              <w:widowControl/>
              <w:jc w:val="center"/>
              <w:textAlignment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项目责任单位</w:t>
            </w:r>
          </w:p>
        </w:tc>
      </w:tr>
      <w:tr w14:paraId="25D9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7" w:type="pct"/>
            <w:vMerge w:val="restart"/>
            <w:shd w:val="clear" w:color="auto" w:fill="auto"/>
            <w:vAlign w:val="center"/>
          </w:tcPr>
          <w:p w14:paraId="34B0522E">
            <w:pPr>
              <w:widowControl/>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政策实施</w:t>
            </w:r>
          </w:p>
        </w:tc>
        <w:tc>
          <w:tcPr>
            <w:tcW w:w="172" w:type="pct"/>
            <w:shd w:val="clear" w:color="auto" w:fill="auto"/>
            <w:vAlign w:val="center"/>
          </w:tcPr>
          <w:p w14:paraId="6E88C1DE">
            <w:pPr>
              <w:widowControl/>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1</w:t>
            </w:r>
          </w:p>
        </w:tc>
        <w:tc>
          <w:tcPr>
            <w:tcW w:w="3850" w:type="pct"/>
            <w:shd w:val="clear" w:color="auto" w:fill="auto"/>
            <w:vAlign w:val="center"/>
          </w:tcPr>
          <w:p w14:paraId="2065E34C">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i w:val="0"/>
                <w:iCs w:val="0"/>
                <w:color w:val="000000"/>
                <w:kern w:val="0"/>
                <w:sz w:val="24"/>
                <w:szCs w:val="24"/>
                <w:u w:val="none"/>
                <w:lang w:val="en-US" w:eastAsia="zh-CN" w:bidi="ar"/>
              </w:rPr>
              <w:t>“硕果金”管理办法未及时修订完善。由于2025年工信部重新修订全国科技型孵化器认定标准，同时，《青岛市标杆孵化器管理办法》（青科规〔2022〕3号）有效期届满，标杆孵化器评定工作难以有效开展。根据《青岛市深化科技成果转化创新改革十条措施》（青政办字〔2024〕53 号）已调整</w:t>
            </w:r>
            <w:r>
              <w:rPr>
                <w:rFonts w:hint="eastAsia" w:ascii="仿宋_GB2312" w:hAnsi="仿宋_GB2312" w:eastAsia="仿宋_GB2312" w:cs="仿宋_GB2312"/>
                <w:sz w:val="24"/>
                <w:lang w:val="en-US" w:eastAsia="zh-CN"/>
              </w:rPr>
              <w:t>政策支持范围，但与之对应的管理办法尚未做出匹配性的修订完善</w:t>
            </w:r>
            <w:r>
              <w:rPr>
                <w:rFonts w:hint="eastAsia" w:ascii="仿宋_GB2312" w:hAnsi="仿宋_GB2312" w:eastAsia="仿宋_GB2312" w:cs="仿宋_GB2312"/>
                <w:i w:val="0"/>
                <w:iCs w:val="0"/>
                <w:color w:val="000000"/>
                <w:kern w:val="0"/>
                <w:sz w:val="24"/>
                <w:szCs w:val="24"/>
                <w:u w:val="none"/>
                <w:lang w:val="en-US" w:eastAsia="zh-CN" w:bidi="ar"/>
              </w:rPr>
              <w:t>。</w:t>
            </w:r>
          </w:p>
        </w:tc>
        <w:tc>
          <w:tcPr>
            <w:tcW w:w="638" w:type="pct"/>
            <w:shd w:val="clear" w:color="auto" w:fill="auto"/>
            <w:vAlign w:val="center"/>
          </w:tcPr>
          <w:p w14:paraId="7C83D695">
            <w:pPr>
              <w:widowControl/>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青岛市科学技术局</w:t>
            </w:r>
          </w:p>
        </w:tc>
      </w:tr>
      <w:tr w14:paraId="5F85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7" w:type="pct"/>
            <w:vMerge w:val="continue"/>
            <w:shd w:val="clear" w:color="auto" w:fill="auto"/>
            <w:vAlign w:val="center"/>
          </w:tcPr>
          <w:p w14:paraId="00416757">
            <w:pPr>
              <w:widowControl/>
              <w:jc w:val="center"/>
              <w:textAlignment w:val="center"/>
              <w:rPr>
                <w:rFonts w:hint="eastAsia" w:ascii="仿宋_GB2312" w:hAnsi="仿宋_GB2312" w:eastAsia="仿宋_GB2312" w:cs="仿宋_GB2312"/>
                <w:color w:val="000000"/>
                <w:kern w:val="0"/>
                <w:sz w:val="24"/>
                <w:lang w:bidi="ar"/>
              </w:rPr>
            </w:pPr>
          </w:p>
        </w:tc>
        <w:tc>
          <w:tcPr>
            <w:tcW w:w="172" w:type="pct"/>
            <w:shd w:val="clear" w:color="auto" w:fill="auto"/>
            <w:vAlign w:val="center"/>
          </w:tcPr>
          <w:p w14:paraId="266E96F2">
            <w:pPr>
              <w:widowControl/>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lang w:val="en-US" w:eastAsia="zh-CN" w:bidi="ar"/>
              </w:rPr>
              <w:t>2</w:t>
            </w:r>
          </w:p>
        </w:tc>
        <w:tc>
          <w:tcPr>
            <w:tcW w:w="3850" w:type="pct"/>
            <w:shd w:val="clear" w:color="auto" w:fill="auto"/>
            <w:vAlign w:val="center"/>
          </w:tcPr>
          <w:p w14:paraId="1D0B9B95">
            <w:pPr>
              <w:widowControl/>
              <w:jc w:val="left"/>
              <w:textAlignment w:val="top"/>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专户资金划转不及时，</w:t>
            </w:r>
            <w:r>
              <w:rPr>
                <w:rFonts w:hint="eastAsia" w:ascii="仿宋_GB2312" w:hAnsi="仿宋_GB2312" w:eastAsia="仿宋_GB2312" w:cs="仿宋_GB2312"/>
                <w:color w:val="000000"/>
                <w:sz w:val="24"/>
                <w:lang w:val="en-US" w:eastAsia="zh-CN"/>
              </w:rPr>
              <w:t>专户管理不到位</w:t>
            </w:r>
            <w:r>
              <w:rPr>
                <w:rFonts w:hint="eastAsia" w:ascii="仿宋_GB2312" w:hAnsi="仿宋_GB2312" w:eastAsia="仿宋_GB2312" w:cs="仿宋_GB2312"/>
                <w:color w:val="000000"/>
                <w:sz w:val="24"/>
                <w:lang w:eastAsia="zh-CN"/>
              </w:rPr>
              <w:t>。根据《青岛市科技创业孵化财政资金股权投资运行管理办法（试行）》（青科创委办字〔2022〕1号）规定，“财通集团对‘硕果金’实行专户管理，按照约定用途进行投资”。</w:t>
            </w:r>
            <w:r>
              <w:rPr>
                <w:rFonts w:hint="eastAsia" w:ascii="仿宋_GB2312" w:hAnsi="仿宋_GB2312" w:eastAsia="仿宋_GB2312" w:cs="仿宋_GB2312"/>
                <w:i w:val="0"/>
                <w:iCs w:val="0"/>
                <w:color w:val="000000"/>
                <w:kern w:val="0"/>
                <w:sz w:val="24"/>
                <w:szCs w:val="24"/>
                <w:u w:val="none"/>
                <w:lang w:val="en-US" w:eastAsia="zh-CN" w:bidi="ar"/>
              </w:rPr>
              <w:t>评价发现，“硕果金”拨付财通集团后，在集团户进行统一管理，资金未及时归集至专用托管账户，</w:t>
            </w:r>
            <w:r>
              <w:rPr>
                <w:rFonts w:hint="eastAsia" w:ascii="仿宋_GB2312" w:hAnsi="仿宋_GB2312" w:eastAsia="仿宋_GB2312" w:cs="仿宋_GB2312"/>
                <w:color w:val="000000"/>
                <w:sz w:val="24"/>
                <w:lang w:eastAsia="zh-CN"/>
              </w:rPr>
              <w:t>截至2026年6月30日，账户实际余额20.09万元。</w:t>
            </w:r>
          </w:p>
        </w:tc>
        <w:tc>
          <w:tcPr>
            <w:tcW w:w="638" w:type="pct"/>
            <w:shd w:val="clear" w:color="auto" w:fill="auto"/>
            <w:vAlign w:val="center"/>
          </w:tcPr>
          <w:p w14:paraId="79CD5875">
            <w:pPr>
              <w:widowControl/>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青岛财通集团</w:t>
            </w:r>
          </w:p>
        </w:tc>
      </w:tr>
      <w:tr w14:paraId="37D4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7" w:type="pct"/>
            <w:vMerge w:val="continue"/>
            <w:shd w:val="clear" w:color="auto" w:fill="auto"/>
            <w:vAlign w:val="center"/>
          </w:tcPr>
          <w:p w14:paraId="5CF04A13">
            <w:pPr>
              <w:widowControl/>
              <w:jc w:val="center"/>
              <w:textAlignment w:val="center"/>
              <w:rPr>
                <w:rFonts w:hint="eastAsia" w:ascii="仿宋_GB2312" w:hAnsi="仿宋_GB2312" w:eastAsia="仿宋_GB2312" w:cs="仿宋_GB2312"/>
                <w:color w:val="000000"/>
                <w:kern w:val="0"/>
                <w:sz w:val="24"/>
                <w:lang w:bidi="ar"/>
              </w:rPr>
            </w:pPr>
          </w:p>
        </w:tc>
        <w:tc>
          <w:tcPr>
            <w:tcW w:w="172" w:type="pct"/>
            <w:shd w:val="clear" w:color="auto" w:fill="auto"/>
            <w:vAlign w:val="center"/>
          </w:tcPr>
          <w:p w14:paraId="53339AB7">
            <w:pPr>
              <w:widowControl/>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lang w:val="en-US" w:eastAsia="zh-CN" w:bidi="ar"/>
              </w:rPr>
              <w:t>3</w:t>
            </w:r>
          </w:p>
        </w:tc>
        <w:tc>
          <w:tcPr>
            <w:tcW w:w="3850" w:type="pct"/>
            <w:shd w:val="clear" w:color="auto" w:fill="auto"/>
            <w:vAlign w:val="center"/>
          </w:tcPr>
          <w:p w14:paraId="6804EFC9">
            <w:pPr>
              <w:widowControl/>
              <w:jc w:val="left"/>
              <w:textAlignment w:val="top"/>
              <w:rPr>
                <w:rFonts w:hint="eastAsia" w:ascii="仿宋_GB2312" w:hAnsi="仿宋_GB2312" w:eastAsia="仿宋_GB2312" w:cs="仿宋_GB2312"/>
                <w:color w:val="000000"/>
                <w:kern w:val="0"/>
                <w:sz w:val="24"/>
                <w:lang w:val="en-US" w:eastAsia="zh-CN" w:bidi="ar"/>
              </w:rPr>
            </w:pPr>
            <w:r>
              <w:rPr>
                <w:rFonts w:hint="eastAsia" w:ascii="仿宋_GB2312" w:hAnsi="仿宋_GB2312" w:eastAsia="仿宋_GB2312" w:cs="仿宋_GB2312"/>
                <w:color w:val="000000"/>
                <w:sz w:val="24"/>
                <w:lang w:eastAsia="zh-CN"/>
              </w:rPr>
              <w:t>年度报告报送不及时</w:t>
            </w:r>
            <w:r>
              <w:rPr>
                <w:rFonts w:hint="eastAsia" w:ascii="仿宋_GB2312" w:hAnsi="仿宋_GB2312" w:eastAsia="仿宋_GB2312" w:cs="仿宋_GB2312"/>
                <w:color w:val="000000"/>
                <w:sz w:val="24"/>
              </w:rPr>
              <w:t>，相关制度未有效执行</w:t>
            </w:r>
            <w:r>
              <w:rPr>
                <w:rFonts w:hint="eastAsia" w:ascii="仿宋_GB2312" w:hAnsi="仿宋_GB2312" w:eastAsia="仿宋_GB2312" w:cs="仿宋_GB2312"/>
                <w:color w:val="000000"/>
                <w:sz w:val="24"/>
                <w:lang w:eastAsia="zh-CN"/>
              </w:rPr>
              <w:t>。一是年度报告报送不及时。根据《青岛市科技创业孵化财政资金股权投资运行管理办法（试行）》（青科创委办字〔2022〕1号）规定，“</w:t>
            </w:r>
            <w:r>
              <w:rPr>
                <w:rFonts w:hint="eastAsia" w:ascii="仿宋_GB2312" w:hAnsi="仿宋_GB2312" w:eastAsia="仿宋_GB2312" w:cs="仿宋_GB2312"/>
                <w:i w:val="0"/>
                <w:iCs w:val="0"/>
                <w:color w:val="000000"/>
                <w:kern w:val="0"/>
                <w:sz w:val="24"/>
                <w:szCs w:val="24"/>
                <w:highlight w:val="none"/>
                <w:u w:val="none"/>
                <w:lang w:val="en-US" w:eastAsia="zh-CN" w:bidi="ar"/>
              </w:rPr>
              <w:t>财通集团每半年向联席会书面报告股权投资运作情况，并在每年4月30日前，书面向联席会报送‘硕果金’年度运营报告及经审计的上年度财务报告</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但财通集团未及时提交2025年度运营报告和经审计的财务报告</w:t>
            </w:r>
            <w:r>
              <w:rPr>
                <w:rFonts w:hint="eastAsia" w:ascii="仿宋_GB2312" w:hAnsi="仿宋_GB2312" w:eastAsia="仿宋_GB2312" w:cs="仿宋_GB2312"/>
                <w:color w:val="000000"/>
                <w:sz w:val="24"/>
                <w:lang w:eastAsia="zh-CN"/>
              </w:rPr>
              <w:t>。二是缺少年度综合评价工作，政策文件要求，硕果赋能基金连续两年评价不合格可</w:t>
            </w:r>
            <w:r>
              <w:rPr>
                <w:rFonts w:hint="eastAsia" w:ascii="仿宋_GB2312" w:hAnsi="仿宋_GB2312" w:eastAsia="仿宋_GB2312" w:cs="仿宋_GB2312"/>
                <w:color w:val="000000"/>
                <w:sz w:val="24"/>
                <w:lang w:val="en-US" w:eastAsia="zh-CN"/>
              </w:rPr>
              <w:t>采取</w:t>
            </w:r>
            <w:r>
              <w:rPr>
                <w:rFonts w:hint="eastAsia" w:ascii="仿宋_GB2312" w:hAnsi="仿宋_GB2312" w:eastAsia="仿宋_GB2312" w:cs="仿宋_GB2312"/>
                <w:color w:val="000000"/>
                <w:sz w:val="24"/>
                <w:lang w:eastAsia="zh-CN"/>
              </w:rPr>
              <w:t>提前收回出资、启动清算等处置措施。现阶段未组织开展年度综合评价工作，缺少约束考核依据。</w:t>
            </w:r>
          </w:p>
        </w:tc>
        <w:tc>
          <w:tcPr>
            <w:tcW w:w="638" w:type="pct"/>
            <w:shd w:val="clear" w:color="auto" w:fill="auto"/>
            <w:vAlign w:val="center"/>
          </w:tcPr>
          <w:p w14:paraId="42150124">
            <w:pPr>
              <w:widowControl/>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青岛财通集团</w:t>
            </w:r>
          </w:p>
        </w:tc>
      </w:tr>
      <w:tr w14:paraId="5968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337" w:type="pct"/>
            <w:shd w:val="clear" w:color="auto" w:fill="auto"/>
            <w:vAlign w:val="center"/>
          </w:tcPr>
          <w:p w14:paraId="360C4C8B">
            <w:pPr>
              <w:jc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政策效果</w:t>
            </w:r>
          </w:p>
        </w:tc>
        <w:tc>
          <w:tcPr>
            <w:tcW w:w="172" w:type="pct"/>
            <w:shd w:val="clear" w:color="auto" w:fill="auto"/>
            <w:vAlign w:val="center"/>
          </w:tcPr>
          <w:p w14:paraId="4053FCDE">
            <w:pPr>
              <w:widowControl/>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w:t>
            </w:r>
          </w:p>
        </w:tc>
        <w:tc>
          <w:tcPr>
            <w:tcW w:w="3850" w:type="pct"/>
            <w:shd w:val="clear" w:color="auto" w:fill="auto"/>
            <w:vAlign w:val="center"/>
          </w:tcPr>
          <w:p w14:paraId="48EF68E2">
            <w:pPr>
              <w:widowControl/>
              <w:textAlignment w:val="top"/>
              <w:rPr>
                <w:rFonts w:hint="eastAsia" w:ascii="仿宋_GB2312" w:hAnsi="仿宋_GB2312" w:eastAsia="仿宋_GB2312" w:cs="仿宋_GB2312"/>
                <w:color w:val="000000"/>
                <w:sz w:val="24"/>
                <w:lang w:eastAsia="zh-CN"/>
              </w:rPr>
            </w:pPr>
            <w:r>
              <w:rPr>
                <w:rFonts w:hint="eastAsia" w:ascii="仿宋_GB2312" w:hAnsi="仿宋_GB2312" w:eastAsia="仿宋_GB2312" w:cs="仿宋_GB2312"/>
                <w:sz w:val="24"/>
                <w:lang w:val="en-US" w:eastAsia="zh-CN"/>
              </w:rPr>
              <w:t>孵化器赋能评价机制有待完善，可持续服务能力不足。孵化载体在投后服务和跟踪服务方面缺少效益评估，针对“硕果金”投资的非标杆孵化器推荐项目，政策规定“若标杆孵化器提供相关服务，在项目退出时得到项目方满意和认可，即可享受该项目的投资净收益”，但未明确孵化器服务履职标准、企业满意度判定规则，易出现孵化服务成效认定分歧的情况，缺乏收益分配的判定依据。</w:t>
            </w:r>
          </w:p>
        </w:tc>
        <w:tc>
          <w:tcPr>
            <w:tcW w:w="638" w:type="pct"/>
            <w:shd w:val="clear" w:color="auto" w:fill="auto"/>
            <w:vAlign w:val="center"/>
          </w:tcPr>
          <w:p w14:paraId="7EC9D8DD">
            <w:pPr>
              <w:widowControl/>
              <w:jc w:val="center"/>
              <w:textAlignment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000000"/>
                <w:sz w:val="24"/>
                <w:lang w:eastAsia="zh-CN"/>
              </w:rPr>
              <w:t>青岛市科学技术局</w:t>
            </w:r>
          </w:p>
        </w:tc>
      </w:tr>
    </w:tbl>
    <w:p w14:paraId="1D0A229C">
      <w:pPr>
        <w:spacing w:line="20" w:lineRule="exact"/>
        <w:rPr>
          <w:rFonts w:hint="eastAsia" w:ascii="楷体_GB2312" w:hAnsi="楷体_GB2312" w:eastAsia="楷体_GB2312" w:cs="楷体_GB2312"/>
          <w:sz w:val="32"/>
          <w:szCs w:val="32"/>
        </w:rPr>
      </w:pPr>
    </w:p>
    <w:p w14:paraId="58FBF76B">
      <w:pPr>
        <w:spacing w:line="600" w:lineRule="exact"/>
        <w:rPr>
          <w:rFonts w:ascii="Times New Roman Regular" w:hAnsi="Times New Roman Regular" w:eastAsia="黑体" w:cs="Times New Roman Regular"/>
          <w:sz w:val="32"/>
          <w:szCs w:val="40"/>
        </w:rPr>
        <w:sectPr>
          <w:type w:val="continuous"/>
          <w:pgSz w:w="16838" w:h="11906" w:orient="landscape"/>
          <w:pgMar w:top="1440" w:right="1800" w:bottom="1440" w:left="1800" w:header="851" w:footer="1361" w:gutter="0"/>
          <w:pgNumType w:fmt="decimal"/>
          <w:cols w:space="0" w:num="1"/>
          <w:docGrid w:linePitch="312" w:charSpace="0"/>
        </w:sectPr>
      </w:pPr>
    </w:p>
    <w:p w14:paraId="504809D2">
      <w:pPr>
        <w:spacing w:line="600" w:lineRule="exact"/>
        <w:jc w:val="left"/>
        <w:outlineLvl w:val="0"/>
        <w:rPr>
          <w:rFonts w:hint="eastAsia" w:ascii="黑体" w:hAnsi="黑体" w:eastAsia="黑体" w:cs="黑体"/>
          <w:sz w:val="32"/>
          <w:szCs w:val="32"/>
          <w:lang w:eastAsia="zh-CN"/>
        </w:rPr>
      </w:pPr>
      <w:bookmarkStart w:id="76" w:name="_Toc20190"/>
      <w:r>
        <w:rPr>
          <w:rFonts w:hint="default" w:ascii="黑体" w:hAnsi="黑体" w:eastAsia="黑体" w:cs="黑体"/>
          <w:sz w:val="32"/>
          <w:szCs w:val="32"/>
          <w:lang w:eastAsia="zh-CN"/>
        </w:rPr>
        <w:t>附件</w:t>
      </w:r>
      <w:r>
        <w:rPr>
          <w:rFonts w:hint="eastAsia" w:ascii="黑体" w:hAnsi="黑体" w:eastAsia="黑体" w:cs="黑体"/>
          <w:sz w:val="32"/>
          <w:szCs w:val="32"/>
          <w:lang w:val="en-US" w:eastAsia="zh-CN"/>
        </w:rPr>
        <w:t>4</w:t>
      </w:r>
      <w:r>
        <w:rPr>
          <w:rFonts w:hint="eastAsia" w:ascii="黑体" w:hAnsi="黑体" w:eastAsia="黑体" w:cs="黑体"/>
          <w:sz w:val="32"/>
          <w:szCs w:val="32"/>
          <w:lang w:eastAsia="zh-CN"/>
        </w:rPr>
        <w:t>：</w:t>
      </w:r>
      <w:bookmarkEnd w:id="76"/>
    </w:p>
    <w:p w14:paraId="4292AFC3">
      <w:pPr>
        <w:spacing w:line="600" w:lineRule="exact"/>
        <w:jc w:val="center"/>
        <w:outlineLvl w:val="0"/>
        <w:rPr>
          <w:rFonts w:hint="eastAsia" w:ascii="方正小标宋简体" w:hAnsi="方正小标宋简体" w:eastAsia="方正小标宋简体" w:cs="方正小标宋简体"/>
          <w:sz w:val="36"/>
          <w:szCs w:val="36"/>
        </w:rPr>
      </w:pPr>
      <w:bookmarkStart w:id="77" w:name="_Toc18811"/>
      <w:r>
        <w:rPr>
          <w:rFonts w:hint="eastAsia" w:ascii="方正小标宋简体" w:hAnsi="方正小标宋简体" w:eastAsia="方正小标宋简体" w:cs="方正小标宋简体"/>
          <w:sz w:val="36"/>
          <w:szCs w:val="36"/>
          <w:lang w:eastAsia="zh-CN"/>
        </w:rPr>
        <w:t>科技创业孵化股权投资资金</w:t>
      </w:r>
      <w:r>
        <w:rPr>
          <w:rFonts w:hint="eastAsia" w:ascii="方正小标宋简体" w:hAnsi="方正小标宋简体" w:eastAsia="方正小标宋简体" w:cs="方正小标宋简体"/>
          <w:sz w:val="36"/>
          <w:szCs w:val="36"/>
        </w:rPr>
        <w:t>政策核心绩效指标</w:t>
      </w:r>
      <w:bookmarkEnd w:id="77"/>
    </w:p>
    <w:tbl>
      <w:tblPr>
        <w:tblStyle w:val="18"/>
        <w:tblW w:w="4996" w:type="pct"/>
        <w:tblInd w:w="0" w:type="dxa"/>
        <w:tblLayout w:type="fixed"/>
        <w:tblCellMar>
          <w:top w:w="0" w:type="dxa"/>
          <w:left w:w="108" w:type="dxa"/>
          <w:bottom w:w="0" w:type="dxa"/>
          <w:right w:w="108" w:type="dxa"/>
        </w:tblCellMar>
      </w:tblPr>
      <w:tblGrid>
        <w:gridCol w:w="859"/>
        <w:gridCol w:w="900"/>
        <w:gridCol w:w="1271"/>
        <w:gridCol w:w="2593"/>
        <w:gridCol w:w="3613"/>
      </w:tblGrid>
      <w:tr w14:paraId="61C54D24">
        <w:tblPrEx>
          <w:tblCellMar>
            <w:top w:w="0" w:type="dxa"/>
            <w:left w:w="108" w:type="dxa"/>
            <w:bottom w:w="0" w:type="dxa"/>
            <w:right w:w="108" w:type="dxa"/>
          </w:tblCellMar>
        </w:tblPrEx>
        <w:trPr>
          <w:trHeight w:val="425" w:hRule="atLeast"/>
          <w:tblHeader/>
        </w:trPr>
        <w:tc>
          <w:tcPr>
            <w:tcW w:w="465"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21D5822F">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一级指标</w:t>
            </w:r>
          </w:p>
        </w:tc>
        <w:tc>
          <w:tcPr>
            <w:tcW w:w="487"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529C143B">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二级指标</w:t>
            </w:r>
          </w:p>
        </w:tc>
        <w:tc>
          <w:tcPr>
            <w:tcW w:w="688"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7C529E6A">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三级指标</w:t>
            </w:r>
          </w:p>
        </w:tc>
        <w:tc>
          <w:tcPr>
            <w:tcW w:w="1403" w:type="pct"/>
            <w:tcBorders>
              <w:top w:val="single" w:color="000000" w:sz="4" w:space="0"/>
              <w:left w:val="single" w:color="000000" w:sz="4" w:space="0"/>
              <w:bottom w:val="single" w:color="auto" w:sz="4" w:space="0"/>
              <w:right w:val="single" w:color="000000" w:sz="4" w:space="0"/>
            </w:tcBorders>
            <w:shd w:val="clear" w:color="auto" w:fill="BEBEBE" w:themeFill="background1" w:themeFillShade="BF"/>
            <w:vAlign w:val="center"/>
          </w:tcPr>
          <w:p w14:paraId="236FC7A9">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指标解释</w:t>
            </w:r>
          </w:p>
        </w:tc>
        <w:tc>
          <w:tcPr>
            <w:tcW w:w="1955" w:type="pct"/>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1520C2DC">
            <w:pPr>
              <w:widowControl/>
              <w:jc w:val="center"/>
              <w:textAlignment w:val="center"/>
              <w:rPr>
                <w:rFonts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指标来源</w:t>
            </w:r>
          </w:p>
          <w:p w14:paraId="00EAE136">
            <w:pPr>
              <w:widowControl/>
              <w:jc w:val="center"/>
              <w:textAlignment w:val="center"/>
              <w:rPr>
                <w:rFonts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（指标设置依据）</w:t>
            </w:r>
          </w:p>
        </w:tc>
      </w:tr>
      <w:tr w14:paraId="5E1C9CB9">
        <w:tblPrEx>
          <w:tblCellMar>
            <w:top w:w="0" w:type="dxa"/>
            <w:left w:w="108" w:type="dxa"/>
            <w:bottom w:w="0" w:type="dxa"/>
            <w:right w:w="108" w:type="dxa"/>
          </w:tblCellMar>
        </w:tblPrEx>
        <w:trPr>
          <w:trHeight w:val="671" w:hRule="atLeast"/>
        </w:trPr>
        <w:tc>
          <w:tcPr>
            <w:tcW w:w="465" w:type="pct"/>
            <w:vMerge w:val="restart"/>
            <w:tcBorders>
              <w:top w:val="single" w:color="auto" w:sz="4" w:space="0"/>
              <w:left w:val="single" w:color="auto" w:sz="4" w:space="0"/>
              <w:right w:val="single" w:color="000000" w:sz="4" w:space="0"/>
            </w:tcBorders>
            <w:shd w:val="clear" w:color="auto" w:fill="auto"/>
            <w:vAlign w:val="center"/>
          </w:tcPr>
          <w:p w14:paraId="53CB8ACB">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产出指标</w:t>
            </w:r>
          </w:p>
        </w:tc>
        <w:tc>
          <w:tcPr>
            <w:tcW w:w="487" w:type="pct"/>
            <w:tcBorders>
              <w:top w:val="single" w:color="auto" w:sz="4" w:space="0"/>
              <w:left w:val="single" w:color="000000" w:sz="4" w:space="0"/>
              <w:bottom w:val="single" w:color="auto" w:sz="4" w:space="0"/>
              <w:right w:val="single" w:color="000000" w:sz="4" w:space="0"/>
            </w:tcBorders>
            <w:shd w:val="clear" w:color="auto" w:fill="auto"/>
            <w:vAlign w:val="center"/>
          </w:tcPr>
          <w:p w14:paraId="58EC802E">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数量指标</w:t>
            </w:r>
          </w:p>
        </w:tc>
        <w:tc>
          <w:tcPr>
            <w:tcW w:w="688" w:type="pct"/>
            <w:tcBorders>
              <w:top w:val="single" w:color="auto" w:sz="4" w:space="0"/>
              <w:left w:val="single" w:color="000000" w:sz="4" w:space="0"/>
              <w:bottom w:val="single" w:color="auto" w:sz="4" w:space="0"/>
              <w:right w:val="single" w:color="000000" w:sz="4" w:space="0"/>
            </w:tcBorders>
            <w:shd w:val="clear" w:color="auto" w:fill="auto"/>
            <w:vAlign w:val="center"/>
          </w:tcPr>
          <w:p w14:paraId="1CD7C84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财政股权投资完成率</w:t>
            </w:r>
          </w:p>
        </w:tc>
        <w:tc>
          <w:tcPr>
            <w:tcW w:w="1403" w:type="pct"/>
            <w:tcBorders>
              <w:top w:val="single" w:color="auto" w:sz="4" w:space="0"/>
              <w:left w:val="single" w:color="000000" w:sz="4" w:space="0"/>
              <w:bottom w:val="single" w:color="auto" w:sz="4" w:space="0"/>
              <w:right w:val="single" w:color="auto" w:sz="4" w:space="0"/>
            </w:tcBorders>
            <w:shd w:val="clear" w:color="auto" w:fill="auto"/>
            <w:vAlign w:val="center"/>
          </w:tcPr>
          <w:p w14:paraId="4E8A6CA2">
            <w:pPr>
              <w:keepNext w:val="0"/>
              <w:keepLines w:val="0"/>
              <w:widowControl/>
              <w:suppressLineNumbers w:val="0"/>
              <w:ind w:left="0" w:leftChars="0" w:right="0" w:rightChars="0" w:firstLine="0" w:firstLineChars="0"/>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反映“硕果金”累计投资进度情况。</w:t>
            </w:r>
          </w:p>
        </w:tc>
        <w:tc>
          <w:tcPr>
            <w:tcW w:w="1955" w:type="pct"/>
            <w:tcBorders>
              <w:top w:val="single" w:color="000000" w:sz="4" w:space="0"/>
              <w:left w:val="single" w:color="auto" w:sz="4" w:space="0"/>
              <w:bottom w:val="single" w:color="000000" w:sz="4" w:space="0"/>
              <w:right w:val="single" w:color="000000" w:sz="4" w:space="0"/>
            </w:tcBorders>
            <w:shd w:val="clear" w:color="auto" w:fill="auto"/>
            <w:vAlign w:val="center"/>
          </w:tcPr>
          <w:p w14:paraId="143B561A">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实际投资进度率：参照《山东省省级股权投资引导基金绩效评价管理暂行办法》的通知（鲁财预〔</w:t>
            </w:r>
            <w:r>
              <w:rPr>
                <w:rFonts w:hint="eastAsia" w:ascii="仿宋_GB2312" w:hAnsi="仿宋_GB2312" w:eastAsia="仿宋_GB2312" w:cs="仿宋_GB2312"/>
                <w:i w:val="0"/>
                <w:iCs w:val="0"/>
                <w:color w:val="000000"/>
                <w:kern w:val="0"/>
                <w:sz w:val="24"/>
                <w:szCs w:val="24"/>
                <w:u w:val="none"/>
                <w:lang w:val="en-US" w:eastAsia="zh-CN" w:bidi="ar"/>
              </w:rPr>
              <w:t>2015</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57</w:t>
            </w:r>
            <w:r>
              <w:rPr>
                <w:rFonts w:hint="default" w:ascii="仿宋_GB2312" w:hAnsi="宋体" w:eastAsia="仿宋_GB2312" w:cs="仿宋_GB2312"/>
                <w:i w:val="0"/>
                <w:iCs w:val="0"/>
                <w:color w:val="000000"/>
                <w:kern w:val="0"/>
                <w:sz w:val="24"/>
                <w:szCs w:val="24"/>
                <w:u w:val="none"/>
                <w:lang w:val="en-US" w:eastAsia="zh-CN" w:bidi="ar"/>
              </w:rPr>
              <w:t>号）</w:t>
            </w:r>
          </w:p>
        </w:tc>
      </w:tr>
      <w:tr w14:paraId="30444180">
        <w:tblPrEx>
          <w:tblCellMar>
            <w:top w:w="0" w:type="dxa"/>
            <w:left w:w="108" w:type="dxa"/>
            <w:bottom w:w="0" w:type="dxa"/>
            <w:right w:w="108" w:type="dxa"/>
          </w:tblCellMar>
        </w:tblPrEx>
        <w:trPr>
          <w:trHeight w:val="747" w:hRule="atLeast"/>
        </w:trPr>
        <w:tc>
          <w:tcPr>
            <w:tcW w:w="465" w:type="pct"/>
            <w:vMerge w:val="continue"/>
            <w:tcBorders>
              <w:left w:val="single" w:color="auto" w:sz="4" w:space="0"/>
              <w:right w:val="single" w:color="000000" w:sz="4" w:space="0"/>
            </w:tcBorders>
            <w:shd w:val="clear" w:color="auto" w:fill="auto"/>
            <w:vAlign w:val="center"/>
          </w:tcPr>
          <w:p w14:paraId="1E5CE4CC">
            <w:pPr>
              <w:widowControl/>
              <w:jc w:val="center"/>
              <w:textAlignment w:val="center"/>
              <w:rPr>
                <w:rFonts w:ascii="仿宋_GB2312" w:hAnsi="仿宋_GB2312" w:eastAsia="仿宋_GB2312" w:cs="仿宋_GB2312"/>
                <w:color w:val="000000"/>
                <w:sz w:val="24"/>
              </w:rPr>
            </w:pPr>
          </w:p>
        </w:tc>
        <w:tc>
          <w:tcPr>
            <w:tcW w:w="487" w:type="pct"/>
            <w:tcBorders>
              <w:top w:val="single" w:color="auto" w:sz="4" w:space="0"/>
              <w:left w:val="single" w:color="000000" w:sz="4" w:space="0"/>
              <w:bottom w:val="single" w:color="auto" w:sz="4" w:space="0"/>
              <w:right w:val="single" w:color="000000" w:sz="4" w:space="0"/>
            </w:tcBorders>
            <w:shd w:val="clear" w:color="auto" w:fill="auto"/>
            <w:vAlign w:val="center"/>
          </w:tcPr>
          <w:p w14:paraId="7B82B6F8">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质量指标</w:t>
            </w:r>
          </w:p>
        </w:tc>
        <w:tc>
          <w:tcPr>
            <w:tcW w:w="688" w:type="pct"/>
            <w:tcBorders>
              <w:top w:val="single" w:color="auto" w:sz="4" w:space="0"/>
              <w:left w:val="single" w:color="000000" w:sz="4" w:space="0"/>
              <w:bottom w:val="single" w:color="auto" w:sz="4" w:space="0"/>
              <w:right w:val="single" w:color="000000" w:sz="4" w:space="0"/>
            </w:tcBorders>
            <w:shd w:val="clear" w:color="auto" w:fill="auto"/>
            <w:vAlign w:val="center"/>
          </w:tcPr>
          <w:p w14:paraId="38DB0DF2">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投资项目达标率</w:t>
            </w:r>
          </w:p>
        </w:tc>
        <w:tc>
          <w:tcPr>
            <w:tcW w:w="1403" w:type="pct"/>
            <w:tcBorders>
              <w:top w:val="single" w:color="auto" w:sz="4" w:space="0"/>
              <w:left w:val="single" w:color="000000" w:sz="4" w:space="0"/>
              <w:bottom w:val="single" w:color="000000" w:sz="4" w:space="0"/>
              <w:right w:val="single" w:color="000000" w:sz="4" w:space="0"/>
            </w:tcBorders>
            <w:shd w:val="clear" w:color="auto" w:fill="auto"/>
            <w:vAlign w:val="center"/>
          </w:tcPr>
          <w:p w14:paraId="23DEB803">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反映已投项目在产业方向、企业阶段、资金结构等方面是否符合政策要求。</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4993">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《青岛市科技创业孵化财政资金股权投资运行管理办法（试行）》（青科创委办字〔</w:t>
            </w:r>
            <w:r>
              <w:rPr>
                <w:rFonts w:hint="eastAsia" w:ascii="仿宋_GB2312" w:hAnsi="仿宋_GB2312" w:eastAsia="仿宋_GB2312" w:cs="仿宋_GB2312"/>
                <w:i w:val="0"/>
                <w:iCs w:val="0"/>
                <w:color w:val="000000"/>
                <w:kern w:val="0"/>
                <w:sz w:val="24"/>
                <w:szCs w:val="24"/>
                <w:u w:val="none"/>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p>
        </w:tc>
      </w:tr>
      <w:tr w14:paraId="0A9E4798">
        <w:tblPrEx>
          <w:tblCellMar>
            <w:top w:w="0" w:type="dxa"/>
            <w:left w:w="108" w:type="dxa"/>
            <w:bottom w:w="0" w:type="dxa"/>
            <w:right w:w="108" w:type="dxa"/>
          </w:tblCellMar>
        </w:tblPrEx>
        <w:trPr>
          <w:trHeight w:val="747" w:hRule="atLeast"/>
        </w:trPr>
        <w:tc>
          <w:tcPr>
            <w:tcW w:w="465" w:type="pct"/>
            <w:vMerge w:val="continue"/>
            <w:tcBorders>
              <w:left w:val="single" w:color="auto" w:sz="4" w:space="0"/>
              <w:bottom w:val="single" w:color="auto" w:sz="4" w:space="0"/>
              <w:right w:val="single" w:color="000000" w:sz="4" w:space="0"/>
            </w:tcBorders>
            <w:shd w:val="clear" w:color="auto" w:fill="auto"/>
            <w:vAlign w:val="center"/>
          </w:tcPr>
          <w:p w14:paraId="01D8AA3B">
            <w:pPr>
              <w:widowControl/>
              <w:jc w:val="center"/>
              <w:textAlignment w:val="center"/>
              <w:rPr>
                <w:rFonts w:ascii="仿宋_GB2312" w:hAnsi="仿宋_GB2312" w:eastAsia="仿宋_GB2312" w:cs="仿宋_GB2312"/>
                <w:color w:val="000000"/>
                <w:sz w:val="24"/>
              </w:rPr>
            </w:pPr>
          </w:p>
        </w:tc>
        <w:tc>
          <w:tcPr>
            <w:tcW w:w="487" w:type="pct"/>
            <w:tcBorders>
              <w:top w:val="single" w:color="auto" w:sz="4" w:space="0"/>
              <w:left w:val="single" w:color="000000" w:sz="4" w:space="0"/>
              <w:bottom w:val="single" w:color="auto" w:sz="4" w:space="0"/>
              <w:right w:val="single" w:color="000000" w:sz="4" w:space="0"/>
            </w:tcBorders>
            <w:shd w:val="clear" w:color="auto" w:fill="auto"/>
            <w:vAlign w:val="center"/>
          </w:tcPr>
          <w:p w14:paraId="4C319E6B">
            <w:pPr>
              <w:widowControl/>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成本指标</w:t>
            </w:r>
          </w:p>
        </w:tc>
        <w:tc>
          <w:tcPr>
            <w:tcW w:w="688" w:type="pct"/>
            <w:tcBorders>
              <w:top w:val="single" w:color="auto" w:sz="4" w:space="0"/>
              <w:left w:val="single" w:color="000000" w:sz="4" w:space="0"/>
              <w:bottom w:val="single" w:color="auto" w:sz="4" w:space="0"/>
              <w:right w:val="single" w:color="000000" w:sz="4" w:space="0"/>
            </w:tcBorders>
            <w:shd w:val="clear" w:color="auto" w:fill="auto"/>
            <w:vAlign w:val="center"/>
          </w:tcPr>
          <w:p w14:paraId="65F7B272">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投资成本合规率</w:t>
            </w:r>
          </w:p>
        </w:tc>
        <w:tc>
          <w:tcPr>
            <w:tcW w:w="1403" w:type="pct"/>
            <w:tcBorders>
              <w:top w:val="single" w:color="auto" w:sz="4" w:space="0"/>
              <w:left w:val="single" w:color="000000" w:sz="4" w:space="0"/>
              <w:bottom w:val="single" w:color="000000" w:sz="4" w:space="0"/>
              <w:right w:val="single" w:color="000000" w:sz="4" w:space="0"/>
            </w:tcBorders>
            <w:shd w:val="clear" w:color="auto" w:fill="auto"/>
            <w:vAlign w:val="center"/>
          </w:tcPr>
          <w:p w14:paraId="2B621332">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反映单个项目投资额度和管理费计提的合规性。</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1BB18">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《青岛市科技创业孵化财政资金股权投资运行管理办法（试行）》（青科创委办字〔</w:t>
            </w:r>
            <w:r>
              <w:rPr>
                <w:rFonts w:hint="eastAsia" w:ascii="仿宋_GB2312" w:hAnsi="仿宋_GB2312" w:eastAsia="仿宋_GB2312" w:cs="仿宋_GB2312"/>
                <w:i w:val="0"/>
                <w:iCs w:val="0"/>
                <w:color w:val="000000"/>
                <w:kern w:val="0"/>
                <w:sz w:val="24"/>
                <w:szCs w:val="24"/>
                <w:u w:val="none"/>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p>
        </w:tc>
      </w:tr>
      <w:tr w14:paraId="5DB6F8DB">
        <w:tblPrEx>
          <w:tblCellMar>
            <w:top w:w="0" w:type="dxa"/>
            <w:left w:w="108" w:type="dxa"/>
            <w:bottom w:w="0" w:type="dxa"/>
            <w:right w:w="108" w:type="dxa"/>
          </w:tblCellMar>
        </w:tblPrEx>
        <w:trPr>
          <w:trHeight w:val="747" w:hRule="atLeast"/>
        </w:trPr>
        <w:tc>
          <w:tcPr>
            <w:tcW w:w="465" w:type="pct"/>
            <w:vMerge w:val="restart"/>
            <w:tcBorders>
              <w:top w:val="single" w:color="auto" w:sz="4" w:space="0"/>
              <w:left w:val="single" w:color="auto" w:sz="4" w:space="0"/>
              <w:right w:val="single" w:color="000000" w:sz="4" w:space="0"/>
            </w:tcBorders>
            <w:shd w:val="clear" w:color="auto" w:fill="auto"/>
            <w:vAlign w:val="center"/>
          </w:tcPr>
          <w:p w14:paraId="182FEC3F">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效益指标</w:t>
            </w:r>
          </w:p>
        </w:tc>
        <w:tc>
          <w:tcPr>
            <w:tcW w:w="487" w:type="pct"/>
            <w:vMerge w:val="restart"/>
            <w:tcBorders>
              <w:top w:val="single" w:color="auto" w:sz="4" w:space="0"/>
              <w:left w:val="single" w:color="000000" w:sz="4" w:space="0"/>
              <w:right w:val="single" w:color="000000" w:sz="4" w:space="0"/>
            </w:tcBorders>
            <w:shd w:val="clear" w:color="auto" w:fill="auto"/>
            <w:vAlign w:val="center"/>
          </w:tcPr>
          <w:p w14:paraId="5513A1D6">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经济效益</w:t>
            </w:r>
          </w:p>
        </w:tc>
        <w:tc>
          <w:tcPr>
            <w:tcW w:w="688" w:type="pct"/>
            <w:tcBorders>
              <w:top w:val="single" w:color="auto" w:sz="4" w:space="0"/>
              <w:left w:val="single" w:color="000000" w:sz="4" w:space="0"/>
              <w:bottom w:val="single" w:color="auto" w:sz="4" w:space="0"/>
              <w:right w:val="single" w:color="auto" w:sz="4" w:space="0"/>
            </w:tcBorders>
            <w:shd w:val="clear" w:color="auto" w:fill="auto"/>
            <w:vAlign w:val="center"/>
          </w:tcPr>
          <w:p w14:paraId="0CC33428">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highlight w:val="none"/>
                <w:u w:val="none"/>
                <w:lang w:val="en-US" w:eastAsia="zh-CN"/>
              </w:rPr>
              <w:t>被投企业营业收入增长情况</w:t>
            </w:r>
          </w:p>
        </w:tc>
        <w:tc>
          <w:tcPr>
            <w:tcW w:w="1403" w:type="pct"/>
            <w:tcBorders>
              <w:top w:val="single" w:color="000000" w:sz="4" w:space="0"/>
              <w:left w:val="single" w:color="auto" w:sz="4" w:space="0"/>
              <w:bottom w:val="single" w:color="000000" w:sz="4" w:space="0"/>
              <w:right w:val="single" w:color="000000" w:sz="4" w:space="0"/>
            </w:tcBorders>
            <w:shd w:val="clear" w:color="auto" w:fill="auto"/>
            <w:vAlign w:val="center"/>
          </w:tcPr>
          <w:p w14:paraId="78CB1894">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2"/>
                <w:sz w:val="24"/>
                <w:szCs w:val="24"/>
                <w:highlight w:val="none"/>
                <w:u w:val="none"/>
                <w:lang w:val="en-US" w:eastAsia="zh-CN" w:bidi="ar-SA"/>
              </w:rPr>
            </w:pPr>
            <w:r>
              <w:rPr>
                <w:rFonts w:hint="default" w:ascii="仿宋_GB2312" w:hAnsi="宋体" w:eastAsia="仿宋_GB2312" w:cs="仿宋_GB2312"/>
                <w:i w:val="0"/>
                <w:iCs w:val="0"/>
                <w:color w:val="000000"/>
                <w:kern w:val="0"/>
                <w:sz w:val="24"/>
                <w:szCs w:val="24"/>
                <w:highlight w:val="none"/>
                <w:u w:val="none"/>
                <w:lang w:val="en-US" w:eastAsia="zh-CN" w:bidi="ar"/>
              </w:rPr>
              <w:t>反映</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硕果金</w:t>
            </w:r>
            <w:r>
              <w:rPr>
                <w:rFonts w:hint="eastAsia" w:ascii="仿宋_GB2312" w:hAnsi="仿宋_GB2312" w:eastAsia="仿宋_GB2312" w:cs="仿宋_GB2312"/>
                <w:color w:val="000000"/>
                <w:sz w:val="24"/>
                <w:lang w:eastAsia="zh-CN"/>
              </w:rPr>
              <w:t>”</w:t>
            </w:r>
            <w:r>
              <w:rPr>
                <w:rFonts w:hint="default" w:ascii="仿宋_GB2312" w:hAnsi="宋体" w:eastAsia="仿宋_GB2312" w:cs="仿宋_GB2312"/>
                <w:i w:val="0"/>
                <w:iCs w:val="0"/>
                <w:color w:val="000000"/>
                <w:kern w:val="0"/>
                <w:sz w:val="24"/>
                <w:szCs w:val="24"/>
                <w:highlight w:val="none"/>
                <w:u w:val="none"/>
                <w:lang w:val="en-US" w:eastAsia="zh-CN" w:bidi="ar"/>
              </w:rPr>
              <w:t>股权投资对科创企业</w:t>
            </w:r>
            <w:r>
              <w:rPr>
                <w:rFonts w:hint="eastAsia" w:ascii="仿宋_GB2312" w:hAnsi="宋体" w:eastAsia="仿宋_GB2312" w:cs="仿宋_GB2312"/>
                <w:i w:val="0"/>
                <w:iCs w:val="0"/>
                <w:color w:val="000000"/>
                <w:kern w:val="0"/>
                <w:sz w:val="24"/>
                <w:szCs w:val="24"/>
                <w:highlight w:val="none"/>
                <w:u w:val="none"/>
                <w:lang w:val="en-US" w:eastAsia="zh-CN" w:bidi="ar"/>
              </w:rPr>
              <w:t>营业收入促进</w:t>
            </w:r>
            <w:r>
              <w:rPr>
                <w:rFonts w:hint="default" w:ascii="仿宋_GB2312" w:hAnsi="宋体" w:eastAsia="仿宋_GB2312" w:cs="仿宋_GB2312"/>
                <w:i w:val="0"/>
                <w:iCs w:val="0"/>
                <w:color w:val="000000"/>
                <w:kern w:val="0"/>
                <w:sz w:val="24"/>
                <w:szCs w:val="24"/>
                <w:highlight w:val="none"/>
                <w:u w:val="none"/>
                <w:lang w:val="en-US" w:eastAsia="zh-CN" w:bidi="ar"/>
              </w:rPr>
              <w:t>情况。</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61A0F">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营业收入：参照《青岛市标杆孵化器管理办法》（青科规〔2022〕3号）</w:t>
            </w:r>
          </w:p>
        </w:tc>
      </w:tr>
      <w:tr w14:paraId="371216CF">
        <w:tblPrEx>
          <w:tblCellMar>
            <w:top w:w="0" w:type="dxa"/>
            <w:left w:w="108" w:type="dxa"/>
            <w:bottom w:w="0" w:type="dxa"/>
            <w:right w:w="108" w:type="dxa"/>
          </w:tblCellMar>
        </w:tblPrEx>
        <w:trPr>
          <w:trHeight w:val="747" w:hRule="atLeast"/>
        </w:trPr>
        <w:tc>
          <w:tcPr>
            <w:tcW w:w="465" w:type="pct"/>
            <w:vMerge w:val="continue"/>
            <w:tcBorders>
              <w:left w:val="single" w:color="auto" w:sz="4" w:space="0"/>
              <w:right w:val="single" w:color="000000" w:sz="4" w:space="0"/>
            </w:tcBorders>
            <w:shd w:val="clear" w:color="auto" w:fill="auto"/>
            <w:vAlign w:val="center"/>
          </w:tcPr>
          <w:p w14:paraId="140117EE">
            <w:pPr>
              <w:widowControl/>
              <w:jc w:val="center"/>
              <w:textAlignment w:val="center"/>
              <w:rPr>
                <w:rFonts w:hint="eastAsia" w:ascii="仿宋_GB2312" w:hAnsi="仿宋_GB2312" w:eastAsia="仿宋_GB2312" w:cs="仿宋_GB2312"/>
                <w:color w:val="000000"/>
                <w:sz w:val="24"/>
              </w:rPr>
            </w:pPr>
          </w:p>
        </w:tc>
        <w:tc>
          <w:tcPr>
            <w:tcW w:w="487" w:type="pct"/>
            <w:vMerge w:val="continue"/>
            <w:tcBorders>
              <w:left w:val="single" w:color="000000" w:sz="4" w:space="0"/>
              <w:right w:val="single" w:color="000000" w:sz="4" w:space="0"/>
            </w:tcBorders>
            <w:shd w:val="clear" w:color="auto" w:fill="auto"/>
            <w:vAlign w:val="center"/>
          </w:tcPr>
          <w:p w14:paraId="05FE1ED1">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color w:val="000000"/>
                <w:sz w:val="24"/>
              </w:rPr>
            </w:pPr>
          </w:p>
        </w:tc>
        <w:tc>
          <w:tcPr>
            <w:tcW w:w="688" w:type="pct"/>
            <w:tcBorders>
              <w:top w:val="single" w:color="auto" w:sz="4" w:space="0"/>
              <w:left w:val="single" w:color="000000" w:sz="4" w:space="0"/>
              <w:bottom w:val="single" w:color="auto" w:sz="4" w:space="0"/>
              <w:right w:val="single" w:color="auto" w:sz="4" w:space="0"/>
            </w:tcBorders>
            <w:shd w:val="clear" w:color="auto" w:fill="auto"/>
            <w:vAlign w:val="center"/>
          </w:tcPr>
          <w:p w14:paraId="1F0A4B7A">
            <w:pPr>
              <w:keepNext w:val="0"/>
              <w:keepLines w:val="0"/>
              <w:widowControl/>
              <w:suppressLineNumbers w:val="0"/>
              <w:ind w:left="0" w:leftChars="0" w:right="0" w:rightChars="0"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被投企业</w:t>
            </w:r>
            <w:r>
              <w:rPr>
                <w:rFonts w:hint="eastAsia" w:ascii="仿宋_GB2312" w:hAnsi="宋体" w:eastAsia="仿宋_GB2312" w:cs="仿宋_GB2312"/>
                <w:i w:val="0"/>
                <w:iCs w:val="0"/>
                <w:color w:val="000000"/>
                <w:kern w:val="0"/>
                <w:sz w:val="24"/>
                <w:szCs w:val="24"/>
                <w:u w:val="none"/>
                <w:lang w:val="en-US" w:eastAsia="zh-CN" w:bidi="ar"/>
              </w:rPr>
              <w:t>获得</w:t>
            </w:r>
            <w:r>
              <w:rPr>
                <w:rFonts w:hint="default" w:ascii="仿宋_GB2312" w:hAnsi="宋体" w:eastAsia="仿宋_GB2312" w:cs="仿宋_GB2312"/>
                <w:i w:val="0"/>
                <w:iCs w:val="0"/>
                <w:color w:val="000000"/>
                <w:kern w:val="0"/>
                <w:sz w:val="24"/>
                <w:szCs w:val="24"/>
                <w:u w:val="none"/>
                <w:lang w:val="en-US" w:eastAsia="zh-CN" w:bidi="ar"/>
              </w:rPr>
              <w:t>融资情况</w:t>
            </w:r>
          </w:p>
        </w:tc>
        <w:tc>
          <w:tcPr>
            <w:tcW w:w="1403" w:type="pct"/>
            <w:tcBorders>
              <w:top w:val="single" w:color="000000" w:sz="4" w:space="0"/>
              <w:left w:val="single" w:color="auto" w:sz="4" w:space="0"/>
              <w:bottom w:val="single" w:color="000000" w:sz="4" w:space="0"/>
              <w:right w:val="single" w:color="000000" w:sz="4" w:space="0"/>
            </w:tcBorders>
            <w:shd w:val="clear" w:color="auto" w:fill="auto"/>
            <w:vAlign w:val="center"/>
          </w:tcPr>
          <w:p w14:paraId="798BFC1C">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反映</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硕果金</w:t>
            </w:r>
            <w:r>
              <w:rPr>
                <w:rFonts w:hint="eastAsia" w:ascii="仿宋_GB2312" w:hAnsi="仿宋_GB2312" w:eastAsia="仿宋_GB2312" w:cs="仿宋_GB2312"/>
                <w:color w:val="000000"/>
                <w:sz w:val="24"/>
                <w:lang w:eastAsia="zh-CN"/>
              </w:rPr>
              <w:t>”</w:t>
            </w:r>
            <w:r>
              <w:rPr>
                <w:rFonts w:hint="default" w:ascii="仿宋_GB2312" w:hAnsi="宋体" w:eastAsia="仿宋_GB2312" w:cs="仿宋_GB2312"/>
                <w:i w:val="0"/>
                <w:iCs w:val="0"/>
                <w:color w:val="000000"/>
                <w:kern w:val="0"/>
                <w:sz w:val="24"/>
                <w:szCs w:val="24"/>
                <w:u w:val="none"/>
                <w:lang w:val="en-US" w:eastAsia="zh-CN" w:bidi="ar"/>
              </w:rPr>
              <w:t>股权投资对科创企业</w:t>
            </w:r>
            <w:r>
              <w:rPr>
                <w:rFonts w:hint="eastAsia" w:ascii="仿宋_GB2312" w:hAnsi="宋体" w:eastAsia="仿宋_GB2312" w:cs="仿宋_GB2312"/>
                <w:i w:val="0"/>
                <w:iCs w:val="0"/>
                <w:color w:val="000000"/>
                <w:kern w:val="0"/>
                <w:sz w:val="24"/>
                <w:szCs w:val="24"/>
                <w:u w:val="none"/>
                <w:lang w:val="en-US" w:eastAsia="zh-CN" w:bidi="ar"/>
              </w:rPr>
              <w:t>融资</w:t>
            </w:r>
            <w:r>
              <w:rPr>
                <w:rFonts w:hint="default" w:ascii="仿宋_GB2312" w:hAnsi="宋体" w:eastAsia="仿宋_GB2312" w:cs="仿宋_GB2312"/>
                <w:i w:val="0"/>
                <w:iCs w:val="0"/>
                <w:color w:val="000000"/>
                <w:kern w:val="0"/>
                <w:sz w:val="24"/>
                <w:szCs w:val="24"/>
                <w:u w:val="none"/>
                <w:lang w:val="en-US" w:eastAsia="zh-CN" w:bidi="ar"/>
              </w:rPr>
              <w:t>赋能情况。</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CA1C0">
            <w:pPr>
              <w:keepNext w:val="0"/>
              <w:keepLines w:val="0"/>
              <w:widowControl/>
              <w:suppressLineNumbers w:val="0"/>
              <w:ind w:left="0" w:leftChars="0" w:right="0" w:rightChars="0" w:firstLine="0" w:firstLineChars="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获得</w:t>
            </w:r>
            <w:r>
              <w:rPr>
                <w:rFonts w:hint="default" w:ascii="仿宋_GB2312" w:hAnsi="宋体" w:eastAsia="仿宋_GB2312" w:cs="仿宋_GB2312"/>
                <w:i w:val="0"/>
                <w:iCs w:val="0"/>
                <w:color w:val="000000"/>
                <w:kern w:val="0"/>
                <w:sz w:val="24"/>
                <w:szCs w:val="24"/>
                <w:u w:val="none"/>
                <w:lang w:val="en-US" w:eastAsia="zh-CN" w:bidi="ar"/>
              </w:rPr>
              <w:t>融资企业</w:t>
            </w:r>
            <w:r>
              <w:rPr>
                <w:rFonts w:hint="eastAsia" w:ascii="仿宋_GB2312" w:hAnsi="宋体" w:eastAsia="仿宋_GB2312" w:cs="仿宋_GB2312"/>
                <w:i w:val="0"/>
                <w:iCs w:val="0"/>
                <w:color w:val="000000"/>
                <w:kern w:val="0"/>
                <w:sz w:val="24"/>
                <w:szCs w:val="24"/>
                <w:u w:val="none"/>
                <w:lang w:val="en-US" w:eastAsia="zh-CN" w:bidi="ar"/>
              </w:rPr>
              <w:t>：参照《青岛市标杆孵化器管理办法》（青科规〔2022〕3号）</w:t>
            </w:r>
          </w:p>
        </w:tc>
      </w:tr>
      <w:tr w14:paraId="0064A428">
        <w:tblPrEx>
          <w:tblCellMar>
            <w:top w:w="0" w:type="dxa"/>
            <w:left w:w="108" w:type="dxa"/>
            <w:bottom w:w="0" w:type="dxa"/>
            <w:right w:w="108" w:type="dxa"/>
          </w:tblCellMar>
        </w:tblPrEx>
        <w:trPr>
          <w:trHeight w:val="747" w:hRule="atLeast"/>
        </w:trPr>
        <w:tc>
          <w:tcPr>
            <w:tcW w:w="465" w:type="pct"/>
            <w:vMerge w:val="continue"/>
            <w:tcBorders>
              <w:left w:val="single" w:color="auto" w:sz="4" w:space="0"/>
              <w:right w:val="single" w:color="000000" w:sz="4" w:space="0"/>
            </w:tcBorders>
            <w:shd w:val="clear" w:color="auto" w:fill="auto"/>
            <w:vAlign w:val="center"/>
          </w:tcPr>
          <w:p w14:paraId="3EF6B704">
            <w:pPr>
              <w:widowControl/>
              <w:jc w:val="center"/>
              <w:textAlignment w:val="center"/>
              <w:rPr>
                <w:rFonts w:ascii="仿宋_GB2312" w:hAnsi="仿宋_GB2312" w:eastAsia="仿宋_GB2312" w:cs="仿宋_GB2312"/>
                <w:color w:val="000000"/>
                <w:sz w:val="24"/>
              </w:rPr>
            </w:pPr>
          </w:p>
        </w:tc>
        <w:tc>
          <w:tcPr>
            <w:tcW w:w="487" w:type="pct"/>
            <w:vMerge w:val="restart"/>
            <w:tcBorders>
              <w:top w:val="single" w:color="auto" w:sz="4" w:space="0"/>
              <w:left w:val="single" w:color="000000" w:sz="4" w:space="0"/>
              <w:right w:val="single" w:color="000000" w:sz="4" w:space="0"/>
            </w:tcBorders>
            <w:shd w:val="clear" w:color="auto" w:fill="auto"/>
            <w:vAlign w:val="center"/>
          </w:tcPr>
          <w:p w14:paraId="5B1D8FE1">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社会效益指标</w:t>
            </w:r>
          </w:p>
        </w:tc>
        <w:tc>
          <w:tcPr>
            <w:tcW w:w="688" w:type="pct"/>
            <w:tcBorders>
              <w:top w:val="single" w:color="auto" w:sz="4" w:space="0"/>
              <w:left w:val="single" w:color="000000" w:sz="4" w:space="0"/>
              <w:bottom w:val="single" w:color="auto" w:sz="4" w:space="0"/>
              <w:right w:val="single" w:color="auto" w:sz="4" w:space="0"/>
            </w:tcBorders>
            <w:shd w:val="clear" w:color="auto" w:fill="auto"/>
            <w:vAlign w:val="center"/>
          </w:tcPr>
          <w:p w14:paraId="5874F2B9">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被投企业研发投入强度</w:t>
            </w:r>
          </w:p>
        </w:tc>
        <w:tc>
          <w:tcPr>
            <w:tcW w:w="1403" w:type="pct"/>
            <w:tcBorders>
              <w:top w:val="single" w:color="000000" w:sz="4" w:space="0"/>
              <w:left w:val="single" w:color="auto" w:sz="4" w:space="0"/>
              <w:bottom w:val="single" w:color="000000" w:sz="4" w:space="0"/>
              <w:right w:val="single" w:color="000000" w:sz="4" w:space="0"/>
            </w:tcBorders>
            <w:shd w:val="clear" w:color="auto" w:fill="auto"/>
            <w:vAlign w:val="center"/>
          </w:tcPr>
          <w:p w14:paraId="5D28CAE6">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综合衡量采用二选一评价模式，区分企业不同发展阶段核算研发投入强度，客观衡量企业创新资源投入力度。</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703F">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研发费用占成本费用支出比例≥</w:t>
            </w:r>
            <w:r>
              <w:rPr>
                <w:rFonts w:hint="eastAsia" w:ascii="仿宋_GB2312" w:hAnsi="仿宋_GB2312" w:eastAsia="仿宋_GB2312" w:cs="仿宋_GB2312"/>
                <w:i w:val="0"/>
                <w:iCs w:val="0"/>
                <w:color w:val="000000"/>
                <w:kern w:val="0"/>
                <w:sz w:val="24"/>
                <w:szCs w:val="24"/>
                <w:u w:val="none"/>
                <w:lang w:val="en-US" w:eastAsia="zh-CN" w:bidi="ar"/>
              </w:rPr>
              <w:t>30</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研发费用占营业收入比例≥</w:t>
            </w:r>
            <w:r>
              <w:rPr>
                <w:rFonts w:hint="eastAsia" w:ascii="仿宋_GB2312" w:hAnsi="仿宋_GB2312" w:eastAsia="仿宋_GB2312" w:cs="仿宋_GB2312"/>
                <w:i w:val="0"/>
                <w:iCs w:val="0"/>
                <w:color w:val="000000"/>
                <w:kern w:val="0"/>
                <w:sz w:val="24"/>
                <w:szCs w:val="24"/>
                <w:u w:val="none"/>
                <w:lang w:val="en-US" w:eastAsia="zh-CN" w:bidi="ar"/>
              </w:rPr>
              <w:t>6</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参照《科技部财政部国家税务总局关于印发&lt;科技型中小企业评价办法&gt;的通知》（国科发政〔</w:t>
            </w:r>
            <w:r>
              <w:rPr>
                <w:rFonts w:hint="eastAsia" w:ascii="仿宋_GB2312" w:hAnsi="仿宋_GB2312" w:eastAsia="仿宋_GB2312" w:cs="仿宋_GB2312"/>
                <w:i w:val="0"/>
                <w:iCs w:val="0"/>
                <w:color w:val="000000"/>
                <w:kern w:val="0"/>
                <w:sz w:val="24"/>
                <w:szCs w:val="24"/>
                <w:u w:val="none"/>
                <w:lang w:val="en-US" w:eastAsia="zh-CN" w:bidi="ar"/>
              </w:rPr>
              <w:t>2017</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115</w:t>
            </w:r>
            <w:r>
              <w:rPr>
                <w:rFonts w:hint="default" w:ascii="仿宋_GB2312" w:hAnsi="宋体" w:eastAsia="仿宋_GB2312" w:cs="仿宋_GB2312"/>
                <w:i w:val="0"/>
                <w:iCs w:val="0"/>
                <w:color w:val="000000"/>
                <w:kern w:val="0"/>
                <w:sz w:val="24"/>
                <w:szCs w:val="24"/>
                <w:u w:val="none"/>
                <w:lang w:val="en-US" w:eastAsia="zh-CN" w:bidi="ar"/>
              </w:rPr>
              <w:t>号）</w:t>
            </w:r>
          </w:p>
        </w:tc>
      </w:tr>
      <w:tr w14:paraId="5505022D">
        <w:tblPrEx>
          <w:tblCellMar>
            <w:top w:w="0" w:type="dxa"/>
            <w:left w:w="108" w:type="dxa"/>
            <w:bottom w:w="0" w:type="dxa"/>
            <w:right w:w="108" w:type="dxa"/>
          </w:tblCellMar>
        </w:tblPrEx>
        <w:trPr>
          <w:trHeight w:val="761" w:hRule="atLeast"/>
        </w:trPr>
        <w:tc>
          <w:tcPr>
            <w:tcW w:w="465" w:type="pct"/>
            <w:vMerge w:val="continue"/>
            <w:tcBorders>
              <w:left w:val="single" w:color="auto" w:sz="4" w:space="0"/>
              <w:bottom w:val="single" w:color="000000" w:sz="4" w:space="0"/>
              <w:right w:val="single" w:color="000000" w:sz="4" w:space="0"/>
            </w:tcBorders>
            <w:shd w:val="clear" w:color="auto" w:fill="auto"/>
            <w:vAlign w:val="center"/>
          </w:tcPr>
          <w:p w14:paraId="5B77C006">
            <w:pPr>
              <w:widowControl/>
              <w:jc w:val="center"/>
              <w:textAlignment w:val="center"/>
              <w:rPr>
                <w:rFonts w:ascii="仿宋_GB2312" w:hAnsi="仿宋_GB2312" w:eastAsia="仿宋_GB2312" w:cs="仿宋_GB2312"/>
                <w:color w:val="000000"/>
                <w:sz w:val="24"/>
              </w:rPr>
            </w:pPr>
          </w:p>
        </w:tc>
        <w:tc>
          <w:tcPr>
            <w:tcW w:w="487" w:type="pct"/>
            <w:vMerge w:val="continue"/>
            <w:tcBorders>
              <w:left w:val="single" w:color="000000" w:sz="4" w:space="0"/>
              <w:bottom w:val="single" w:color="000000" w:sz="4" w:space="0"/>
              <w:right w:val="single" w:color="000000" w:sz="4" w:space="0"/>
            </w:tcBorders>
            <w:shd w:val="clear" w:color="auto" w:fill="auto"/>
            <w:vAlign w:val="center"/>
          </w:tcPr>
          <w:p w14:paraId="5FB601D6">
            <w:pPr>
              <w:widowControl/>
              <w:jc w:val="center"/>
              <w:textAlignment w:val="center"/>
              <w:rPr>
                <w:rFonts w:ascii="仿宋_GB2312" w:hAnsi="仿宋_GB2312" w:eastAsia="仿宋_GB2312" w:cs="仿宋_GB2312"/>
                <w:color w:val="000000"/>
                <w:sz w:val="24"/>
              </w:rPr>
            </w:pPr>
          </w:p>
        </w:tc>
        <w:tc>
          <w:tcPr>
            <w:tcW w:w="688" w:type="pct"/>
            <w:tcBorders>
              <w:top w:val="single" w:color="auto" w:sz="4" w:space="0"/>
              <w:left w:val="single" w:color="000000" w:sz="4" w:space="0"/>
              <w:bottom w:val="single" w:color="000000" w:sz="4" w:space="0"/>
              <w:right w:val="single" w:color="000000" w:sz="4" w:space="0"/>
            </w:tcBorders>
            <w:shd w:val="clear" w:color="auto" w:fill="auto"/>
            <w:vAlign w:val="center"/>
          </w:tcPr>
          <w:p w14:paraId="0967F18F">
            <w:pPr>
              <w:keepNext w:val="0"/>
              <w:keepLines w:val="0"/>
              <w:widowControl/>
              <w:suppressLineNumbers w:val="0"/>
              <w:jc w:val="center"/>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科技成果转化落地情况</w:t>
            </w:r>
          </w:p>
        </w:tc>
        <w:tc>
          <w:tcPr>
            <w:tcW w:w="1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4D3E">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衡量获投企业科技成果</w:t>
            </w:r>
            <w:r>
              <w:rPr>
                <w:rFonts w:hint="eastAsia" w:ascii="仿宋_GB2312" w:hAnsi="宋体" w:eastAsia="仿宋_GB2312" w:cs="仿宋_GB2312"/>
                <w:i w:val="0"/>
                <w:iCs w:val="0"/>
                <w:color w:val="000000"/>
                <w:kern w:val="0"/>
                <w:sz w:val="24"/>
                <w:szCs w:val="24"/>
                <w:u w:val="none"/>
                <w:lang w:val="en-US" w:eastAsia="zh-CN" w:bidi="ar"/>
              </w:rPr>
              <w:t>转化</w:t>
            </w:r>
            <w:r>
              <w:rPr>
                <w:rFonts w:hint="default" w:ascii="仿宋_GB2312" w:hAnsi="宋体" w:eastAsia="仿宋_GB2312" w:cs="仿宋_GB2312"/>
                <w:i w:val="0"/>
                <w:iCs w:val="0"/>
                <w:color w:val="000000"/>
                <w:kern w:val="0"/>
                <w:sz w:val="24"/>
                <w:szCs w:val="24"/>
                <w:u w:val="none"/>
                <w:lang w:val="en-US" w:eastAsia="zh-CN" w:bidi="ar"/>
              </w:rPr>
              <w:t>实效，体现政策对科技成果转移转化的推动作用。</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8FF6">
            <w:pPr>
              <w:keepNext w:val="0"/>
              <w:keepLines w:val="0"/>
              <w:widowControl/>
              <w:suppressLineNumbers w:val="0"/>
              <w:jc w:val="both"/>
              <w:textAlignment w:val="center"/>
              <w:rPr>
                <w:rFonts w:hint="eastAsia" w:ascii="仿宋_GB2312" w:hAnsi="仿宋_GB2312" w:eastAsia="仿宋_GB2312" w:cs="仿宋_GB2312"/>
                <w:color w:val="000000"/>
                <w:sz w:val="24"/>
              </w:rPr>
            </w:pPr>
            <w:r>
              <w:rPr>
                <w:rFonts w:hint="default" w:ascii="仿宋_GB2312" w:hAnsi="宋体" w:eastAsia="仿宋_GB2312" w:cs="仿宋_GB2312"/>
                <w:i w:val="0"/>
                <w:iCs w:val="0"/>
                <w:color w:val="000000"/>
                <w:kern w:val="0"/>
                <w:sz w:val="24"/>
                <w:szCs w:val="24"/>
                <w:u w:val="none"/>
                <w:lang w:val="en-US" w:eastAsia="zh-CN" w:bidi="ar"/>
              </w:rPr>
              <w:t>《青岛市科技创业孵化财政资金股权投资运行管理办法（试行）》（青科创委办字〔</w:t>
            </w:r>
            <w:r>
              <w:rPr>
                <w:rFonts w:hint="eastAsia" w:ascii="仿宋_GB2312" w:hAnsi="仿宋_GB2312" w:eastAsia="仿宋_GB2312" w:cs="仿宋_GB2312"/>
                <w:i w:val="0"/>
                <w:iCs w:val="0"/>
                <w:color w:val="000000"/>
                <w:kern w:val="0"/>
                <w:sz w:val="24"/>
                <w:szCs w:val="24"/>
                <w:u w:val="none"/>
                <w:lang w:val="en-US" w:eastAsia="zh-CN" w:bidi="ar"/>
              </w:rPr>
              <w:t>2022</w:t>
            </w:r>
            <w:r>
              <w:rPr>
                <w:rFonts w:hint="default" w:ascii="仿宋_GB2312" w:hAnsi="宋体" w:eastAsia="仿宋_GB2312" w:cs="仿宋_GB2312"/>
                <w:i w:val="0"/>
                <w:iCs w:val="0"/>
                <w:color w:val="000000"/>
                <w:kern w:val="0"/>
                <w:sz w:val="24"/>
                <w:szCs w:val="24"/>
                <w:u w:val="none"/>
                <w:lang w:val="en-US" w:eastAsia="zh-CN" w:bidi="ar"/>
              </w:rPr>
              <w:t>〕</w:t>
            </w:r>
            <w:r>
              <w:rPr>
                <w:rFonts w:hint="eastAsia" w:ascii="仿宋_GB2312" w:hAnsi="仿宋_GB2312" w:eastAsia="仿宋_GB2312" w:cs="仿宋_GB2312"/>
                <w:i w:val="0"/>
                <w:iCs w:val="0"/>
                <w:color w:val="000000"/>
                <w:kern w:val="0"/>
                <w:sz w:val="24"/>
                <w:szCs w:val="24"/>
                <w:u w:val="none"/>
                <w:lang w:val="en-US" w:eastAsia="zh-CN" w:bidi="ar"/>
              </w:rPr>
              <w:t>1</w:t>
            </w:r>
            <w:r>
              <w:rPr>
                <w:rFonts w:hint="default" w:ascii="仿宋_GB2312" w:hAnsi="宋体" w:eastAsia="仿宋_GB2312" w:cs="仿宋_GB2312"/>
                <w:i w:val="0"/>
                <w:iCs w:val="0"/>
                <w:color w:val="000000"/>
                <w:kern w:val="0"/>
                <w:sz w:val="24"/>
                <w:szCs w:val="24"/>
                <w:u w:val="none"/>
                <w:lang w:val="en-US" w:eastAsia="zh-CN" w:bidi="ar"/>
              </w:rPr>
              <w:t>号）</w:t>
            </w:r>
          </w:p>
        </w:tc>
      </w:tr>
    </w:tbl>
    <w:p w14:paraId="663F2045">
      <w:pPr>
        <w:bidi w:val="0"/>
        <w:rPr>
          <w:rFonts w:hint="eastAsia"/>
        </w:rPr>
        <w:sectPr>
          <w:footerReference r:id="rId8" w:type="default"/>
          <w:pgSz w:w="11906" w:h="16838"/>
          <w:pgMar w:top="1800" w:right="1440" w:bottom="1800" w:left="1440" w:header="851" w:footer="1361" w:gutter="0"/>
          <w:pgNumType w:fmt="decimal"/>
          <w:cols w:space="0" w:num="1"/>
          <w:docGrid w:linePitch="312" w:charSpace="0"/>
        </w:sectPr>
      </w:pPr>
    </w:p>
    <w:p w14:paraId="4F2F894C">
      <w:pPr>
        <w:spacing w:line="600" w:lineRule="exact"/>
        <w:jc w:val="left"/>
        <w:outlineLvl w:val="0"/>
        <w:rPr>
          <w:rFonts w:hint="eastAsia" w:ascii="黑体" w:hAnsi="黑体" w:eastAsia="黑体" w:cs="黑体"/>
          <w:sz w:val="32"/>
          <w:szCs w:val="32"/>
          <w:lang w:eastAsia="zh-CN"/>
        </w:rPr>
      </w:pPr>
      <w:bookmarkStart w:id="78" w:name="_Toc21966"/>
      <w:r>
        <w:rPr>
          <w:rFonts w:hint="default" w:ascii="黑体" w:hAnsi="黑体" w:eastAsia="黑体" w:cs="黑体"/>
          <w:sz w:val="32"/>
          <w:szCs w:val="32"/>
          <w:lang w:eastAsia="zh-CN"/>
        </w:rPr>
        <w:t>附</w:t>
      </w:r>
      <w:r>
        <w:rPr>
          <w:rFonts w:hint="eastAsia" w:ascii="黑体" w:hAnsi="黑体" w:eastAsia="黑体" w:cs="黑体"/>
          <w:sz w:val="32"/>
          <w:szCs w:val="32"/>
          <w:lang w:eastAsia="zh-CN"/>
        </w:rPr>
        <w:t>件</w:t>
      </w:r>
      <w:r>
        <w:rPr>
          <w:rFonts w:hint="eastAsia" w:ascii="黑体" w:hAnsi="黑体" w:eastAsia="黑体" w:cs="黑体"/>
          <w:sz w:val="32"/>
          <w:szCs w:val="32"/>
          <w:lang w:val="en-US" w:eastAsia="zh-CN"/>
        </w:rPr>
        <w:t>5</w:t>
      </w:r>
      <w:r>
        <w:rPr>
          <w:rFonts w:hint="eastAsia" w:ascii="黑体" w:hAnsi="黑体" w:eastAsia="黑体" w:cs="黑体"/>
          <w:sz w:val="32"/>
          <w:szCs w:val="32"/>
          <w:lang w:eastAsia="zh-CN"/>
        </w:rPr>
        <w:t>：</w:t>
      </w:r>
      <w:bookmarkEnd w:id="78"/>
    </w:p>
    <w:p w14:paraId="08AFBD48">
      <w:pPr>
        <w:spacing w:line="600" w:lineRule="exact"/>
        <w:jc w:val="center"/>
        <w:outlineLvl w:val="0"/>
        <w:rPr>
          <w:rFonts w:hint="eastAsia" w:ascii="Times New Roman Regular" w:hAnsi="Times New Roman Regular" w:eastAsia="方正小标宋简体" w:cs="Times New Roman Regular"/>
          <w:sz w:val="36"/>
          <w:szCs w:val="36"/>
        </w:rPr>
      </w:pPr>
      <w:bookmarkStart w:id="79" w:name="_Toc4292"/>
      <w:r>
        <w:rPr>
          <w:rFonts w:hint="eastAsia" w:ascii="Times New Roman Regular" w:hAnsi="Times New Roman Regular" w:eastAsia="方正小标宋简体" w:cs="Times New Roman Regular"/>
          <w:sz w:val="36"/>
          <w:szCs w:val="36"/>
          <w:lang w:eastAsia="zh-CN"/>
        </w:rPr>
        <w:t>科技创业孵化股权投资资金</w:t>
      </w:r>
      <w:r>
        <w:rPr>
          <w:rFonts w:hint="eastAsia" w:ascii="Times New Roman Regular" w:hAnsi="Times New Roman Regular" w:eastAsia="方正小标宋简体" w:cs="Times New Roman Regular"/>
          <w:sz w:val="36"/>
          <w:szCs w:val="36"/>
          <w:lang w:val="en-US" w:eastAsia="zh-CN"/>
        </w:rPr>
        <w:t>政策评价</w:t>
      </w:r>
      <w:r>
        <w:rPr>
          <w:rFonts w:hint="eastAsia" w:ascii="Times New Roman Regular" w:hAnsi="Times New Roman Regular" w:eastAsia="方正小标宋简体" w:cs="Times New Roman Regular"/>
          <w:sz w:val="36"/>
          <w:szCs w:val="36"/>
        </w:rPr>
        <w:t>人员分工表</w:t>
      </w:r>
      <w:bookmarkEnd w:id="79"/>
    </w:p>
    <w:tbl>
      <w:tblPr>
        <w:tblStyle w:val="1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759"/>
        <w:gridCol w:w="1515"/>
        <w:gridCol w:w="4985"/>
      </w:tblGrid>
      <w:tr w14:paraId="64BF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528" w:type="pct"/>
            <w:shd w:val="clear" w:color="auto" w:fill="BFBFBF"/>
            <w:vAlign w:val="center"/>
          </w:tcPr>
          <w:p w14:paraId="1909ABC9">
            <w:pPr>
              <w:widowControl/>
              <w:snapToGrid w:val="0"/>
              <w:spacing w:line="240" w:lineRule="auto"/>
              <w:ind w:firstLine="0" w:firstLineChars="0"/>
              <w:jc w:val="center"/>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姓名</w:t>
            </w:r>
          </w:p>
        </w:tc>
        <w:tc>
          <w:tcPr>
            <w:tcW w:w="952" w:type="pct"/>
            <w:shd w:val="clear" w:color="auto" w:fill="BFBFBF"/>
            <w:vAlign w:val="center"/>
          </w:tcPr>
          <w:p w14:paraId="29F72677">
            <w:pPr>
              <w:widowControl/>
              <w:snapToGrid w:val="0"/>
              <w:spacing w:line="240" w:lineRule="auto"/>
              <w:ind w:firstLine="0" w:firstLineChars="0"/>
              <w:jc w:val="center"/>
              <w:rPr>
                <w:rFonts w:hint="default" w:ascii="仿宋_GB2312" w:hAnsi="仿宋_GB2312" w:eastAsia="仿宋_GB2312" w:cs="仿宋_GB2312"/>
                <w:b/>
                <w:bCs/>
                <w:color w:val="000000"/>
                <w:kern w:val="0"/>
                <w:sz w:val="24"/>
                <w:szCs w:val="24"/>
                <w:lang w:val="en-US" w:eastAsia="zh-CN"/>
              </w:rPr>
            </w:pPr>
            <w:r>
              <w:rPr>
                <w:rFonts w:hint="eastAsia" w:ascii="仿宋_GB2312" w:hAnsi="仿宋_GB2312" w:eastAsia="仿宋_GB2312" w:cs="仿宋_GB2312"/>
                <w:b/>
                <w:bCs/>
                <w:color w:val="000000"/>
                <w:kern w:val="0"/>
                <w:sz w:val="24"/>
                <w:szCs w:val="24"/>
                <w:lang w:val="en-US" w:eastAsia="zh-CN"/>
              </w:rPr>
              <w:t>职称/职务</w:t>
            </w:r>
          </w:p>
        </w:tc>
        <w:tc>
          <w:tcPr>
            <w:tcW w:w="820" w:type="pct"/>
            <w:shd w:val="clear" w:color="auto" w:fill="BFBFBF"/>
            <w:vAlign w:val="center"/>
          </w:tcPr>
          <w:p w14:paraId="6D0062C6">
            <w:pPr>
              <w:widowControl/>
              <w:snapToGrid w:val="0"/>
              <w:spacing w:line="240" w:lineRule="auto"/>
              <w:ind w:firstLine="0" w:firstLineChars="0"/>
              <w:jc w:val="center"/>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项目角色</w:t>
            </w:r>
          </w:p>
        </w:tc>
        <w:tc>
          <w:tcPr>
            <w:tcW w:w="2698" w:type="pct"/>
            <w:shd w:val="clear" w:color="auto" w:fill="BFBFBF"/>
            <w:vAlign w:val="center"/>
          </w:tcPr>
          <w:p w14:paraId="6ECE891B">
            <w:pPr>
              <w:widowControl/>
              <w:snapToGrid w:val="0"/>
              <w:spacing w:line="240" w:lineRule="auto"/>
              <w:ind w:firstLine="0" w:firstLineChars="0"/>
              <w:jc w:val="center"/>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工作职责</w:t>
            </w:r>
          </w:p>
        </w:tc>
      </w:tr>
      <w:tr w14:paraId="4DBD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528" w:type="pct"/>
            <w:vAlign w:val="center"/>
          </w:tcPr>
          <w:p w14:paraId="309BCF56">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秦婷</w:t>
            </w:r>
          </w:p>
        </w:tc>
        <w:tc>
          <w:tcPr>
            <w:tcW w:w="952" w:type="pct"/>
            <w:vAlign w:val="center"/>
          </w:tcPr>
          <w:p w14:paraId="709E958B">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注册会计师</w:t>
            </w:r>
          </w:p>
          <w:p w14:paraId="3F323A5E">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高级会计师</w:t>
            </w:r>
          </w:p>
          <w:p w14:paraId="6016EEAC">
            <w:pPr>
              <w:widowControl/>
              <w:snapToGrid w:val="0"/>
              <w:spacing w:line="240" w:lineRule="auto"/>
              <w:ind w:firstLine="0" w:firstLineChars="0"/>
              <w:jc w:val="center"/>
              <w:rPr>
                <w:rFonts w:hint="default" w:eastAsia="仿宋_GB2312"/>
                <w:kern w:val="0"/>
                <w:sz w:val="24"/>
                <w:szCs w:val="24"/>
                <w:lang w:val="en-US" w:eastAsia="zh-CN"/>
              </w:rPr>
            </w:pPr>
            <w:r>
              <w:rPr>
                <w:rFonts w:hint="eastAsia" w:eastAsia="仿宋_GB2312"/>
                <w:kern w:val="0"/>
                <w:sz w:val="24"/>
                <w:szCs w:val="24"/>
                <w:lang w:val="en-US" w:eastAsia="zh-CN"/>
              </w:rPr>
              <w:t>注册税务师</w:t>
            </w:r>
          </w:p>
        </w:tc>
        <w:tc>
          <w:tcPr>
            <w:tcW w:w="820" w:type="pct"/>
            <w:vAlign w:val="center"/>
          </w:tcPr>
          <w:p w14:paraId="7668FA42">
            <w:pPr>
              <w:widowControl/>
              <w:snapToGrid w:val="0"/>
              <w:spacing w:line="240" w:lineRule="auto"/>
              <w:ind w:firstLine="0" w:firstLineChars="0"/>
              <w:jc w:val="center"/>
              <w:rPr>
                <w:rFonts w:hint="default" w:eastAsia="仿宋_GB2312"/>
                <w:kern w:val="0"/>
                <w:sz w:val="24"/>
                <w:szCs w:val="24"/>
                <w:lang w:val="en-US" w:eastAsia="zh-CN"/>
              </w:rPr>
            </w:pPr>
            <w:r>
              <w:rPr>
                <w:rFonts w:hint="eastAsia" w:eastAsia="仿宋_GB2312"/>
                <w:kern w:val="0"/>
                <w:sz w:val="24"/>
                <w:szCs w:val="24"/>
                <w:lang w:val="en-US" w:eastAsia="zh-CN"/>
              </w:rPr>
              <w:t>项目主评人</w:t>
            </w:r>
          </w:p>
        </w:tc>
        <w:tc>
          <w:tcPr>
            <w:tcW w:w="2698" w:type="pct"/>
            <w:vMerge w:val="restart"/>
            <w:vAlign w:val="center"/>
          </w:tcPr>
          <w:p w14:paraId="1F5E6723">
            <w:pPr>
              <w:widowControl/>
              <w:snapToGrid w:val="0"/>
              <w:spacing w:line="240" w:lineRule="auto"/>
              <w:ind w:firstLine="0" w:firstLineChars="0"/>
              <w:jc w:val="left"/>
              <w:rPr>
                <w:rFonts w:eastAsia="仿宋_GB2312"/>
                <w:kern w:val="0"/>
                <w:sz w:val="24"/>
                <w:szCs w:val="24"/>
              </w:rPr>
            </w:pPr>
            <w:r>
              <w:rPr>
                <w:rFonts w:hint="eastAsia" w:eastAsia="仿宋_GB2312"/>
                <w:kern w:val="0"/>
                <w:sz w:val="24"/>
                <w:szCs w:val="24"/>
              </w:rPr>
              <w:t>负责制定实施方案</w:t>
            </w:r>
            <w:r>
              <w:rPr>
                <w:rFonts w:hint="eastAsia" w:eastAsia="仿宋_GB2312"/>
                <w:kern w:val="0"/>
                <w:sz w:val="24"/>
                <w:szCs w:val="24"/>
                <w:lang w:eastAsia="zh-CN"/>
              </w:rPr>
              <w:t>；</w:t>
            </w:r>
            <w:r>
              <w:rPr>
                <w:rFonts w:hint="eastAsia" w:eastAsia="仿宋_GB2312"/>
                <w:kern w:val="0"/>
                <w:sz w:val="24"/>
                <w:szCs w:val="24"/>
              </w:rPr>
              <w:t>协调评价小组工作，组织实施评价活动</w:t>
            </w:r>
            <w:r>
              <w:rPr>
                <w:rFonts w:hint="eastAsia" w:eastAsia="仿宋_GB2312"/>
                <w:kern w:val="0"/>
                <w:sz w:val="24"/>
                <w:szCs w:val="24"/>
                <w:lang w:eastAsia="zh-CN"/>
              </w:rPr>
              <w:t>；</w:t>
            </w:r>
            <w:r>
              <w:rPr>
                <w:rFonts w:hint="eastAsia" w:eastAsia="仿宋_GB2312"/>
                <w:kern w:val="0"/>
                <w:sz w:val="24"/>
                <w:szCs w:val="24"/>
              </w:rPr>
              <w:t>分析评价数据，撰写绩效评价报告，负责评价工作前期准备、实施阶段及报告撰写各个阶段统筹安排。</w:t>
            </w:r>
          </w:p>
        </w:tc>
      </w:tr>
      <w:tr w14:paraId="3D67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528" w:type="pct"/>
            <w:vAlign w:val="center"/>
          </w:tcPr>
          <w:p w14:paraId="75B55B73">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rPr>
              <w:t>李言言</w:t>
            </w:r>
          </w:p>
        </w:tc>
        <w:tc>
          <w:tcPr>
            <w:tcW w:w="952" w:type="pct"/>
            <w:vAlign w:val="center"/>
          </w:tcPr>
          <w:p w14:paraId="07484B1D">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注册会计师</w:t>
            </w:r>
          </w:p>
          <w:p w14:paraId="1BCA2CC3">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法律职业资格</w:t>
            </w:r>
          </w:p>
          <w:p w14:paraId="14512CCF">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注册税务师</w:t>
            </w:r>
          </w:p>
          <w:p w14:paraId="7ADD0A40">
            <w:pPr>
              <w:widowControl/>
              <w:snapToGrid w:val="0"/>
              <w:spacing w:line="240" w:lineRule="auto"/>
              <w:ind w:firstLine="0" w:firstLineChars="0"/>
              <w:jc w:val="center"/>
              <w:rPr>
                <w:rFonts w:hint="default" w:eastAsia="仿宋_GB2312"/>
                <w:kern w:val="0"/>
                <w:sz w:val="24"/>
                <w:szCs w:val="24"/>
                <w:lang w:val="en-US" w:eastAsia="zh-CN"/>
              </w:rPr>
            </w:pPr>
            <w:r>
              <w:rPr>
                <w:rFonts w:hint="eastAsia" w:eastAsia="仿宋_GB2312"/>
                <w:kern w:val="0"/>
                <w:sz w:val="24"/>
                <w:szCs w:val="24"/>
                <w:lang w:val="en-US" w:eastAsia="zh-CN"/>
              </w:rPr>
              <w:t>中级会计师</w:t>
            </w:r>
          </w:p>
        </w:tc>
        <w:tc>
          <w:tcPr>
            <w:tcW w:w="820" w:type="pct"/>
            <w:vAlign w:val="center"/>
          </w:tcPr>
          <w:p w14:paraId="3887A9A0">
            <w:pPr>
              <w:widowControl/>
              <w:snapToGrid w:val="0"/>
              <w:spacing w:line="240" w:lineRule="auto"/>
              <w:ind w:firstLine="0" w:firstLineChars="0"/>
              <w:jc w:val="center"/>
              <w:rPr>
                <w:rFonts w:hint="default" w:eastAsia="仿宋_GB2312"/>
                <w:kern w:val="0"/>
                <w:sz w:val="24"/>
                <w:szCs w:val="24"/>
                <w:lang w:val="en-US" w:eastAsia="zh-CN"/>
              </w:rPr>
            </w:pPr>
            <w:r>
              <w:rPr>
                <w:rFonts w:hint="eastAsia" w:eastAsia="仿宋_GB2312"/>
                <w:kern w:val="0"/>
                <w:sz w:val="24"/>
                <w:szCs w:val="24"/>
                <w:lang w:val="en-US" w:eastAsia="zh-CN"/>
              </w:rPr>
              <w:t>项目经理</w:t>
            </w:r>
          </w:p>
        </w:tc>
        <w:tc>
          <w:tcPr>
            <w:tcW w:w="2698" w:type="pct"/>
            <w:vMerge w:val="continue"/>
            <w:vAlign w:val="center"/>
          </w:tcPr>
          <w:p w14:paraId="695DE01D">
            <w:pPr>
              <w:widowControl/>
              <w:snapToGrid w:val="0"/>
              <w:spacing w:line="240" w:lineRule="auto"/>
              <w:ind w:firstLine="0" w:firstLineChars="0"/>
              <w:jc w:val="left"/>
              <w:rPr>
                <w:rFonts w:eastAsia="仿宋_GB2312"/>
                <w:kern w:val="0"/>
                <w:sz w:val="24"/>
                <w:szCs w:val="24"/>
              </w:rPr>
            </w:pPr>
          </w:p>
        </w:tc>
      </w:tr>
      <w:tr w14:paraId="5F5A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jc w:val="center"/>
        </w:trPr>
        <w:tc>
          <w:tcPr>
            <w:tcW w:w="528" w:type="pct"/>
            <w:vAlign w:val="center"/>
          </w:tcPr>
          <w:p w14:paraId="4A163A30">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rPr>
              <w:t>王凯仟</w:t>
            </w:r>
          </w:p>
        </w:tc>
        <w:tc>
          <w:tcPr>
            <w:tcW w:w="952" w:type="pct"/>
            <w:vAlign w:val="center"/>
          </w:tcPr>
          <w:p w14:paraId="3218C98B">
            <w:pPr>
              <w:widowControl/>
              <w:snapToGrid w:val="0"/>
              <w:spacing w:line="240" w:lineRule="auto"/>
              <w:ind w:firstLine="0" w:firstLineChars="0"/>
              <w:jc w:val="center"/>
              <w:rPr>
                <w:rFonts w:hint="eastAsia" w:eastAsia="仿宋_GB2312"/>
                <w:kern w:val="0"/>
                <w:sz w:val="24"/>
                <w:szCs w:val="24"/>
                <w:lang w:eastAsia="zh-CN"/>
              </w:rPr>
            </w:pPr>
            <w:r>
              <w:rPr>
                <w:rFonts w:hint="eastAsia" w:eastAsia="仿宋_GB2312"/>
                <w:kern w:val="0"/>
                <w:sz w:val="24"/>
                <w:szCs w:val="24"/>
                <w:lang w:val="en-US" w:eastAsia="zh-CN"/>
              </w:rPr>
              <w:t>注册会计师</w:t>
            </w:r>
          </w:p>
        </w:tc>
        <w:tc>
          <w:tcPr>
            <w:tcW w:w="820" w:type="pct"/>
            <w:vAlign w:val="center"/>
          </w:tcPr>
          <w:p w14:paraId="662E4B52">
            <w:pPr>
              <w:widowControl/>
              <w:snapToGrid w:val="0"/>
              <w:spacing w:line="240" w:lineRule="auto"/>
              <w:ind w:firstLine="0" w:firstLineChars="0"/>
              <w:jc w:val="center"/>
              <w:rPr>
                <w:rFonts w:hint="default" w:eastAsia="仿宋_GB2312"/>
                <w:kern w:val="0"/>
                <w:sz w:val="24"/>
                <w:szCs w:val="24"/>
                <w:lang w:val="en-US" w:eastAsia="zh-CN"/>
              </w:rPr>
            </w:pPr>
            <w:r>
              <w:rPr>
                <w:rFonts w:hint="eastAsia" w:eastAsia="仿宋_GB2312"/>
                <w:kern w:val="0"/>
                <w:sz w:val="24"/>
                <w:szCs w:val="24"/>
                <w:lang w:val="en-US" w:eastAsia="zh-CN"/>
              </w:rPr>
              <w:t>项目组成员</w:t>
            </w:r>
          </w:p>
        </w:tc>
        <w:tc>
          <w:tcPr>
            <w:tcW w:w="2698" w:type="pct"/>
            <w:vMerge w:val="restart"/>
            <w:vAlign w:val="center"/>
          </w:tcPr>
          <w:p w14:paraId="3A1933A0">
            <w:pPr>
              <w:widowControl/>
              <w:snapToGrid w:val="0"/>
              <w:spacing w:line="240" w:lineRule="auto"/>
              <w:ind w:firstLine="0" w:firstLineChars="0"/>
              <w:jc w:val="left"/>
              <w:rPr>
                <w:rFonts w:eastAsia="仿宋_GB2312"/>
                <w:kern w:val="0"/>
                <w:sz w:val="24"/>
                <w:szCs w:val="24"/>
              </w:rPr>
            </w:pPr>
            <w:r>
              <w:rPr>
                <w:rFonts w:hint="eastAsia" w:eastAsia="仿宋_GB2312"/>
                <w:kern w:val="0"/>
                <w:sz w:val="24"/>
                <w:szCs w:val="24"/>
              </w:rPr>
              <w:t>协助资料整理、</w:t>
            </w:r>
            <w:r>
              <w:rPr>
                <w:rFonts w:hint="eastAsia" w:eastAsia="仿宋_GB2312"/>
                <w:kern w:val="0"/>
                <w:sz w:val="24"/>
                <w:szCs w:val="24"/>
                <w:lang w:val="en-US" w:eastAsia="zh-CN"/>
              </w:rPr>
              <w:t>实地调研</w:t>
            </w:r>
            <w:r>
              <w:rPr>
                <w:rFonts w:hint="eastAsia" w:eastAsia="仿宋_GB2312"/>
                <w:kern w:val="0"/>
                <w:sz w:val="24"/>
                <w:szCs w:val="24"/>
              </w:rPr>
              <w:t>、数据统计工作。</w:t>
            </w:r>
          </w:p>
        </w:tc>
      </w:tr>
      <w:tr w14:paraId="72AF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28" w:type="pct"/>
            <w:vAlign w:val="center"/>
          </w:tcPr>
          <w:p w14:paraId="68D40CC4">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王本杰</w:t>
            </w:r>
          </w:p>
        </w:tc>
        <w:tc>
          <w:tcPr>
            <w:tcW w:w="952" w:type="pct"/>
            <w:vAlign w:val="center"/>
          </w:tcPr>
          <w:p w14:paraId="0C7B6A15">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中级会计师</w:t>
            </w:r>
          </w:p>
        </w:tc>
        <w:tc>
          <w:tcPr>
            <w:tcW w:w="820" w:type="pct"/>
            <w:vAlign w:val="center"/>
          </w:tcPr>
          <w:p w14:paraId="6ED4A7FB">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22C8C83F">
            <w:pPr>
              <w:widowControl/>
              <w:snapToGrid w:val="0"/>
              <w:spacing w:line="240" w:lineRule="auto"/>
              <w:ind w:firstLine="0" w:firstLineChars="0"/>
              <w:jc w:val="left"/>
              <w:rPr>
                <w:rFonts w:eastAsia="仿宋_GB2312"/>
                <w:kern w:val="0"/>
                <w:sz w:val="24"/>
                <w:szCs w:val="24"/>
              </w:rPr>
            </w:pPr>
          </w:p>
        </w:tc>
      </w:tr>
      <w:tr w14:paraId="35BC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528" w:type="pct"/>
            <w:vAlign w:val="center"/>
          </w:tcPr>
          <w:p w14:paraId="7ECE9C01">
            <w:pPr>
              <w:widowControl/>
              <w:snapToGrid w:val="0"/>
              <w:spacing w:line="240" w:lineRule="auto"/>
              <w:ind w:firstLine="0" w:firstLineChars="0"/>
              <w:jc w:val="center"/>
              <w:rPr>
                <w:rFonts w:hint="default" w:eastAsia="仿宋_GB2312"/>
                <w:kern w:val="0"/>
                <w:sz w:val="24"/>
                <w:szCs w:val="24"/>
                <w:lang w:val="en-US" w:eastAsia="zh-CN"/>
              </w:rPr>
            </w:pPr>
            <w:r>
              <w:rPr>
                <w:rFonts w:hint="eastAsia" w:eastAsia="仿宋_GB2312"/>
                <w:kern w:val="0"/>
                <w:sz w:val="24"/>
                <w:szCs w:val="24"/>
                <w:lang w:val="en-US" w:eastAsia="zh-CN"/>
              </w:rPr>
              <w:t>程含笑</w:t>
            </w:r>
          </w:p>
        </w:tc>
        <w:tc>
          <w:tcPr>
            <w:tcW w:w="952" w:type="pct"/>
            <w:vAlign w:val="center"/>
          </w:tcPr>
          <w:p w14:paraId="74416EDC">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中级经济师</w:t>
            </w:r>
          </w:p>
        </w:tc>
        <w:tc>
          <w:tcPr>
            <w:tcW w:w="820" w:type="pct"/>
            <w:vAlign w:val="center"/>
          </w:tcPr>
          <w:p w14:paraId="36FD0315">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612B84C3">
            <w:pPr>
              <w:widowControl/>
              <w:snapToGrid w:val="0"/>
              <w:spacing w:line="240" w:lineRule="auto"/>
              <w:ind w:firstLine="0" w:firstLineChars="0"/>
              <w:jc w:val="left"/>
              <w:rPr>
                <w:rFonts w:eastAsia="仿宋_GB2312"/>
                <w:kern w:val="0"/>
                <w:sz w:val="24"/>
                <w:szCs w:val="24"/>
              </w:rPr>
            </w:pPr>
          </w:p>
        </w:tc>
      </w:tr>
      <w:tr w14:paraId="618B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528" w:type="pct"/>
            <w:shd w:val="clear" w:color="auto" w:fill="auto"/>
            <w:vAlign w:val="center"/>
          </w:tcPr>
          <w:p w14:paraId="6EFC5539">
            <w:pPr>
              <w:widowControl/>
              <w:snapToGrid w:val="0"/>
              <w:spacing w:line="240" w:lineRule="auto"/>
              <w:ind w:firstLine="0" w:firstLineChars="0"/>
              <w:jc w:val="center"/>
              <w:rPr>
                <w:rFonts w:hint="eastAsia" w:eastAsia="仿宋_GB2312" w:asciiTheme="minorHAnsi" w:hAnsiTheme="minorHAnsi" w:cstheme="minorBidi"/>
                <w:kern w:val="0"/>
                <w:sz w:val="24"/>
                <w:szCs w:val="24"/>
                <w:lang w:val="en-US" w:eastAsia="zh-CN" w:bidi="ar-SA"/>
              </w:rPr>
            </w:pPr>
            <w:r>
              <w:rPr>
                <w:rFonts w:hint="eastAsia" w:eastAsia="仿宋_GB2312"/>
                <w:kern w:val="0"/>
                <w:sz w:val="24"/>
                <w:szCs w:val="24"/>
                <w:lang w:val="en-US" w:eastAsia="zh-CN"/>
              </w:rPr>
              <w:t>田洪玲</w:t>
            </w:r>
          </w:p>
        </w:tc>
        <w:tc>
          <w:tcPr>
            <w:tcW w:w="952" w:type="pct"/>
            <w:vAlign w:val="center"/>
          </w:tcPr>
          <w:p w14:paraId="4910ED3D">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高级会计师</w:t>
            </w:r>
          </w:p>
          <w:p w14:paraId="46269AEB">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注册税务师</w:t>
            </w:r>
          </w:p>
        </w:tc>
        <w:tc>
          <w:tcPr>
            <w:tcW w:w="820" w:type="pct"/>
            <w:vAlign w:val="center"/>
          </w:tcPr>
          <w:p w14:paraId="68B9BE09">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559AAB35">
            <w:pPr>
              <w:widowControl/>
              <w:snapToGrid w:val="0"/>
              <w:spacing w:line="240" w:lineRule="auto"/>
              <w:ind w:firstLine="0" w:firstLineChars="0"/>
              <w:jc w:val="left"/>
              <w:rPr>
                <w:rFonts w:eastAsia="仿宋_GB2312"/>
                <w:kern w:val="0"/>
                <w:sz w:val="24"/>
                <w:szCs w:val="24"/>
              </w:rPr>
            </w:pPr>
          </w:p>
        </w:tc>
      </w:tr>
      <w:tr w14:paraId="062E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528" w:type="pct"/>
            <w:shd w:val="clear" w:color="auto" w:fill="auto"/>
            <w:vAlign w:val="center"/>
          </w:tcPr>
          <w:p w14:paraId="7CAF2CE8">
            <w:pPr>
              <w:widowControl/>
              <w:snapToGrid w:val="0"/>
              <w:spacing w:line="240" w:lineRule="auto"/>
              <w:ind w:firstLine="0" w:firstLineChars="0"/>
              <w:jc w:val="center"/>
              <w:rPr>
                <w:rFonts w:hint="eastAsia" w:eastAsia="仿宋_GB2312" w:asciiTheme="minorHAnsi" w:hAnsiTheme="minorHAnsi" w:cstheme="minorBidi"/>
                <w:kern w:val="0"/>
                <w:sz w:val="24"/>
                <w:szCs w:val="24"/>
                <w:lang w:val="en-US" w:eastAsia="zh-CN" w:bidi="ar-SA"/>
              </w:rPr>
            </w:pPr>
            <w:r>
              <w:rPr>
                <w:rFonts w:hint="eastAsia" w:eastAsia="仿宋_GB2312"/>
                <w:kern w:val="0"/>
                <w:sz w:val="24"/>
                <w:szCs w:val="24"/>
                <w:lang w:val="en-US" w:eastAsia="zh-CN"/>
              </w:rPr>
              <w:t>赵琳</w:t>
            </w:r>
          </w:p>
        </w:tc>
        <w:tc>
          <w:tcPr>
            <w:tcW w:w="952" w:type="pct"/>
            <w:vAlign w:val="center"/>
          </w:tcPr>
          <w:p w14:paraId="72AF62FC">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注册会计师</w:t>
            </w:r>
          </w:p>
        </w:tc>
        <w:tc>
          <w:tcPr>
            <w:tcW w:w="820" w:type="pct"/>
            <w:vAlign w:val="center"/>
          </w:tcPr>
          <w:p w14:paraId="5085BFD5">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5BFBF20D">
            <w:pPr>
              <w:widowControl/>
              <w:snapToGrid w:val="0"/>
              <w:spacing w:line="240" w:lineRule="auto"/>
              <w:ind w:firstLine="0" w:firstLineChars="0"/>
              <w:jc w:val="left"/>
              <w:rPr>
                <w:rFonts w:eastAsia="仿宋_GB2312"/>
                <w:kern w:val="0"/>
                <w:sz w:val="24"/>
                <w:szCs w:val="24"/>
              </w:rPr>
            </w:pPr>
          </w:p>
        </w:tc>
      </w:tr>
      <w:tr w14:paraId="289C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528" w:type="pct"/>
            <w:vAlign w:val="center"/>
          </w:tcPr>
          <w:p w14:paraId="726FACFC">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李欣如</w:t>
            </w:r>
          </w:p>
        </w:tc>
        <w:tc>
          <w:tcPr>
            <w:tcW w:w="952" w:type="pct"/>
            <w:vAlign w:val="center"/>
          </w:tcPr>
          <w:p w14:paraId="489B13A7">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注册会计师</w:t>
            </w:r>
          </w:p>
          <w:p w14:paraId="2D5C67CD">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法律职业资格</w:t>
            </w:r>
          </w:p>
          <w:p w14:paraId="3DD59B47">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中级会计师</w:t>
            </w:r>
          </w:p>
        </w:tc>
        <w:tc>
          <w:tcPr>
            <w:tcW w:w="820" w:type="pct"/>
            <w:vAlign w:val="center"/>
          </w:tcPr>
          <w:p w14:paraId="2A68B778">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6EFECCA1">
            <w:pPr>
              <w:widowControl/>
              <w:snapToGrid w:val="0"/>
              <w:spacing w:line="240" w:lineRule="auto"/>
              <w:ind w:firstLine="0" w:firstLineChars="0"/>
              <w:jc w:val="left"/>
              <w:rPr>
                <w:rFonts w:eastAsia="仿宋_GB2312"/>
                <w:kern w:val="0"/>
                <w:sz w:val="24"/>
                <w:szCs w:val="24"/>
              </w:rPr>
            </w:pPr>
          </w:p>
        </w:tc>
      </w:tr>
      <w:tr w14:paraId="423D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528" w:type="pct"/>
            <w:vAlign w:val="center"/>
          </w:tcPr>
          <w:p w14:paraId="0C25DFD4">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郭永</w:t>
            </w:r>
          </w:p>
        </w:tc>
        <w:tc>
          <w:tcPr>
            <w:tcW w:w="952" w:type="pct"/>
            <w:vAlign w:val="center"/>
          </w:tcPr>
          <w:p w14:paraId="4E5B3966">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中级经济师</w:t>
            </w:r>
          </w:p>
        </w:tc>
        <w:tc>
          <w:tcPr>
            <w:tcW w:w="820" w:type="pct"/>
            <w:vAlign w:val="center"/>
          </w:tcPr>
          <w:p w14:paraId="3AC1E5F9">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605D8782">
            <w:pPr>
              <w:widowControl/>
              <w:snapToGrid w:val="0"/>
              <w:spacing w:line="240" w:lineRule="auto"/>
              <w:ind w:firstLine="0" w:firstLineChars="0"/>
              <w:jc w:val="left"/>
              <w:rPr>
                <w:rFonts w:eastAsia="仿宋_GB2312"/>
                <w:kern w:val="0"/>
                <w:sz w:val="24"/>
                <w:szCs w:val="24"/>
              </w:rPr>
            </w:pPr>
          </w:p>
        </w:tc>
      </w:tr>
      <w:tr w14:paraId="7A92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528" w:type="pct"/>
            <w:vAlign w:val="center"/>
          </w:tcPr>
          <w:p w14:paraId="3F9BCE6F">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马明香</w:t>
            </w:r>
          </w:p>
        </w:tc>
        <w:tc>
          <w:tcPr>
            <w:tcW w:w="952" w:type="pct"/>
            <w:vAlign w:val="center"/>
          </w:tcPr>
          <w:p w14:paraId="1EB5958C">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中级会计师</w:t>
            </w:r>
          </w:p>
        </w:tc>
        <w:tc>
          <w:tcPr>
            <w:tcW w:w="820" w:type="pct"/>
            <w:vAlign w:val="center"/>
          </w:tcPr>
          <w:p w14:paraId="1FF1801A">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7C3E9FC2">
            <w:pPr>
              <w:widowControl/>
              <w:snapToGrid w:val="0"/>
              <w:spacing w:line="240" w:lineRule="auto"/>
              <w:ind w:firstLine="0" w:firstLineChars="0"/>
              <w:jc w:val="left"/>
              <w:rPr>
                <w:rFonts w:eastAsia="仿宋_GB2312"/>
                <w:kern w:val="0"/>
                <w:sz w:val="24"/>
                <w:szCs w:val="24"/>
              </w:rPr>
            </w:pPr>
          </w:p>
        </w:tc>
      </w:tr>
      <w:tr w14:paraId="5BDB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528" w:type="pct"/>
            <w:vAlign w:val="center"/>
          </w:tcPr>
          <w:p w14:paraId="218333BE">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肖玉飞</w:t>
            </w:r>
          </w:p>
        </w:tc>
        <w:tc>
          <w:tcPr>
            <w:tcW w:w="952" w:type="pct"/>
            <w:vAlign w:val="center"/>
          </w:tcPr>
          <w:p w14:paraId="1FF06080">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中级会计师</w:t>
            </w:r>
          </w:p>
        </w:tc>
        <w:tc>
          <w:tcPr>
            <w:tcW w:w="820" w:type="pct"/>
            <w:vAlign w:val="center"/>
          </w:tcPr>
          <w:p w14:paraId="68BFDEA3">
            <w:pPr>
              <w:widowControl/>
              <w:snapToGrid w:val="0"/>
              <w:spacing w:line="240" w:lineRule="auto"/>
              <w:ind w:firstLine="0" w:firstLineChars="0"/>
              <w:jc w:val="center"/>
              <w:rPr>
                <w:rFonts w:eastAsia="仿宋_GB2312"/>
                <w:kern w:val="0"/>
                <w:sz w:val="24"/>
                <w:szCs w:val="24"/>
              </w:rPr>
            </w:pPr>
            <w:r>
              <w:rPr>
                <w:rFonts w:hint="eastAsia" w:eastAsia="仿宋_GB2312"/>
                <w:kern w:val="0"/>
                <w:sz w:val="24"/>
                <w:szCs w:val="24"/>
                <w:lang w:val="en-US" w:eastAsia="zh-CN"/>
              </w:rPr>
              <w:t>项目组成员</w:t>
            </w:r>
          </w:p>
        </w:tc>
        <w:tc>
          <w:tcPr>
            <w:tcW w:w="2698" w:type="pct"/>
            <w:vMerge w:val="continue"/>
            <w:vAlign w:val="center"/>
          </w:tcPr>
          <w:p w14:paraId="09182F68">
            <w:pPr>
              <w:widowControl/>
              <w:snapToGrid w:val="0"/>
              <w:spacing w:line="240" w:lineRule="auto"/>
              <w:ind w:firstLine="0" w:firstLineChars="0"/>
              <w:jc w:val="left"/>
              <w:rPr>
                <w:rFonts w:eastAsia="仿宋_GB2312"/>
                <w:kern w:val="0"/>
                <w:sz w:val="24"/>
                <w:szCs w:val="24"/>
              </w:rPr>
            </w:pPr>
          </w:p>
        </w:tc>
      </w:tr>
      <w:tr w14:paraId="7649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528" w:type="pct"/>
            <w:vAlign w:val="center"/>
          </w:tcPr>
          <w:p w14:paraId="34BB6B44">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张成新</w:t>
            </w:r>
          </w:p>
        </w:tc>
        <w:tc>
          <w:tcPr>
            <w:tcW w:w="952" w:type="pct"/>
            <w:vAlign w:val="center"/>
          </w:tcPr>
          <w:p w14:paraId="5312E0CC">
            <w:pPr>
              <w:widowControl/>
              <w:snapToGrid w:val="0"/>
              <w:spacing w:line="240" w:lineRule="auto"/>
              <w:ind w:firstLine="0" w:firstLineChars="0"/>
              <w:jc w:val="center"/>
              <w:rPr>
                <w:rFonts w:hint="default" w:eastAsia="仿宋_GB2312"/>
                <w:kern w:val="0"/>
                <w:sz w:val="24"/>
                <w:szCs w:val="24"/>
                <w:lang w:val="en-US" w:eastAsia="zh-CN"/>
              </w:rPr>
            </w:pPr>
            <w:r>
              <w:rPr>
                <w:rFonts w:hint="eastAsia" w:eastAsia="仿宋_GB2312"/>
                <w:kern w:val="0"/>
                <w:sz w:val="24"/>
                <w:szCs w:val="24"/>
                <w:lang w:val="en-US" w:eastAsia="zh-CN"/>
              </w:rPr>
              <w:t>PMP项目管理师</w:t>
            </w:r>
          </w:p>
        </w:tc>
        <w:tc>
          <w:tcPr>
            <w:tcW w:w="820" w:type="pct"/>
            <w:vAlign w:val="center"/>
          </w:tcPr>
          <w:p w14:paraId="7865D883">
            <w:pPr>
              <w:widowControl/>
              <w:snapToGrid w:val="0"/>
              <w:spacing w:line="240" w:lineRule="auto"/>
              <w:ind w:firstLine="0" w:firstLineChars="0"/>
              <w:jc w:val="center"/>
              <w:rPr>
                <w:rFonts w:hint="eastAsia" w:eastAsia="仿宋_GB2312"/>
                <w:kern w:val="0"/>
                <w:sz w:val="24"/>
                <w:szCs w:val="24"/>
                <w:lang w:val="en-US" w:eastAsia="zh-CN"/>
              </w:rPr>
            </w:pPr>
            <w:r>
              <w:rPr>
                <w:rFonts w:hint="eastAsia" w:eastAsia="仿宋_GB2312"/>
                <w:kern w:val="0"/>
                <w:sz w:val="24"/>
                <w:szCs w:val="24"/>
                <w:lang w:val="en-US" w:eastAsia="zh-CN"/>
              </w:rPr>
              <w:t>质量审核</w:t>
            </w:r>
          </w:p>
        </w:tc>
        <w:tc>
          <w:tcPr>
            <w:tcW w:w="2698" w:type="pct"/>
            <w:vAlign w:val="center"/>
          </w:tcPr>
          <w:p w14:paraId="162877C6">
            <w:pPr>
              <w:widowControl/>
              <w:snapToGrid w:val="0"/>
              <w:spacing w:line="240" w:lineRule="auto"/>
              <w:ind w:firstLine="0" w:firstLineChars="0"/>
              <w:jc w:val="left"/>
              <w:rPr>
                <w:rFonts w:hint="eastAsia" w:eastAsia="仿宋_GB2312"/>
                <w:kern w:val="0"/>
                <w:sz w:val="24"/>
                <w:szCs w:val="24"/>
                <w:lang w:eastAsia="zh-CN"/>
              </w:rPr>
            </w:pPr>
            <w:r>
              <w:rPr>
                <w:rFonts w:hint="eastAsia" w:eastAsia="仿宋_GB2312"/>
                <w:kern w:val="0"/>
                <w:sz w:val="24"/>
                <w:szCs w:val="24"/>
              </w:rPr>
              <w:t>审核评价报告，是否符合文本质量要求</w:t>
            </w:r>
            <w:r>
              <w:rPr>
                <w:rFonts w:hint="eastAsia" w:eastAsia="仿宋_GB2312"/>
                <w:kern w:val="0"/>
                <w:sz w:val="24"/>
                <w:szCs w:val="24"/>
                <w:lang w:eastAsia="zh-CN"/>
              </w:rPr>
              <w:t>。</w:t>
            </w:r>
          </w:p>
        </w:tc>
      </w:tr>
    </w:tbl>
    <w:p w14:paraId="7E020E77">
      <w:pPr>
        <w:spacing w:line="600" w:lineRule="exact"/>
        <w:jc w:val="left"/>
        <w:outlineLvl w:val="0"/>
        <w:rPr>
          <w:rFonts w:hint="eastAsia" w:ascii="黑体" w:hAnsi="黑体" w:eastAsia="黑体" w:cs="黑体"/>
          <w:sz w:val="32"/>
          <w:szCs w:val="32"/>
          <w:lang w:eastAsia="zh-CN"/>
        </w:rPr>
      </w:pPr>
    </w:p>
    <w:sectPr>
      <w:pgSz w:w="11906" w:h="16838"/>
      <w:pgMar w:top="1800" w:right="1440" w:bottom="1800" w:left="1440" w:header="851" w:footer="1361" w:gutter="0"/>
      <w:pgNumType w:fmt="decimal"/>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1274EE-D57B-46DB-AF00-43CF013582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60C70CD-6E5C-435C-837B-C68FA90241D6}"/>
  </w:font>
  <w:font w:name="楷体_GB2312">
    <w:panose1 w:val="02010609030101010101"/>
    <w:charset w:val="86"/>
    <w:family w:val="modern"/>
    <w:pitch w:val="default"/>
    <w:sig w:usb0="00000001" w:usb1="080E0000" w:usb2="00000000" w:usb3="00000000" w:csb0="00040000" w:csb1="00000000"/>
    <w:embedRegular r:id="rId3" w:fontKey="{6C02F741-F70D-468F-BAB2-6658D021BF71}"/>
  </w:font>
  <w:font w:name="仿宋_GB2312">
    <w:panose1 w:val="02010609030101010101"/>
    <w:charset w:val="86"/>
    <w:family w:val="modern"/>
    <w:pitch w:val="default"/>
    <w:sig w:usb0="00000001" w:usb1="080E0000" w:usb2="00000000" w:usb3="00000000" w:csb0="00040000" w:csb1="00000000"/>
    <w:embedRegular r:id="rId4" w:fontKey="{374690AB-21CB-41FD-831E-90D5198EB5A8}"/>
  </w:font>
  <w:font w:name="仿宋">
    <w:panose1 w:val="02010609060101010101"/>
    <w:charset w:val="86"/>
    <w:family w:val="modern"/>
    <w:pitch w:val="default"/>
    <w:sig w:usb0="800002BF" w:usb1="38CF7CFA" w:usb2="00000016" w:usb3="00000000" w:csb0="00040001" w:csb1="00000000"/>
    <w:embedRegular r:id="rId5" w:fontKey="{41AD63DC-09CB-41DC-8CDD-FA3513EA98C2}"/>
  </w:font>
  <w:font w:name="方正小标宋简体">
    <w:panose1 w:val="02010600010101010101"/>
    <w:charset w:val="86"/>
    <w:family w:val="auto"/>
    <w:pitch w:val="default"/>
    <w:sig w:usb0="00000001" w:usb1="080E0000" w:usb2="00000000" w:usb3="00000000" w:csb0="00040000" w:csb1="00000000"/>
    <w:embedRegular r:id="rId6" w:fontKey="{55F1EE0F-89AA-475B-8ACE-671BEA11FB90}"/>
  </w:font>
  <w:font w:name="Times New Roman Regular">
    <w:altName w:val="Times New Roman"/>
    <w:panose1 w:val="02020503050405090304"/>
    <w:charset w:val="00"/>
    <w:family w:val="auto"/>
    <w:pitch w:val="default"/>
    <w:sig w:usb0="00000000" w:usb1="00000000" w:usb2="00000001" w:usb3="00000000" w:csb0="400001BF" w:csb1="DFF70000"/>
    <w:embedRegular r:id="rId7" w:fontKey="{39824E98-82C8-4B60-B4BC-73A1EC5EF535}"/>
  </w:font>
  <w:font w:name="等线">
    <w:panose1 w:val="02010600030101010101"/>
    <w:charset w:val="86"/>
    <w:family w:val="auto"/>
    <w:pitch w:val="default"/>
    <w:sig w:usb0="A00002BF" w:usb1="38CF7CFA" w:usb2="00000016" w:usb3="00000000" w:csb0="0004000F" w:csb1="00000000"/>
    <w:embedRegular r:id="rId8" w:fontKey="{7B8C63BB-5850-42EE-9CBB-82DECC1C0704}"/>
  </w:font>
  <w:font w:name="方正小标宋_GBK">
    <w:panose1 w:val="02000000000000000000"/>
    <w:charset w:val="86"/>
    <w:family w:val="auto"/>
    <w:pitch w:val="default"/>
    <w:sig w:usb0="A00002BF" w:usb1="38CF7CFA" w:usb2="00082016" w:usb3="00000000" w:csb0="00040001" w:csb1="00000000"/>
    <w:embedRegular r:id="rId9" w:fontKey="{9131F415-A412-49EB-9BDB-F7F2D9ED8AC1}"/>
  </w:font>
  <w:font w:name="WPSEMBED12">
    <w:panose1 w:val="02010609030101010101"/>
    <w:charset w:val="86"/>
    <w:family w:val="auto"/>
    <w:pitch w:val="default"/>
    <w:sig w:usb0="00000001" w:usb1="080E0000" w:usb2="00000000" w:usb3="00000000" w:csb0="00040000" w:csb1="00000000"/>
  </w:font>
  <w:font w:name="WPSEMBED13">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98B1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7734957"/>
      <w:docPartObj>
        <w:docPartGallery w:val="autotext"/>
      </w:docPartObj>
    </w:sdtPr>
    <w:sdtEndPr>
      <w:rPr>
        <w:sz w:val="22"/>
        <w:szCs w:val="36"/>
      </w:rPr>
    </w:sdtEndPr>
    <w:sdtContent>
      <w:p w14:paraId="1D2C7B9B">
        <w:pPr>
          <w:pStyle w:val="10"/>
          <w:jc w:val="center"/>
          <w:rPr>
            <w:sz w:val="22"/>
            <w:szCs w:val="36"/>
          </w:rP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8BCC0">
    <w:pPr>
      <w:pStyle w:val="10"/>
      <w:jc w:val="center"/>
      <w:rPr>
        <w:sz w:val="22"/>
        <w:szCs w:val="36"/>
      </w:rPr>
    </w:pPr>
    <w:r>
      <w:rPr>
        <w:sz w:val="18"/>
      </w:rPr>
      <mc:AlternateContent>
        <mc:Choice Requires="wps">
          <w:drawing>
            <wp:anchor distT="0" distB="0" distL="114300" distR="114300" simplePos="0" relativeHeight="251660288" behindDoc="0" locked="0" layoutInCell="1" allowOverlap="1">
              <wp:simplePos x="0" y="0"/>
              <wp:positionH relativeFrom="margin">
                <wp:posOffset>2511425</wp:posOffset>
              </wp:positionH>
              <wp:positionV relativeFrom="paragraph">
                <wp:posOffset>0</wp:posOffset>
              </wp:positionV>
              <wp:extent cx="374015" cy="1930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74015" cy="193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CCB7C">
                          <w:pPr>
                            <w:pStyle w:val="10"/>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7.75pt;margin-top:0pt;height:15.2pt;width:29.45pt;mso-position-horizontal-relative:margin;z-index:251660288;mso-width-relative:page;mso-height-relative:page;" filled="f" stroked="f" coordsize="21600,21600" o:gfxdata="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CyFWDWAAAABwEAAA8AAAAAAAAAAQAgAAAAIgAAAGRycy9kb3ducmV2&#10;LnhtbFBLAQIUABQAAAAIAIdO4kAhT8sKNwIAAGEEAAAOAAAAAAAAAAEAIAAAACUBAABkcnMvZTJv&#10;RG9jLnhtbFBLBQYAAAAABgAGAFkBAADOBQAAAAA=&#10;">
              <v:fill on="f" focussize="0,0"/>
              <v:stroke on="f" weight="0.5pt"/>
              <v:imagedata o:title=""/>
              <o:lock v:ext="edit" aspectratio="f"/>
              <v:textbox inset="0mm,0mm,0mm,0mm">
                <w:txbxContent>
                  <w:p w14:paraId="48CCCB7C">
                    <w:pPr>
                      <w:pStyle w:val="10"/>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35154">
    <w:pPr>
      <w:pStyle w:val="10"/>
      <w:jc w:val="center"/>
      <w:rPr>
        <w:sz w:val="22"/>
        <w:szCs w:val="36"/>
      </w:rPr>
    </w:pPr>
    <w:r>
      <w:rPr>
        <w:sz w:val="18"/>
      </w:rPr>
      <mc:AlternateContent>
        <mc:Choice Requires="wps">
          <w:drawing>
            <wp:anchor distT="0" distB="0" distL="114300" distR="114300" simplePos="0" relativeHeight="251661312" behindDoc="0" locked="0" layoutInCell="1" allowOverlap="1">
              <wp:simplePos x="0" y="0"/>
              <wp:positionH relativeFrom="margin">
                <wp:posOffset>2511425</wp:posOffset>
              </wp:positionH>
              <wp:positionV relativeFrom="paragraph">
                <wp:posOffset>0</wp:posOffset>
              </wp:positionV>
              <wp:extent cx="374015" cy="1930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374015" cy="193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47EF8">
                          <w:pPr>
                            <w:pStyle w:val="10"/>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7.75pt;margin-top:0pt;height:15.2pt;width:29.45pt;mso-position-horizontal-relative:margin;z-index:251661312;mso-width-relative:page;mso-height-relative:page;" filled="f" stroked="f" coordsize="21600,21600" o:gfxdata="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CyFWDWAAAABwEAAA8AAAAAAAAAAQAgAAAAIgAAAGRycy9kb3ducmV2&#10;LnhtbFBLAQIUABQAAAAIAIdO4kDkTV4wNwIAAGEEAAAOAAAAAAAAAAEAIAAAACUBAABkcnMvZTJv&#10;RG9jLnhtbFBLBQYAAAAABgAGAFkBAADOBQAAAAA=&#10;">
              <v:fill on="f" focussize="0,0"/>
              <v:stroke on="f" weight="0.5pt"/>
              <v:imagedata o:title=""/>
              <o:lock v:ext="edit" aspectratio="f"/>
              <v:textbox inset="0mm,0mm,0mm,0mm">
                <w:txbxContent>
                  <w:p w14:paraId="06547EF8">
                    <w:pPr>
                      <w:pStyle w:val="10"/>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B3287">
    <w:pPr>
      <w:pStyle w:val="10"/>
      <w:jc w:val="center"/>
      <w:rPr>
        <w:sz w:val="22"/>
        <w:szCs w:val="36"/>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374015" cy="19304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74015" cy="193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324CA">
                          <w:pPr>
                            <w:pStyle w:val="10"/>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5.2pt;width:29.45pt;mso-position-horizontal:center;mso-position-horizontal-relative:margin;z-index:251662336;mso-width-relative:page;mso-height-relative:page;" filled="f" stroked="f" coordsize="21600,21600" o:gfxdata="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6efV7TAAAAAwEAAA8AAAAAAAAAAQAgAAAAIgAAAGRycy9kb3ducmV2Lnht&#10;bFBLAQIUABQAAAAIAIdO4kB6QyCvNwIAAGEEAAAOAAAAAAAAAAEAIAAAACIBAABkcnMvZTJvRG9j&#10;LnhtbFBLBQYAAAAABgAGAFkBAADLBQAAAAA=&#10;">
              <v:fill on="f" focussize="0,0"/>
              <v:stroke on="f" weight="0.5pt"/>
              <v:imagedata o:title=""/>
              <o:lock v:ext="edit" aspectratio="f"/>
              <v:textbox inset="0mm,0mm,0mm,0mm">
                <w:txbxContent>
                  <w:p w14:paraId="053324CA">
                    <w:pPr>
                      <w:pStyle w:val="10"/>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903F3">
    <w:pPr>
      <w:widowControl w:val="0"/>
      <w:snapToGrid w:val="0"/>
      <w:jc w:val="left"/>
      <w:rPr>
        <w:rFonts w:ascii="Calibri" w:hAnsi="Calibri" w:eastAsia="宋体" w:cs="Times New Roman"/>
        <w:kern w:val="2"/>
        <w:sz w:val="18"/>
        <w:szCs w:val="21"/>
        <w:lang w:val="en-US" w:eastAsia="zh-CN" w:bidi="ar-SA"/>
      </w:rPr>
    </w:pPr>
    <w:r>
      <w:rPr>
        <w:rFonts w:ascii="Calibri" w:hAnsi="Calibri" w:eastAsia="宋体" w:cs="Times New Roman"/>
        <w:kern w:val="2"/>
        <w:sz w:val="18"/>
        <w:szCs w:val="21"/>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9C70B99">
                          <w:pPr>
                            <w:widowControl w:val="0"/>
                            <w:snapToGrid w:val="0"/>
                            <w:jc w:val="left"/>
                            <w:rPr>
                              <w:rFonts w:hint="eastAsia" w:asciiTheme="majorEastAsia" w:hAnsiTheme="majorEastAsia" w:eastAsiaTheme="majorEastAsia" w:cstheme="majorEastAsia"/>
                              <w:kern w:val="2"/>
                              <w:sz w:val="22"/>
                              <w:szCs w:val="22"/>
                              <w:lang w:val="en-US" w:eastAsia="zh-CN" w:bidi="ar-SA"/>
                            </w:rPr>
                          </w:pPr>
                          <w:r>
                            <w:rPr>
                              <w:rFonts w:hint="eastAsia" w:asciiTheme="majorEastAsia" w:hAnsiTheme="majorEastAsia" w:eastAsiaTheme="majorEastAsia" w:cstheme="majorEastAsia"/>
                              <w:kern w:val="2"/>
                              <w:sz w:val="22"/>
                              <w:szCs w:val="22"/>
                              <w:lang w:val="en-US" w:eastAsia="zh-CN" w:bidi="ar-SA"/>
                            </w:rPr>
                            <w:fldChar w:fldCharType="begin"/>
                          </w:r>
                          <w:r>
                            <w:rPr>
                              <w:rFonts w:hint="eastAsia" w:asciiTheme="majorEastAsia" w:hAnsiTheme="majorEastAsia" w:eastAsiaTheme="majorEastAsia" w:cstheme="majorEastAsia"/>
                              <w:kern w:val="2"/>
                              <w:sz w:val="22"/>
                              <w:szCs w:val="22"/>
                              <w:lang w:val="en-US" w:eastAsia="zh-CN" w:bidi="ar-SA"/>
                            </w:rPr>
                            <w:instrText xml:space="preserve"> PAGE  \* MERGEFORMAT </w:instrText>
                          </w:r>
                          <w:r>
                            <w:rPr>
                              <w:rFonts w:hint="eastAsia" w:asciiTheme="majorEastAsia" w:hAnsiTheme="majorEastAsia" w:eastAsiaTheme="majorEastAsia" w:cstheme="majorEastAsia"/>
                              <w:kern w:val="2"/>
                              <w:sz w:val="22"/>
                              <w:szCs w:val="22"/>
                              <w:lang w:val="en-US" w:eastAsia="zh-CN" w:bidi="ar-SA"/>
                            </w:rPr>
                            <w:fldChar w:fldCharType="separate"/>
                          </w:r>
                          <w:r>
                            <w:rPr>
                              <w:rFonts w:hint="eastAsia" w:asciiTheme="majorEastAsia" w:hAnsiTheme="majorEastAsia" w:eastAsiaTheme="majorEastAsia" w:cstheme="majorEastAsia"/>
                              <w:kern w:val="2"/>
                              <w:sz w:val="22"/>
                              <w:szCs w:val="22"/>
                              <w:lang w:val="en-US" w:eastAsia="zh-CN" w:bidi="ar-SA"/>
                            </w:rPr>
                            <w:t>1</w:t>
                          </w:r>
                          <w:r>
                            <w:rPr>
                              <w:rFonts w:hint="eastAsia" w:asciiTheme="majorEastAsia" w:hAnsiTheme="majorEastAsia" w:eastAsiaTheme="majorEastAsia" w:cstheme="majorEastAsia"/>
                              <w:kern w:val="2"/>
                              <w:sz w:val="22"/>
                              <w:szCs w:val="22"/>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39C70B99">
                    <w:pPr>
                      <w:widowControl w:val="0"/>
                      <w:snapToGrid w:val="0"/>
                      <w:jc w:val="left"/>
                      <w:rPr>
                        <w:rFonts w:hint="eastAsia" w:asciiTheme="majorEastAsia" w:hAnsiTheme="majorEastAsia" w:eastAsiaTheme="majorEastAsia" w:cstheme="majorEastAsia"/>
                        <w:kern w:val="2"/>
                        <w:sz w:val="22"/>
                        <w:szCs w:val="22"/>
                        <w:lang w:val="en-US" w:eastAsia="zh-CN" w:bidi="ar-SA"/>
                      </w:rPr>
                    </w:pPr>
                    <w:r>
                      <w:rPr>
                        <w:rFonts w:hint="eastAsia" w:asciiTheme="majorEastAsia" w:hAnsiTheme="majorEastAsia" w:eastAsiaTheme="majorEastAsia" w:cstheme="majorEastAsia"/>
                        <w:kern w:val="2"/>
                        <w:sz w:val="22"/>
                        <w:szCs w:val="22"/>
                        <w:lang w:val="en-US" w:eastAsia="zh-CN" w:bidi="ar-SA"/>
                      </w:rPr>
                      <w:fldChar w:fldCharType="begin"/>
                    </w:r>
                    <w:r>
                      <w:rPr>
                        <w:rFonts w:hint="eastAsia" w:asciiTheme="majorEastAsia" w:hAnsiTheme="majorEastAsia" w:eastAsiaTheme="majorEastAsia" w:cstheme="majorEastAsia"/>
                        <w:kern w:val="2"/>
                        <w:sz w:val="22"/>
                        <w:szCs w:val="22"/>
                        <w:lang w:val="en-US" w:eastAsia="zh-CN" w:bidi="ar-SA"/>
                      </w:rPr>
                      <w:instrText xml:space="preserve"> PAGE  \* MERGEFORMAT </w:instrText>
                    </w:r>
                    <w:r>
                      <w:rPr>
                        <w:rFonts w:hint="eastAsia" w:asciiTheme="majorEastAsia" w:hAnsiTheme="majorEastAsia" w:eastAsiaTheme="majorEastAsia" w:cstheme="majorEastAsia"/>
                        <w:kern w:val="2"/>
                        <w:sz w:val="22"/>
                        <w:szCs w:val="22"/>
                        <w:lang w:val="en-US" w:eastAsia="zh-CN" w:bidi="ar-SA"/>
                      </w:rPr>
                      <w:fldChar w:fldCharType="separate"/>
                    </w:r>
                    <w:r>
                      <w:rPr>
                        <w:rFonts w:hint="eastAsia" w:asciiTheme="majorEastAsia" w:hAnsiTheme="majorEastAsia" w:eastAsiaTheme="majorEastAsia" w:cstheme="majorEastAsia"/>
                        <w:kern w:val="2"/>
                        <w:sz w:val="22"/>
                        <w:szCs w:val="22"/>
                        <w:lang w:val="en-US" w:eastAsia="zh-CN" w:bidi="ar-SA"/>
                      </w:rPr>
                      <w:t>1</w:t>
                    </w:r>
                    <w:r>
                      <w:rPr>
                        <w:rFonts w:hint="eastAsia" w:asciiTheme="majorEastAsia" w:hAnsiTheme="majorEastAsia" w:eastAsiaTheme="majorEastAsia" w:cstheme="majorEastAsia"/>
                        <w:kern w:val="2"/>
                        <w:sz w:val="22"/>
                        <w:szCs w:val="22"/>
                        <w:lang w:val="en-US" w:eastAsia="zh-CN" w:bidi="ar-S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hMjM2YmU3OTJkMjAzZDcwNjI1OGZlNGRkNjc0NjkifQ=="/>
  </w:docVars>
  <w:rsids>
    <w:rsidRoot w:val="0021272E"/>
    <w:rsid w:val="00103FB9"/>
    <w:rsid w:val="00104637"/>
    <w:rsid w:val="0019643A"/>
    <w:rsid w:val="0021272E"/>
    <w:rsid w:val="0022093B"/>
    <w:rsid w:val="00243C1C"/>
    <w:rsid w:val="002658DC"/>
    <w:rsid w:val="00270BDE"/>
    <w:rsid w:val="003072C4"/>
    <w:rsid w:val="00524E22"/>
    <w:rsid w:val="00BC2D44"/>
    <w:rsid w:val="00BE6247"/>
    <w:rsid w:val="00C339C4"/>
    <w:rsid w:val="00C43474"/>
    <w:rsid w:val="00D46227"/>
    <w:rsid w:val="00DE0712"/>
    <w:rsid w:val="00E3625F"/>
    <w:rsid w:val="012A3378"/>
    <w:rsid w:val="012E3330"/>
    <w:rsid w:val="01300F31"/>
    <w:rsid w:val="014001AC"/>
    <w:rsid w:val="01763BCE"/>
    <w:rsid w:val="0187386C"/>
    <w:rsid w:val="01DA7C98"/>
    <w:rsid w:val="02261A9D"/>
    <w:rsid w:val="02BB280A"/>
    <w:rsid w:val="02C16911"/>
    <w:rsid w:val="03377103"/>
    <w:rsid w:val="035F5516"/>
    <w:rsid w:val="03613825"/>
    <w:rsid w:val="042A5410"/>
    <w:rsid w:val="044D771D"/>
    <w:rsid w:val="04533824"/>
    <w:rsid w:val="0460093C"/>
    <w:rsid w:val="04B86D12"/>
    <w:rsid w:val="04F76DD4"/>
    <w:rsid w:val="05157166"/>
    <w:rsid w:val="054C7DEB"/>
    <w:rsid w:val="05847419"/>
    <w:rsid w:val="05A068A1"/>
    <w:rsid w:val="05AD1FD6"/>
    <w:rsid w:val="05EE6E49"/>
    <w:rsid w:val="05F50EE6"/>
    <w:rsid w:val="05FC3BE0"/>
    <w:rsid w:val="06451158"/>
    <w:rsid w:val="078F4E45"/>
    <w:rsid w:val="07CE6099"/>
    <w:rsid w:val="081B102B"/>
    <w:rsid w:val="08331281"/>
    <w:rsid w:val="08B76626"/>
    <w:rsid w:val="08BC7EE1"/>
    <w:rsid w:val="08D321A2"/>
    <w:rsid w:val="08DE171A"/>
    <w:rsid w:val="08EF1D63"/>
    <w:rsid w:val="092F6AF6"/>
    <w:rsid w:val="093A7BD7"/>
    <w:rsid w:val="096F3207"/>
    <w:rsid w:val="097D5E05"/>
    <w:rsid w:val="09AD47F6"/>
    <w:rsid w:val="09C211BC"/>
    <w:rsid w:val="09CF47C3"/>
    <w:rsid w:val="0A316B49"/>
    <w:rsid w:val="0A7F46C9"/>
    <w:rsid w:val="0AC45233"/>
    <w:rsid w:val="0AD32091"/>
    <w:rsid w:val="0AEA1189"/>
    <w:rsid w:val="0AFB1D94"/>
    <w:rsid w:val="0AFB5144"/>
    <w:rsid w:val="0B7948E1"/>
    <w:rsid w:val="0B8A227A"/>
    <w:rsid w:val="0BA07177"/>
    <w:rsid w:val="0BA50C29"/>
    <w:rsid w:val="0BE91E2C"/>
    <w:rsid w:val="0BE95670"/>
    <w:rsid w:val="0C510D41"/>
    <w:rsid w:val="0C5A7452"/>
    <w:rsid w:val="0CA17C9B"/>
    <w:rsid w:val="0CE7033B"/>
    <w:rsid w:val="0D1158FC"/>
    <w:rsid w:val="0D4119CE"/>
    <w:rsid w:val="0D5279EB"/>
    <w:rsid w:val="0D7C4FAB"/>
    <w:rsid w:val="0D845C3B"/>
    <w:rsid w:val="0D86333C"/>
    <w:rsid w:val="0E2C71F7"/>
    <w:rsid w:val="0E8E59FB"/>
    <w:rsid w:val="0EB16245"/>
    <w:rsid w:val="0F072309"/>
    <w:rsid w:val="0F36F3C5"/>
    <w:rsid w:val="0F514F32"/>
    <w:rsid w:val="0FD63FD1"/>
    <w:rsid w:val="0FF5E7D0"/>
    <w:rsid w:val="100131FC"/>
    <w:rsid w:val="102B64CB"/>
    <w:rsid w:val="106A3C74"/>
    <w:rsid w:val="107439CE"/>
    <w:rsid w:val="10B753BC"/>
    <w:rsid w:val="1140695B"/>
    <w:rsid w:val="11421E5E"/>
    <w:rsid w:val="11583891"/>
    <w:rsid w:val="12552BA2"/>
    <w:rsid w:val="126E3B4A"/>
    <w:rsid w:val="128C628C"/>
    <w:rsid w:val="12966605"/>
    <w:rsid w:val="12F64D28"/>
    <w:rsid w:val="13166D0A"/>
    <w:rsid w:val="133F3E83"/>
    <w:rsid w:val="1363535C"/>
    <w:rsid w:val="13692147"/>
    <w:rsid w:val="139006BC"/>
    <w:rsid w:val="13C23177"/>
    <w:rsid w:val="13C71E0A"/>
    <w:rsid w:val="13CF028E"/>
    <w:rsid w:val="141A4E8B"/>
    <w:rsid w:val="142739E6"/>
    <w:rsid w:val="143212D7"/>
    <w:rsid w:val="143F5FC4"/>
    <w:rsid w:val="14432035"/>
    <w:rsid w:val="14564341"/>
    <w:rsid w:val="149A2E5A"/>
    <w:rsid w:val="14A405FA"/>
    <w:rsid w:val="14D02DA7"/>
    <w:rsid w:val="152165B6"/>
    <w:rsid w:val="15667941"/>
    <w:rsid w:val="157405BF"/>
    <w:rsid w:val="15915971"/>
    <w:rsid w:val="15977DC9"/>
    <w:rsid w:val="15F335E7"/>
    <w:rsid w:val="16000CED"/>
    <w:rsid w:val="162561E4"/>
    <w:rsid w:val="1632480C"/>
    <w:rsid w:val="165A3666"/>
    <w:rsid w:val="165B7F9E"/>
    <w:rsid w:val="16A65656"/>
    <w:rsid w:val="17336CFB"/>
    <w:rsid w:val="17A8AEF4"/>
    <w:rsid w:val="17BF3D3E"/>
    <w:rsid w:val="181F7418"/>
    <w:rsid w:val="182A0A5B"/>
    <w:rsid w:val="183445BD"/>
    <w:rsid w:val="188D4054"/>
    <w:rsid w:val="189936EA"/>
    <w:rsid w:val="18AB01A9"/>
    <w:rsid w:val="18B9619D"/>
    <w:rsid w:val="18BC4164"/>
    <w:rsid w:val="18CB084B"/>
    <w:rsid w:val="18F66476"/>
    <w:rsid w:val="18F7630A"/>
    <w:rsid w:val="191E1DD1"/>
    <w:rsid w:val="19445D81"/>
    <w:rsid w:val="19846B2F"/>
    <w:rsid w:val="198B64F6"/>
    <w:rsid w:val="1A361970"/>
    <w:rsid w:val="1A415334"/>
    <w:rsid w:val="1A7828FB"/>
    <w:rsid w:val="1B08692E"/>
    <w:rsid w:val="1B2B3823"/>
    <w:rsid w:val="1B3E4C43"/>
    <w:rsid w:val="1B8D1DE8"/>
    <w:rsid w:val="1BA210E4"/>
    <w:rsid w:val="1C26713F"/>
    <w:rsid w:val="1C30331C"/>
    <w:rsid w:val="1C9F5B04"/>
    <w:rsid w:val="1CBC1A5B"/>
    <w:rsid w:val="1CD736DF"/>
    <w:rsid w:val="1D2F75FB"/>
    <w:rsid w:val="1DD34A1F"/>
    <w:rsid w:val="1E7F0598"/>
    <w:rsid w:val="1E93011D"/>
    <w:rsid w:val="1E9E2DBE"/>
    <w:rsid w:val="1F0F73FB"/>
    <w:rsid w:val="1F63408D"/>
    <w:rsid w:val="1F7F979A"/>
    <w:rsid w:val="1FC87ED5"/>
    <w:rsid w:val="1FE73CCD"/>
    <w:rsid w:val="1FF70A50"/>
    <w:rsid w:val="20E71C8B"/>
    <w:rsid w:val="2110329F"/>
    <w:rsid w:val="213A031C"/>
    <w:rsid w:val="215F0650"/>
    <w:rsid w:val="21DA4307"/>
    <w:rsid w:val="21DC5877"/>
    <w:rsid w:val="2211698F"/>
    <w:rsid w:val="225F78FB"/>
    <w:rsid w:val="228D26CE"/>
    <w:rsid w:val="22DA352E"/>
    <w:rsid w:val="23244DE0"/>
    <w:rsid w:val="23306766"/>
    <w:rsid w:val="23485F72"/>
    <w:rsid w:val="23651C9F"/>
    <w:rsid w:val="238916A4"/>
    <w:rsid w:val="239B2179"/>
    <w:rsid w:val="24497D13"/>
    <w:rsid w:val="245060A9"/>
    <w:rsid w:val="24A42D25"/>
    <w:rsid w:val="24AA57B9"/>
    <w:rsid w:val="24EA3E14"/>
    <w:rsid w:val="25477E63"/>
    <w:rsid w:val="2568369D"/>
    <w:rsid w:val="2599017F"/>
    <w:rsid w:val="259F2E44"/>
    <w:rsid w:val="260B3B27"/>
    <w:rsid w:val="262107FE"/>
    <w:rsid w:val="26731922"/>
    <w:rsid w:val="26807F58"/>
    <w:rsid w:val="269A4809"/>
    <w:rsid w:val="26C10195"/>
    <w:rsid w:val="26D0553E"/>
    <w:rsid w:val="26D74EC9"/>
    <w:rsid w:val="270C081B"/>
    <w:rsid w:val="27865F67"/>
    <w:rsid w:val="27A12394"/>
    <w:rsid w:val="27CE7A10"/>
    <w:rsid w:val="27D94A95"/>
    <w:rsid w:val="27DE7716"/>
    <w:rsid w:val="281731DB"/>
    <w:rsid w:val="28687DF8"/>
    <w:rsid w:val="286B210C"/>
    <w:rsid w:val="28E046E6"/>
    <w:rsid w:val="29223789"/>
    <w:rsid w:val="29514455"/>
    <w:rsid w:val="29AB625B"/>
    <w:rsid w:val="29C56BF1"/>
    <w:rsid w:val="29D22ED3"/>
    <w:rsid w:val="29E21495"/>
    <w:rsid w:val="29FD21F3"/>
    <w:rsid w:val="2A062B02"/>
    <w:rsid w:val="2A29653A"/>
    <w:rsid w:val="2A756869"/>
    <w:rsid w:val="2A930A9D"/>
    <w:rsid w:val="2A994305"/>
    <w:rsid w:val="2A9F3AC3"/>
    <w:rsid w:val="2AA91C78"/>
    <w:rsid w:val="2B055C91"/>
    <w:rsid w:val="2B3012EB"/>
    <w:rsid w:val="2B4C75CA"/>
    <w:rsid w:val="2B940F71"/>
    <w:rsid w:val="2BAB0C35"/>
    <w:rsid w:val="2BB24484"/>
    <w:rsid w:val="2BBC3B7F"/>
    <w:rsid w:val="2BD23073"/>
    <w:rsid w:val="2BE05F64"/>
    <w:rsid w:val="2BE167EC"/>
    <w:rsid w:val="2BED6F1F"/>
    <w:rsid w:val="2C3B721F"/>
    <w:rsid w:val="2C6C3271"/>
    <w:rsid w:val="2C792587"/>
    <w:rsid w:val="2C893CDB"/>
    <w:rsid w:val="2CA60F5C"/>
    <w:rsid w:val="2CD53B9A"/>
    <w:rsid w:val="2D41674C"/>
    <w:rsid w:val="2D622504"/>
    <w:rsid w:val="2D7256F4"/>
    <w:rsid w:val="2D763723"/>
    <w:rsid w:val="2D932CD3"/>
    <w:rsid w:val="2D990460"/>
    <w:rsid w:val="2DBF0527"/>
    <w:rsid w:val="2DC8748F"/>
    <w:rsid w:val="2E874865"/>
    <w:rsid w:val="2EE54BFF"/>
    <w:rsid w:val="2F155F25"/>
    <w:rsid w:val="2F4621A5"/>
    <w:rsid w:val="2F62130E"/>
    <w:rsid w:val="2F642F4F"/>
    <w:rsid w:val="2F6D582F"/>
    <w:rsid w:val="2F8F217B"/>
    <w:rsid w:val="2F945C9C"/>
    <w:rsid w:val="2FB318C4"/>
    <w:rsid w:val="2FBB395D"/>
    <w:rsid w:val="2FE75B13"/>
    <w:rsid w:val="2FF47773"/>
    <w:rsid w:val="3041265D"/>
    <w:rsid w:val="305B7FDF"/>
    <w:rsid w:val="30781792"/>
    <w:rsid w:val="307F4548"/>
    <w:rsid w:val="30D44173"/>
    <w:rsid w:val="30EE0986"/>
    <w:rsid w:val="30F545DF"/>
    <w:rsid w:val="310962B6"/>
    <w:rsid w:val="31614F93"/>
    <w:rsid w:val="316A1119"/>
    <w:rsid w:val="31912851"/>
    <w:rsid w:val="319D6E9C"/>
    <w:rsid w:val="31AD6213"/>
    <w:rsid w:val="31E032E3"/>
    <w:rsid w:val="32024B1C"/>
    <w:rsid w:val="32904380"/>
    <w:rsid w:val="32C61A89"/>
    <w:rsid w:val="32F91A72"/>
    <w:rsid w:val="3348124B"/>
    <w:rsid w:val="338C409E"/>
    <w:rsid w:val="33AD4687"/>
    <w:rsid w:val="33E711BE"/>
    <w:rsid w:val="34052A0C"/>
    <w:rsid w:val="34DF294B"/>
    <w:rsid w:val="34FE3CD8"/>
    <w:rsid w:val="350701FD"/>
    <w:rsid w:val="351C2F84"/>
    <w:rsid w:val="3557388E"/>
    <w:rsid w:val="3567552A"/>
    <w:rsid w:val="356F0F35"/>
    <w:rsid w:val="357CA632"/>
    <w:rsid w:val="35F52493"/>
    <w:rsid w:val="360045A4"/>
    <w:rsid w:val="36286772"/>
    <w:rsid w:val="36464E91"/>
    <w:rsid w:val="368F6E0E"/>
    <w:rsid w:val="36A91D74"/>
    <w:rsid w:val="36AB673F"/>
    <w:rsid w:val="36E5185A"/>
    <w:rsid w:val="37001426"/>
    <w:rsid w:val="37284E0F"/>
    <w:rsid w:val="3748403E"/>
    <w:rsid w:val="375C0B95"/>
    <w:rsid w:val="37784CF5"/>
    <w:rsid w:val="377E4A13"/>
    <w:rsid w:val="37E527B2"/>
    <w:rsid w:val="37FFF28D"/>
    <w:rsid w:val="38173412"/>
    <w:rsid w:val="3870436D"/>
    <w:rsid w:val="389B2134"/>
    <w:rsid w:val="38C70290"/>
    <w:rsid w:val="38EC7F72"/>
    <w:rsid w:val="394B7113"/>
    <w:rsid w:val="397C1C5A"/>
    <w:rsid w:val="39BC1DBE"/>
    <w:rsid w:val="3A323076"/>
    <w:rsid w:val="3A370E8E"/>
    <w:rsid w:val="3A5A5BBB"/>
    <w:rsid w:val="3A5D10CE"/>
    <w:rsid w:val="3A88267B"/>
    <w:rsid w:val="3AA24C9C"/>
    <w:rsid w:val="3ADD0722"/>
    <w:rsid w:val="3AF30024"/>
    <w:rsid w:val="3B2C5C74"/>
    <w:rsid w:val="3B912340"/>
    <w:rsid w:val="3BBD1E1E"/>
    <w:rsid w:val="3BC47524"/>
    <w:rsid w:val="3BF16F66"/>
    <w:rsid w:val="3BF375EE"/>
    <w:rsid w:val="3BF5596C"/>
    <w:rsid w:val="3BF7E786"/>
    <w:rsid w:val="3BFF33E6"/>
    <w:rsid w:val="3C1771A5"/>
    <w:rsid w:val="3C3257D1"/>
    <w:rsid w:val="3C456863"/>
    <w:rsid w:val="3C60089E"/>
    <w:rsid w:val="3CC2289A"/>
    <w:rsid w:val="3CCD7BCD"/>
    <w:rsid w:val="3CE134AF"/>
    <w:rsid w:val="3D224EE8"/>
    <w:rsid w:val="3D5A3DC8"/>
    <w:rsid w:val="3D7570E2"/>
    <w:rsid w:val="3D7D1F70"/>
    <w:rsid w:val="3DF83E38"/>
    <w:rsid w:val="3E6842C3"/>
    <w:rsid w:val="3E78202C"/>
    <w:rsid w:val="3E79568B"/>
    <w:rsid w:val="3E916A5A"/>
    <w:rsid w:val="3ED94A9B"/>
    <w:rsid w:val="3F160DD8"/>
    <w:rsid w:val="3F19736B"/>
    <w:rsid w:val="3F216F79"/>
    <w:rsid w:val="3F6C112F"/>
    <w:rsid w:val="3F6F1FDE"/>
    <w:rsid w:val="3FBDB38E"/>
    <w:rsid w:val="3FE059F3"/>
    <w:rsid w:val="3FF54D36"/>
    <w:rsid w:val="401A4DB7"/>
    <w:rsid w:val="403149DC"/>
    <w:rsid w:val="40536215"/>
    <w:rsid w:val="40620A2E"/>
    <w:rsid w:val="4066403F"/>
    <w:rsid w:val="406805AA"/>
    <w:rsid w:val="408908EE"/>
    <w:rsid w:val="40896772"/>
    <w:rsid w:val="411D1161"/>
    <w:rsid w:val="41531A84"/>
    <w:rsid w:val="41FD2F74"/>
    <w:rsid w:val="42702D0D"/>
    <w:rsid w:val="42D65F34"/>
    <w:rsid w:val="42F779C3"/>
    <w:rsid w:val="435F0C7D"/>
    <w:rsid w:val="436679D8"/>
    <w:rsid w:val="43C3550B"/>
    <w:rsid w:val="43E40670"/>
    <w:rsid w:val="445B16DE"/>
    <w:rsid w:val="448740F3"/>
    <w:rsid w:val="45684BA8"/>
    <w:rsid w:val="458610A1"/>
    <w:rsid w:val="45B57ED7"/>
    <w:rsid w:val="45B61DB8"/>
    <w:rsid w:val="45E52077"/>
    <w:rsid w:val="45F20916"/>
    <w:rsid w:val="45F610F0"/>
    <w:rsid w:val="4612161E"/>
    <w:rsid w:val="464F5C99"/>
    <w:rsid w:val="46685E10"/>
    <w:rsid w:val="46B12F19"/>
    <w:rsid w:val="471901B2"/>
    <w:rsid w:val="473467DE"/>
    <w:rsid w:val="478C04F1"/>
    <w:rsid w:val="479123FB"/>
    <w:rsid w:val="479A5288"/>
    <w:rsid w:val="47C3064B"/>
    <w:rsid w:val="47E630E4"/>
    <w:rsid w:val="47EE148F"/>
    <w:rsid w:val="47FC6227"/>
    <w:rsid w:val="48632753"/>
    <w:rsid w:val="48811D03"/>
    <w:rsid w:val="48C447EC"/>
    <w:rsid w:val="49014A37"/>
    <w:rsid w:val="49353AF4"/>
    <w:rsid w:val="493D7EB8"/>
    <w:rsid w:val="49675482"/>
    <w:rsid w:val="497C0C22"/>
    <w:rsid w:val="498C34BA"/>
    <w:rsid w:val="4A041E7F"/>
    <w:rsid w:val="4A0465FC"/>
    <w:rsid w:val="4A062BE2"/>
    <w:rsid w:val="4A096307"/>
    <w:rsid w:val="4A0F430C"/>
    <w:rsid w:val="4A570EFB"/>
    <w:rsid w:val="4A983369"/>
    <w:rsid w:val="4AA523FB"/>
    <w:rsid w:val="4AA84B5C"/>
    <w:rsid w:val="4AB03279"/>
    <w:rsid w:val="4AF10782"/>
    <w:rsid w:val="4B5814AC"/>
    <w:rsid w:val="4BFC429C"/>
    <w:rsid w:val="4C0E5B16"/>
    <w:rsid w:val="4C480DB4"/>
    <w:rsid w:val="4C887503"/>
    <w:rsid w:val="4D4B4798"/>
    <w:rsid w:val="4DEE4968"/>
    <w:rsid w:val="4E295A47"/>
    <w:rsid w:val="4E4F4B24"/>
    <w:rsid w:val="4E9C3B15"/>
    <w:rsid w:val="4EAE3DAC"/>
    <w:rsid w:val="4EB03ABC"/>
    <w:rsid w:val="4EEC4E90"/>
    <w:rsid w:val="4F316279"/>
    <w:rsid w:val="4F442421"/>
    <w:rsid w:val="4FEE82F7"/>
    <w:rsid w:val="4FF5172F"/>
    <w:rsid w:val="500A3750"/>
    <w:rsid w:val="50792360"/>
    <w:rsid w:val="50AF7B2F"/>
    <w:rsid w:val="50EA0C38"/>
    <w:rsid w:val="511A58F1"/>
    <w:rsid w:val="515C4C1D"/>
    <w:rsid w:val="51C67537"/>
    <w:rsid w:val="51E657D3"/>
    <w:rsid w:val="51EFBB5D"/>
    <w:rsid w:val="51FF798D"/>
    <w:rsid w:val="52050320"/>
    <w:rsid w:val="522E5D3A"/>
    <w:rsid w:val="522F36E3"/>
    <w:rsid w:val="527C37E2"/>
    <w:rsid w:val="52A66D10"/>
    <w:rsid w:val="52E00474"/>
    <w:rsid w:val="53237473"/>
    <w:rsid w:val="534F15BC"/>
    <w:rsid w:val="537517FC"/>
    <w:rsid w:val="53874F99"/>
    <w:rsid w:val="5399259C"/>
    <w:rsid w:val="54240834"/>
    <w:rsid w:val="54571DEF"/>
    <w:rsid w:val="545D5AF4"/>
    <w:rsid w:val="546F3C12"/>
    <w:rsid w:val="54A61249"/>
    <w:rsid w:val="556B68E0"/>
    <w:rsid w:val="55AA6BB4"/>
    <w:rsid w:val="55B41D2B"/>
    <w:rsid w:val="55F85AD5"/>
    <w:rsid w:val="55FD4C24"/>
    <w:rsid w:val="56183FCE"/>
    <w:rsid w:val="56236D75"/>
    <w:rsid w:val="56BE7FDF"/>
    <w:rsid w:val="56D73191"/>
    <w:rsid w:val="56E90AA3"/>
    <w:rsid w:val="56FA6BE2"/>
    <w:rsid w:val="570E7044"/>
    <w:rsid w:val="5777452D"/>
    <w:rsid w:val="57B70A7D"/>
    <w:rsid w:val="57BD42FE"/>
    <w:rsid w:val="57EF3BD4"/>
    <w:rsid w:val="583B0D6E"/>
    <w:rsid w:val="587753D7"/>
    <w:rsid w:val="58FE2417"/>
    <w:rsid w:val="59106321"/>
    <w:rsid w:val="592A16CF"/>
    <w:rsid w:val="59C02B36"/>
    <w:rsid w:val="59C5631D"/>
    <w:rsid w:val="5A4D67FA"/>
    <w:rsid w:val="5A7616BE"/>
    <w:rsid w:val="5AC461A2"/>
    <w:rsid w:val="5AED46B9"/>
    <w:rsid w:val="5B6C0691"/>
    <w:rsid w:val="5B6C3B0B"/>
    <w:rsid w:val="5BE45D53"/>
    <w:rsid w:val="5C052A04"/>
    <w:rsid w:val="5C215766"/>
    <w:rsid w:val="5C756F80"/>
    <w:rsid w:val="5C7907C5"/>
    <w:rsid w:val="5CAA4817"/>
    <w:rsid w:val="5CBC4731"/>
    <w:rsid w:val="5CD16E8B"/>
    <w:rsid w:val="5D2850E5"/>
    <w:rsid w:val="5D786169"/>
    <w:rsid w:val="5DB65C4E"/>
    <w:rsid w:val="5DD67BA4"/>
    <w:rsid w:val="5DF90711"/>
    <w:rsid w:val="5E5F02BF"/>
    <w:rsid w:val="5E6F69C2"/>
    <w:rsid w:val="5E734892"/>
    <w:rsid w:val="5E743A82"/>
    <w:rsid w:val="5E7C1B9E"/>
    <w:rsid w:val="5F100C1A"/>
    <w:rsid w:val="5F8B2697"/>
    <w:rsid w:val="5F926458"/>
    <w:rsid w:val="5FC058B5"/>
    <w:rsid w:val="5FD849CF"/>
    <w:rsid w:val="5FFF3DD0"/>
    <w:rsid w:val="602120CC"/>
    <w:rsid w:val="60252F1B"/>
    <w:rsid w:val="60443049"/>
    <w:rsid w:val="6091637B"/>
    <w:rsid w:val="60AE3960"/>
    <w:rsid w:val="60C03693"/>
    <w:rsid w:val="610E08A2"/>
    <w:rsid w:val="6123116D"/>
    <w:rsid w:val="6142619F"/>
    <w:rsid w:val="61610FEB"/>
    <w:rsid w:val="617059E9"/>
    <w:rsid w:val="61707F91"/>
    <w:rsid w:val="61727C71"/>
    <w:rsid w:val="618F1D6E"/>
    <w:rsid w:val="619960CB"/>
    <w:rsid w:val="61ED585B"/>
    <w:rsid w:val="61F9789D"/>
    <w:rsid w:val="62035F2D"/>
    <w:rsid w:val="623870B6"/>
    <w:rsid w:val="62AE304C"/>
    <w:rsid w:val="62BC5A0C"/>
    <w:rsid w:val="62D91739"/>
    <w:rsid w:val="62DA2A3D"/>
    <w:rsid w:val="62E70A4E"/>
    <w:rsid w:val="63027F93"/>
    <w:rsid w:val="63122B97"/>
    <w:rsid w:val="632E24C7"/>
    <w:rsid w:val="63531402"/>
    <w:rsid w:val="63A70E45"/>
    <w:rsid w:val="63AA37AD"/>
    <w:rsid w:val="63DC4C88"/>
    <w:rsid w:val="63EF1280"/>
    <w:rsid w:val="63FD1B44"/>
    <w:rsid w:val="64475192"/>
    <w:rsid w:val="64572560"/>
    <w:rsid w:val="6477050C"/>
    <w:rsid w:val="64C45302"/>
    <w:rsid w:val="653B2028"/>
    <w:rsid w:val="65F500A7"/>
    <w:rsid w:val="6603474E"/>
    <w:rsid w:val="665F56FC"/>
    <w:rsid w:val="66A32C93"/>
    <w:rsid w:val="66A739F8"/>
    <w:rsid w:val="66D831F4"/>
    <w:rsid w:val="671059A6"/>
    <w:rsid w:val="673FFC1B"/>
    <w:rsid w:val="676E37C1"/>
    <w:rsid w:val="67FE7BEE"/>
    <w:rsid w:val="681E1FDF"/>
    <w:rsid w:val="6828049B"/>
    <w:rsid w:val="68560168"/>
    <w:rsid w:val="688F633D"/>
    <w:rsid w:val="6891136D"/>
    <w:rsid w:val="68B22B53"/>
    <w:rsid w:val="69283532"/>
    <w:rsid w:val="69457B44"/>
    <w:rsid w:val="694A3D5D"/>
    <w:rsid w:val="695F3B76"/>
    <w:rsid w:val="6AB02619"/>
    <w:rsid w:val="6ACB40EB"/>
    <w:rsid w:val="6AD51B81"/>
    <w:rsid w:val="6AE131C4"/>
    <w:rsid w:val="6B0542A1"/>
    <w:rsid w:val="6B2C02A3"/>
    <w:rsid w:val="6B303356"/>
    <w:rsid w:val="6B413622"/>
    <w:rsid w:val="6B656B5C"/>
    <w:rsid w:val="6B9DDC53"/>
    <w:rsid w:val="6BAB3009"/>
    <w:rsid w:val="6BE91CF0"/>
    <w:rsid w:val="6C4739B4"/>
    <w:rsid w:val="6C4A6B37"/>
    <w:rsid w:val="6C692C46"/>
    <w:rsid w:val="6C7F395F"/>
    <w:rsid w:val="6CBC5B71"/>
    <w:rsid w:val="6CBD4441"/>
    <w:rsid w:val="6CE32BE3"/>
    <w:rsid w:val="6CFE1ACC"/>
    <w:rsid w:val="6D162FB8"/>
    <w:rsid w:val="6D2A61A5"/>
    <w:rsid w:val="6D622A8E"/>
    <w:rsid w:val="6D7D01AD"/>
    <w:rsid w:val="6DD775C2"/>
    <w:rsid w:val="6DE5215B"/>
    <w:rsid w:val="6DF004EC"/>
    <w:rsid w:val="6DF77B0F"/>
    <w:rsid w:val="6E8A0D25"/>
    <w:rsid w:val="6EB44317"/>
    <w:rsid w:val="6EFF5CCE"/>
    <w:rsid w:val="6F1502CF"/>
    <w:rsid w:val="6F3742B2"/>
    <w:rsid w:val="6F5A1CBD"/>
    <w:rsid w:val="6FBA161D"/>
    <w:rsid w:val="6FE25C14"/>
    <w:rsid w:val="6FEA072C"/>
    <w:rsid w:val="6FEF189F"/>
    <w:rsid w:val="70734988"/>
    <w:rsid w:val="70774359"/>
    <w:rsid w:val="70BC367B"/>
    <w:rsid w:val="711F455E"/>
    <w:rsid w:val="71660A98"/>
    <w:rsid w:val="717D3F41"/>
    <w:rsid w:val="71A74D85"/>
    <w:rsid w:val="71C86630"/>
    <w:rsid w:val="71E00465"/>
    <w:rsid w:val="720535FB"/>
    <w:rsid w:val="726254B8"/>
    <w:rsid w:val="72933146"/>
    <w:rsid w:val="72B2653C"/>
    <w:rsid w:val="731D5BEB"/>
    <w:rsid w:val="73446F21"/>
    <w:rsid w:val="734737A0"/>
    <w:rsid w:val="7384DFAE"/>
    <w:rsid w:val="73EF6311"/>
    <w:rsid w:val="744D0FEF"/>
    <w:rsid w:val="74CF3033"/>
    <w:rsid w:val="74E120FE"/>
    <w:rsid w:val="74E267D1"/>
    <w:rsid w:val="752C5CAF"/>
    <w:rsid w:val="75404290"/>
    <w:rsid w:val="755EFF31"/>
    <w:rsid w:val="759871F9"/>
    <w:rsid w:val="759D0B26"/>
    <w:rsid w:val="75A650F5"/>
    <w:rsid w:val="75AD4614"/>
    <w:rsid w:val="75C612F4"/>
    <w:rsid w:val="7664690D"/>
    <w:rsid w:val="76764AC8"/>
    <w:rsid w:val="769036A0"/>
    <w:rsid w:val="76BC735B"/>
    <w:rsid w:val="76DDA844"/>
    <w:rsid w:val="76E73992"/>
    <w:rsid w:val="76EAA9E6"/>
    <w:rsid w:val="76FA6E40"/>
    <w:rsid w:val="77354636"/>
    <w:rsid w:val="775904DE"/>
    <w:rsid w:val="77B21B30"/>
    <w:rsid w:val="77B77146"/>
    <w:rsid w:val="77DD4D1C"/>
    <w:rsid w:val="783B448C"/>
    <w:rsid w:val="789C1DEF"/>
    <w:rsid w:val="78E7774B"/>
    <w:rsid w:val="791D3642"/>
    <w:rsid w:val="792641A0"/>
    <w:rsid w:val="794A4A4D"/>
    <w:rsid w:val="794E57F6"/>
    <w:rsid w:val="798961F5"/>
    <w:rsid w:val="799F856C"/>
    <w:rsid w:val="79A8143C"/>
    <w:rsid w:val="79B3A42B"/>
    <w:rsid w:val="79EF5B99"/>
    <w:rsid w:val="79FCC5C2"/>
    <w:rsid w:val="7A2C59FE"/>
    <w:rsid w:val="7A2E1215"/>
    <w:rsid w:val="7A560E98"/>
    <w:rsid w:val="7A680BCB"/>
    <w:rsid w:val="7A85352B"/>
    <w:rsid w:val="7AA30EC0"/>
    <w:rsid w:val="7AA36941"/>
    <w:rsid w:val="7ABC4A73"/>
    <w:rsid w:val="7AE7E0AF"/>
    <w:rsid w:val="7AEE1724"/>
    <w:rsid w:val="7B8E13F6"/>
    <w:rsid w:val="7B904EA5"/>
    <w:rsid w:val="7B9F11B6"/>
    <w:rsid w:val="7BB15EA8"/>
    <w:rsid w:val="7BF001E1"/>
    <w:rsid w:val="7C185324"/>
    <w:rsid w:val="7C3228D0"/>
    <w:rsid w:val="7C5036C5"/>
    <w:rsid w:val="7C8D62D7"/>
    <w:rsid w:val="7CC0123A"/>
    <w:rsid w:val="7D2232B3"/>
    <w:rsid w:val="7D507824"/>
    <w:rsid w:val="7D597C0A"/>
    <w:rsid w:val="7D5B3087"/>
    <w:rsid w:val="7D6F49FF"/>
    <w:rsid w:val="7D9F8253"/>
    <w:rsid w:val="7DB52379"/>
    <w:rsid w:val="7DBD1736"/>
    <w:rsid w:val="7DCD2671"/>
    <w:rsid w:val="7DFA791B"/>
    <w:rsid w:val="7E051238"/>
    <w:rsid w:val="7E20467A"/>
    <w:rsid w:val="7E3F712D"/>
    <w:rsid w:val="7E6D67B0"/>
    <w:rsid w:val="7EDE320A"/>
    <w:rsid w:val="7EF04D52"/>
    <w:rsid w:val="7EFD85E4"/>
    <w:rsid w:val="7F0769AE"/>
    <w:rsid w:val="7F2464A6"/>
    <w:rsid w:val="7F3044B7"/>
    <w:rsid w:val="7F4853E1"/>
    <w:rsid w:val="7F646CEA"/>
    <w:rsid w:val="7F6BAB70"/>
    <w:rsid w:val="7F6FB0E0"/>
    <w:rsid w:val="7FB7498F"/>
    <w:rsid w:val="7FBB6B94"/>
    <w:rsid w:val="7FBB83D4"/>
    <w:rsid w:val="7FDF04E5"/>
    <w:rsid w:val="7FE24F7C"/>
    <w:rsid w:val="7FEF34E4"/>
    <w:rsid w:val="7FFE85F0"/>
    <w:rsid w:val="7FFF0AF5"/>
    <w:rsid w:val="7FFF42B4"/>
    <w:rsid w:val="8EED7A65"/>
    <w:rsid w:val="93FF24A8"/>
    <w:rsid w:val="AFED0C03"/>
    <w:rsid w:val="AFF1110D"/>
    <w:rsid w:val="B3BF9563"/>
    <w:rsid w:val="B6DFFFE7"/>
    <w:rsid w:val="B9CF5330"/>
    <w:rsid w:val="BDE15E43"/>
    <w:rsid w:val="BDFFE7B3"/>
    <w:rsid w:val="BED855C4"/>
    <w:rsid w:val="BF1779CD"/>
    <w:rsid w:val="BF93BC5D"/>
    <w:rsid w:val="C3F139CD"/>
    <w:rsid w:val="C4FA237C"/>
    <w:rsid w:val="D37FCBC3"/>
    <w:rsid w:val="D67A76F9"/>
    <w:rsid w:val="D8DA13D4"/>
    <w:rsid w:val="DAF7940B"/>
    <w:rsid w:val="DBED3319"/>
    <w:rsid w:val="DDAF128F"/>
    <w:rsid w:val="DECD1764"/>
    <w:rsid w:val="DECF901A"/>
    <w:rsid w:val="DF4E3CA2"/>
    <w:rsid w:val="DFBA8627"/>
    <w:rsid w:val="DFEF5582"/>
    <w:rsid w:val="E3E5A47F"/>
    <w:rsid w:val="E767098B"/>
    <w:rsid w:val="E77F0321"/>
    <w:rsid w:val="ECB341AD"/>
    <w:rsid w:val="ECBFF386"/>
    <w:rsid w:val="ECF3067B"/>
    <w:rsid w:val="EEFF46A8"/>
    <w:rsid w:val="EF7F9AE0"/>
    <w:rsid w:val="EFB15E8D"/>
    <w:rsid w:val="EFFEF141"/>
    <w:rsid w:val="F1B38FD5"/>
    <w:rsid w:val="F34F2529"/>
    <w:rsid w:val="F3EFBCF6"/>
    <w:rsid w:val="F7DCC1F1"/>
    <w:rsid w:val="F7FEFF8D"/>
    <w:rsid w:val="FAFF7853"/>
    <w:rsid w:val="FB6A1606"/>
    <w:rsid w:val="FBCB1465"/>
    <w:rsid w:val="FE6F49C0"/>
    <w:rsid w:val="FE7776F0"/>
    <w:rsid w:val="FEB99198"/>
    <w:rsid w:val="FEFF9896"/>
    <w:rsid w:val="FF7D999B"/>
    <w:rsid w:val="FFCEF905"/>
    <w:rsid w:val="FFFFA9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1"/>
    <w:autoRedefine/>
    <w:qFormat/>
    <w:uiPriority w:val="0"/>
    <w:pPr>
      <w:keepNext/>
      <w:keepLines/>
      <w:widowControl/>
      <w:spacing w:before="120" w:after="60" w:line="500" w:lineRule="exact"/>
      <w:ind w:firstLine="800"/>
      <w:jc w:val="left"/>
      <w:outlineLvl w:val="0"/>
    </w:pPr>
    <w:rPr>
      <w:rFonts w:eastAsia="黑体"/>
      <w:bCs/>
      <w:color w:val="000000"/>
      <w:kern w:val="0"/>
      <w:szCs w:val="28"/>
    </w:rPr>
  </w:style>
  <w:style w:type="paragraph" w:styleId="3">
    <w:name w:val="heading 2"/>
    <w:basedOn w:val="1"/>
    <w:next w:val="1"/>
    <w:link w:val="30"/>
    <w:autoRedefine/>
    <w:qFormat/>
    <w:uiPriority w:val="0"/>
    <w:pPr>
      <w:keepNext/>
      <w:keepLines/>
      <w:widowControl/>
      <w:spacing w:before="120" w:after="60" w:line="500" w:lineRule="exact"/>
      <w:ind w:firstLine="800" w:firstLineChars="200"/>
      <w:jc w:val="left"/>
      <w:outlineLvl w:val="1"/>
    </w:pPr>
    <w:rPr>
      <w:rFonts w:ascii="Times New Roman" w:hAnsi="Times New Roman" w:eastAsia="楷体_GB2312"/>
      <w:bCs/>
      <w:color w:val="000000"/>
      <w:kern w:val="0"/>
      <w:sz w:val="32"/>
      <w:szCs w:val="26"/>
    </w:rPr>
  </w:style>
  <w:style w:type="paragraph" w:styleId="4">
    <w:name w:val="heading 3"/>
    <w:basedOn w:val="1"/>
    <w:next w:val="1"/>
    <w:autoRedefine/>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autoRedefine/>
    <w:qFormat/>
    <w:uiPriority w:val="0"/>
    <w:pPr>
      <w:jc w:val="left"/>
    </w:pPr>
  </w:style>
  <w:style w:type="paragraph" w:styleId="7">
    <w:name w:val="Body Text"/>
    <w:autoRedefine/>
    <w:unhideWhenUsed/>
    <w:qFormat/>
    <w:uiPriority w:val="99"/>
    <w:pPr>
      <w:widowControl w:val="0"/>
      <w:tabs>
        <w:tab w:val="left" w:pos="0"/>
      </w:tabs>
      <w:jc w:val="both"/>
    </w:pPr>
    <w:rPr>
      <w:rFonts w:ascii="宋体" w:hAnsi="宋体" w:eastAsia="仿宋_GB2312" w:cs="Times New Roman"/>
      <w:color w:val="000000"/>
      <w:kern w:val="2"/>
      <w:sz w:val="24"/>
      <w:szCs w:val="21"/>
      <w:lang w:val="en-US" w:eastAsia="zh-CN" w:bidi="ar-SA"/>
    </w:rPr>
  </w:style>
  <w:style w:type="paragraph" w:styleId="8">
    <w:name w:val="Body Text Indent"/>
    <w:basedOn w:val="1"/>
    <w:next w:val="1"/>
    <w:autoRedefine/>
    <w:qFormat/>
    <w:uiPriority w:val="0"/>
    <w:pPr>
      <w:widowControl/>
      <w:spacing w:before="100" w:beforeAutospacing="1" w:after="100" w:afterAutospacing="1"/>
      <w:jc w:val="left"/>
    </w:pPr>
    <w:rPr>
      <w:rFonts w:ascii="宋体" w:hAnsi="宋体" w:eastAsia="宋体"/>
      <w:kern w:val="0"/>
      <w:sz w:val="24"/>
    </w:rPr>
  </w:style>
  <w:style w:type="paragraph" w:styleId="9">
    <w:name w:val="Body Text Indent 2"/>
    <w:basedOn w:val="1"/>
    <w:autoRedefine/>
    <w:qFormat/>
    <w:uiPriority w:val="0"/>
    <w:pPr>
      <w:widowControl/>
      <w:spacing w:line="330" w:lineRule="atLeast"/>
      <w:ind w:firstLine="420"/>
      <w:jc w:val="left"/>
    </w:pPr>
    <w:rPr>
      <w:rFonts w:ascii="宋体" w:hAnsi="宋体"/>
      <w:color w:val="000000"/>
      <w:kern w:val="0"/>
      <w:szCs w:val="21"/>
    </w:rPr>
  </w:style>
  <w:style w:type="paragraph" w:styleId="10">
    <w:name w:val="footer"/>
    <w:basedOn w:val="1"/>
    <w:link w:val="34"/>
    <w:autoRedefine/>
    <w:qFormat/>
    <w:uiPriority w:val="99"/>
    <w:pPr>
      <w:tabs>
        <w:tab w:val="center" w:pos="4153"/>
        <w:tab w:val="right" w:pos="8306"/>
      </w:tabs>
      <w:snapToGrid w:val="0"/>
      <w:jc w:val="left"/>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autoRedefine/>
    <w:qFormat/>
    <w:uiPriority w:val="0"/>
  </w:style>
  <w:style w:type="paragraph" w:styleId="13">
    <w:name w:val="footnote text"/>
    <w:basedOn w:val="1"/>
    <w:autoRedefine/>
    <w:qFormat/>
    <w:uiPriority w:val="0"/>
    <w:pPr>
      <w:snapToGrid w:val="0"/>
      <w:jc w:val="left"/>
    </w:pPr>
    <w:rPr>
      <w:sz w:val="18"/>
    </w:rPr>
  </w:style>
  <w:style w:type="paragraph" w:styleId="14">
    <w:name w:val="toc 2"/>
    <w:basedOn w:val="1"/>
    <w:next w:val="1"/>
    <w:autoRedefine/>
    <w:qFormat/>
    <w:uiPriority w:val="0"/>
    <w:pPr>
      <w:ind w:left="420" w:leftChars="200"/>
    </w:pPr>
  </w:style>
  <w:style w:type="paragraph" w:styleId="1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autoRedefine/>
    <w:qFormat/>
    <w:uiPriority w:val="0"/>
    <w:pPr>
      <w:adjustRightInd w:val="0"/>
      <w:snapToGrid w:val="0"/>
      <w:spacing w:line="360" w:lineRule="auto"/>
      <w:ind w:firstLine="800" w:firstLineChars="200"/>
      <w:jc w:val="left"/>
      <w:outlineLvl w:val="0"/>
    </w:pPr>
    <w:rPr>
      <w:rFonts w:ascii="Arial" w:hAnsi="Arial" w:eastAsia="仿宋"/>
      <w:sz w:val="32"/>
      <w:szCs w:val="32"/>
    </w:rPr>
  </w:style>
  <w:style w:type="paragraph" w:styleId="17">
    <w:name w:val="Body Text First Indent 2"/>
    <w:basedOn w:val="8"/>
    <w:autoRedefine/>
    <w:unhideWhenUsed/>
    <w:qFormat/>
    <w:uiPriority w:val="99"/>
    <w:pPr>
      <w:ind w:firstLine="42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autoRedefine/>
    <w:qFormat/>
    <w:uiPriority w:val="0"/>
    <w:rPr>
      <w:b/>
    </w:rPr>
  </w:style>
  <w:style w:type="character" w:styleId="22">
    <w:name w:val="footnote reference"/>
    <w:basedOn w:val="20"/>
    <w:autoRedefine/>
    <w:qFormat/>
    <w:uiPriority w:val="0"/>
    <w:rPr>
      <w:vertAlign w:val="superscript"/>
    </w:rPr>
  </w:style>
  <w:style w:type="paragraph" w:customStyle="1" w:styleId="23">
    <w:name w:val="_Style 3"/>
    <w:basedOn w:val="1"/>
    <w:next w:val="24"/>
    <w:autoRedefine/>
    <w:unhideWhenUsed/>
    <w:qFormat/>
    <w:uiPriority w:val="99"/>
    <w:pPr>
      <w:spacing w:line="360" w:lineRule="auto"/>
      <w:ind w:firstLine="420" w:firstLineChars="200"/>
      <w:jc w:val="left"/>
    </w:pPr>
    <w:rPr>
      <w:rFonts w:ascii="Times New Roman" w:hAnsi="Times New Roman" w:eastAsia="仿宋"/>
      <w:sz w:val="32"/>
      <w:lang w:eastAsia="zh-TW"/>
    </w:rPr>
  </w:style>
  <w:style w:type="paragraph" w:styleId="24">
    <w:name w:val="List Paragraph"/>
    <w:basedOn w:val="1"/>
    <w:autoRedefine/>
    <w:qFormat/>
    <w:uiPriority w:val="34"/>
    <w:pPr>
      <w:ind w:firstLine="420" w:firstLineChars="200"/>
    </w:pPr>
  </w:style>
  <w:style w:type="paragraph" w:customStyle="1" w:styleId="25">
    <w:name w:val="WPSOffice手动目录 1"/>
    <w:autoRedefine/>
    <w:qFormat/>
    <w:uiPriority w:val="0"/>
    <w:rPr>
      <w:rFonts w:asciiTheme="minorHAnsi" w:hAnsiTheme="minorHAnsi" w:eastAsiaTheme="minorEastAsia" w:cstheme="minorBidi"/>
      <w:lang w:val="en-US" w:eastAsia="zh-CN" w:bidi="ar-SA"/>
    </w:rPr>
  </w:style>
  <w:style w:type="paragraph" w:customStyle="1" w:styleId="26">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character" w:customStyle="1" w:styleId="27">
    <w:name w:val="font11"/>
    <w:basedOn w:val="20"/>
    <w:autoRedefine/>
    <w:qFormat/>
    <w:uiPriority w:val="0"/>
    <w:rPr>
      <w:rFonts w:hint="default" w:ascii="黑体" w:hAnsi="宋体" w:eastAsia="黑体" w:cs="黑体"/>
      <w:color w:val="000000"/>
      <w:sz w:val="20"/>
      <w:szCs w:val="20"/>
      <w:u w:val="none"/>
    </w:rPr>
  </w:style>
  <w:style w:type="character" w:customStyle="1" w:styleId="28">
    <w:name w:val="font21"/>
    <w:basedOn w:val="20"/>
    <w:qFormat/>
    <w:uiPriority w:val="0"/>
    <w:rPr>
      <w:rFonts w:hint="default" w:ascii="黑体" w:hAnsi="宋体" w:eastAsia="黑体" w:cs="黑体"/>
      <w:color w:val="000000"/>
      <w:sz w:val="20"/>
      <w:szCs w:val="20"/>
      <w:u w:val="none"/>
    </w:rPr>
  </w:style>
  <w:style w:type="paragraph" w:customStyle="1" w:styleId="29">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标题 2 字符"/>
    <w:link w:val="3"/>
    <w:autoRedefine/>
    <w:qFormat/>
    <w:uiPriority w:val="0"/>
    <w:rPr>
      <w:rFonts w:ascii="Times New Roman" w:hAnsi="Times New Roman" w:eastAsia="楷体_GB2312"/>
      <w:bCs/>
      <w:color w:val="000000"/>
      <w:kern w:val="0"/>
      <w:sz w:val="32"/>
      <w:szCs w:val="26"/>
    </w:rPr>
  </w:style>
  <w:style w:type="character" w:customStyle="1" w:styleId="31">
    <w:name w:val="标题 1 字符"/>
    <w:link w:val="2"/>
    <w:autoRedefine/>
    <w:qFormat/>
    <w:uiPriority w:val="0"/>
    <w:rPr>
      <w:rFonts w:eastAsia="黑体"/>
      <w:bCs/>
      <w:color w:val="000000"/>
      <w:kern w:val="0"/>
      <w:szCs w:val="28"/>
    </w:rPr>
  </w:style>
  <w:style w:type="character" w:customStyle="1" w:styleId="32">
    <w:name w:val="font41"/>
    <w:basedOn w:val="20"/>
    <w:autoRedefine/>
    <w:qFormat/>
    <w:uiPriority w:val="0"/>
    <w:rPr>
      <w:rFonts w:hint="default" w:ascii="Times New Roman" w:hAnsi="Times New Roman" w:cs="Times New Roman"/>
      <w:color w:val="000000"/>
      <w:sz w:val="20"/>
      <w:szCs w:val="20"/>
      <w:u w:val="none"/>
    </w:rPr>
  </w:style>
  <w:style w:type="character" w:customStyle="1" w:styleId="33">
    <w:name w:val="font31"/>
    <w:basedOn w:val="20"/>
    <w:autoRedefine/>
    <w:qFormat/>
    <w:uiPriority w:val="0"/>
    <w:rPr>
      <w:rFonts w:hint="eastAsia" w:ascii="宋体" w:hAnsi="宋体" w:eastAsia="宋体" w:cs="宋体"/>
      <w:color w:val="000000"/>
      <w:sz w:val="20"/>
      <w:szCs w:val="20"/>
      <w:u w:val="none"/>
    </w:rPr>
  </w:style>
  <w:style w:type="character" w:customStyle="1" w:styleId="34">
    <w:name w:val="页脚 字符"/>
    <w:basedOn w:val="20"/>
    <w:link w:val="10"/>
    <w:qFormat/>
    <w:uiPriority w:val="99"/>
    <w:rPr>
      <w:rFonts w:asciiTheme="minorHAnsi" w:hAnsiTheme="minorHAnsi" w:eastAsiaTheme="minorEastAsia" w:cstheme="minorBidi"/>
      <w:kern w:val="2"/>
      <w:sz w:val="18"/>
      <w:szCs w:val="24"/>
    </w:rPr>
  </w:style>
  <w:style w:type="paragraph" w:customStyle="1" w:styleId="35">
    <w:name w:val="正文格式"/>
    <w:basedOn w:val="29"/>
    <w:autoRedefine/>
    <w:qFormat/>
    <w:uiPriority w:val="0"/>
    <w:pPr>
      <w:widowControl/>
      <w:snapToGrid w:val="0"/>
      <w:spacing w:line="400" w:lineRule="atLeast"/>
      <w:ind w:firstLine="482"/>
      <w:jc w:val="both"/>
      <w:textAlignment w:val="baseline"/>
    </w:pPr>
    <w:rPr>
      <w:rFonts w:ascii="Times New Roman" w:hAnsi="Times New Roman" w:eastAsia="宋体" w:cs="Times New Roman"/>
      <w:kern w:val="0"/>
      <w:sz w:val="24"/>
      <w:szCs w:val="24"/>
      <w:lang w:val="en-US" w:eastAsia="zh-CN" w:bidi="ar-SA"/>
    </w:rPr>
  </w:style>
  <w:style w:type="character" w:customStyle="1" w:styleId="36">
    <w:name w:val="font51"/>
    <w:basedOn w:val="20"/>
    <w:autoRedefine/>
    <w:qFormat/>
    <w:uiPriority w:val="0"/>
    <w:rPr>
      <w:rFonts w:hint="default" w:ascii="Times New Roman" w:hAnsi="Times New Roman" w:cs="Times New Roman"/>
      <w:color w:val="000000"/>
      <w:sz w:val="24"/>
      <w:szCs w:val="24"/>
      <w:u w:val="none"/>
    </w:rPr>
  </w:style>
  <w:style w:type="character" w:customStyle="1" w:styleId="37">
    <w:name w:val="font61"/>
    <w:basedOn w:val="20"/>
    <w:autoRedefine/>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c5012711-4488-4bf7-9099-7957beaf9cfe</errorID>
      <errorWord>至2025年12</errorWord>
      <group>L1_Word</group>
      <groupName>字词问题</groupName>
      <ability>L2_Typo</ability>
      <abilityName>字词错误</abilityName>
      <candidateList>
        <item>截至2025年12</item>
      </candidateList>
      <explain/>
      <paraID>592BC3E6</paraID>
      <start>18</start>
      <end>26</end>
      <status>ignored</status>
      <modifiedWord/>
      <trackRevisions>false</trackRevisions>
    </reviewItem>
    <reviewItem>
      <errorID>7fe1b663-d042-4486-9fb2-30923545e440</errorID>
      <errorWord>详实</errorWord>
      <group>L1_Word</group>
      <groupName>字词问题</groupName>
      <ability>L2_Typo</ability>
      <abilityName>字词错误</abilityName>
      <candidateList>
        <item>翔实</item>
      </candidateList>
      <explain/>
      <paraID>3548C2A7</paraID>
      <start>138</start>
      <end>140</end>
      <status>ignored</status>
      <modifiedWord/>
      <trackRevisions>false</trackRevisions>
    </reviewItem>
    <reviewItem>
      <errorID>cd60f8a5-d1f9-4703-b5d1-c58f6a954bc7</errorID>
      <errorWord>日至2026年</errorWord>
      <group>L1_Word</group>
      <groupName>字词问题</groupName>
      <ability>L2_Typo</ability>
      <abilityName>字词错误</abilityName>
      <candidateList>
        <item>日起至2026年</item>
      </candidateList>
      <explain/>
      <paraID>4F179460</paraID>
      <start>67</start>
      <end>74</end>
      <status>ignored</status>
      <modifiedWord/>
      <trackRevisions>false</trackRevisions>
    </reviewItem>
    <reviewItem>
      <errorID>ef9e71ad-9863-4e06-9763-1c84f87e7400</errorID>
      <errorWord>80%-100%</errorWord>
      <group>L1_Knowledge</group>
      <groupName>知识性问题</groupName>
      <ability>L2_Knowledge</ability>
      <abilityName>其他知识</abilityName>
      <candidateList>
        <item>80%—100%</item>
      </candidateList>
      <explain>1. “80%-100%”中的单位“%”仅出现在后一个数字上，容易引起歧义；根据《现代汉语标点符号数字用法规范手册》，数字表示范围两边需要使用统一的格式。2.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4D9CD097</paraID>
      <start>58</start>
      <end>66</end>
      <status>ignored</status>
      <modifiedWord/>
      <trackRevisions>false</trackRevisions>
    </reviewItem>
    <reviewItem>
      <errorID>8e024327-3b9d-47f4-8ecb-4d5048727846</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4D9CD097</paraID>
      <start>70</start>
      <end>77</end>
      <status>ignored</status>
      <modifiedWord/>
      <trackRevisions>false</trackRevisions>
    </reviewItem>
    <reviewItem>
      <errorID>c9459091-e36b-414e-a9af-e5b876445824</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4D9CD097</paraID>
      <start>82</start>
      <end>89</end>
      <status>ignored</status>
      <modifiedWord/>
      <trackRevisions>false</trackRevisions>
    </reviewItem>
    <reviewItem>
      <errorID>34787e57-97d6-4983-b5dd-3e770cb10f46</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4D9CD097</paraID>
      <start>93</start>
      <end>100</end>
      <status>ignored</status>
      <modifiedWord/>
      <trackRevisions>false</trackRevisions>
    </reviewItem>
    <reviewItem>
      <errorID>551aef5c-d96e-44a5-b0fc-1b4d20c58585</errorID>
      <errorWord>2025年下旬</errorWord>
      <group>L1_Knowledge</group>
      <groupName>知识性问题</groupName>
      <ability>L2_Time</ability>
      <abilityName>日期时间</abilityName>
      <candidateList>
        <item>2025年下半年</item>
      </candidateList>
      <explain>年份后不宜使用“下旬”，建议使用“下半年”。</explain>
      <paraID>73605E94</paraID>
      <start>12</start>
      <end>20</end>
      <status>modified</status>
      <modifiedWord>2025年下半年</modifiedWord>
      <trackRevisions>false</trackRevisions>
    </reviewItem>
    <reviewItem>
      <errorID>c18ea821-3405-483c-b5ed-6d9a4a9ff4e5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73605E94</paraID>
      <start>61</start>
      <end>62</end>
      <status>ignored</status>
      <modifiedWord/>
      <trackRevisions>false</trackRevisions>
    </reviewItem>
    <reviewItem>
      <errorID>af06be86-1e28-40ea-aff4-318ba8733493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7917EE4B</paraID>
      <start>61</start>
      <end>62</end>
      <status>ignored</status>
      <modifiedWord/>
      <trackRevisions>false</trackRevisions>
    </reviewItem>
    <reviewItem>
      <errorID>3b38b402-07eb-4cd7-9eac-2c7df3892933</errorID>
      <errorWord>&lt;</errorWord>
      <group>L1_Format</group>
      <groupName>格式问题</groupName>
      <ability>L2_HalfPunc_CN</ability>
      <abilityName>全半角问题</abilityName>
      <candidateList>
        <item>〈</item>
      </candidateList>
      <explain>文本全半角错误。</explain>
      <paraID>237A8C56</paraID>
      <start>52</start>
      <end>53</end>
      <status>ignored</status>
      <modifiedWord/>
      <trackRevisions>false</trackRevisions>
    </reviewItem>
    <reviewItem>
      <errorID>dd2f988b-006f-49da-a336-6c6e67572e20</errorID>
      <errorWord>&gt;的通知》</errorWord>
      <group>L1_Punc</group>
      <groupName>标点问题</groupName>
      <ability>L2_Punc_CN</ability>
      <abilityName>标点符号问题</abilityName>
      <candidateList>
        <item>〉的通知》</item>
      </candidateList>
      <explain/>
      <paraID>237A8C56</paraID>
      <start>64</start>
      <end>69</end>
      <status>ignored</status>
      <modifiedWord/>
      <trackRevisions>false</trackRevisions>
    </reviewItem>
    <reviewItem>
      <errorID>5d928afa-720f-43a3-90f0-ce67bf5716fd</errorID>
      <errorWord>，</errorWord>
      <group>L1_Word</group>
      <groupName>字词问题</groupName>
      <ability>L2_Typo</ability>
      <abilityName>字词错误</abilityName>
      <candidateList>
        <item>，在</item>
      </candidateList>
      <explain/>
      <paraID>1FEEF446</paraID>
      <start>99</start>
      <end>101</end>
      <status>modified</status>
      <modifiedWord>，在</modifiedWord>
      <trackRevisions>false</trackRevisions>
    </reviewItem>
    <reviewItem>
      <errorID>0f2bc9ea-976c-41ba-b0a8-e1f67b5cdf90</errorID>
      <errorWord>（</errorWord>
      <group>L1_Punc</group>
      <groupName>标点问题</groupName>
      <ability>L2_Punc_CN</ability>
      <abilityName>标点符号问题</abilityName>
      <candidateList/>
      <explain>同一形式括号套用。</explain>
      <paraID>2D1E0A33</paraID>
      <start>86</start>
      <end>87</end>
      <status>ignored</status>
      <modifiedWord/>
      <trackRevisions>false</trackRevisions>
    </reviewItem>
    <reviewItem>
      <errorID>4cd3ae52-1b62-4061-9ba4-ad013b344042</errorID>
      <errorWord>）</errorWord>
      <group>L1_Punc</group>
      <groupName>标点问题</groupName>
      <ability>L2_Punc_CN</ability>
      <abilityName>标点符号问题</abilityName>
      <candidateList/>
      <explain>同一形式括号套用。</explain>
      <paraID>2D1E0A33</paraID>
      <start>89</start>
      <end>90</end>
      <status>ignored</status>
      <modifiedWord/>
      <trackRevisions>false</trackRevisions>
    </reviewItem>
    <reviewItem>
      <errorID>d1cae8f5-744c-4b3f-8b7f-29071ffd17f4</errorID>
      <errorWord>（</errorWord>
      <group>L1_Punc</group>
      <groupName>标点问题</groupName>
      <ability>L2_Punc_CN</ability>
      <abilityName>标点符号问题</abilityName>
      <candidateList/>
      <explain>同一形式括号套用。</explain>
      <paraID>2D1E0A33</paraID>
      <start>125</start>
      <end>126</end>
      <status>ignored</status>
      <modifiedWord/>
      <trackRevisions>false</trackRevisions>
    </reviewItem>
    <reviewItem>
      <errorID>2923aa87-300f-45e1-982b-7a1a7610b7a9</errorID>
      <errorWord>）</errorWord>
      <group>L1_Punc</group>
      <groupName>标点问题</groupName>
      <ability>L2_Punc_CN</ability>
      <abilityName>标点符号问题</abilityName>
      <candidateList/>
      <explain>同一形式括号套用。</explain>
      <paraID>2D1E0A33</paraID>
      <start>128</start>
      <end>129</end>
      <status>ignored</status>
      <modifiedWord/>
      <trackRevisions>false</trackRevisions>
    </reviewItem>
    <reviewItem>
      <errorID>82a0763c-7188-499d-94df-73d1c69c091f</errorID>
      <errorWord>（</errorWord>
      <group>L1_Punc</group>
      <groupName>标点问题</groupName>
      <ability>L2_Punc_CN</ability>
      <abilityName>标点符号问题</abilityName>
      <candidateList/>
      <explain>同一形式括号套用。</explain>
      <paraID>58C9E220</paraID>
      <start>84</start>
      <end>85</end>
      <status>ignored</status>
      <modifiedWord/>
      <trackRevisions>false</trackRevisions>
    </reviewItem>
    <reviewItem>
      <errorID>9e6509d3-4d0a-4244-8fa8-ed8ad150e97c</errorID>
      <errorWord>）</errorWord>
      <group>L1_Punc</group>
      <groupName>标点问题</groupName>
      <ability>L2_Punc_CN</ability>
      <abilityName>标点符号问题</abilityName>
      <candidateList/>
      <explain>同一形式括号套用。</explain>
      <paraID>58C9E220</paraID>
      <start>87</start>
      <end>88</end>
      <status>ignored</status>
      <modifiedWord/>
      <trackRevisions>false</trackRevisions>
    </reviewItem>
    <reviewItem>
      <errorID>1b0dc01d-2bfc-4efc-9b2b-d3ada6327391</errorID>
      <errorWord>&lt;</errorWord>
      <group>L1_Format</group>
      <groupName>格式问题</groupName>
      <ability>L2_HalfPunc_CN</ability>
      <abilityName>全半角问题</abilityName>
      <candidateList>
        <item>〈</item>
      </candidateList>
      <explain>文本全半角错误。</explain>
      <paraID>788072AF</paraID>
      <start>52</start>
      <end>53</end>
      <status>ignored</status>
      <modifiedWord/>
      <trackRevisions>false</trackRevisions>
    </reviewItem>
    <reviewItem>
      <errorID>5474d3ca-bd42-4697-949b-5505ff32450a</errorID>
      <errorWord>&gt;的通知》</errorWord>
      <group>L1_Punc</group>
      <groupName>标点问题</groupName>
      <ability>L2_Punc_CN</ability>
      <abilityName>标点符号问题</abilityName>
      <candidateList>
        <item>〉的通知》</item>
      </candidateList>
      <explain/>
      <paraID>788072AF</paraID>
      <start>64</start>
      <end>69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337f64-f001-4f19-9e57-6a3d45cc3a2c}">
  <ds:schemaRefs/>
</ds:datastoreItem>
</file>

<file path=docProps/app.xml><?xml version="1.0" encoding="utf-8"?>
<Properties xmlns="http://schemas.openxmlformats.org/officeDocument/2006/extended-properties" xmlns:vt="http://schemas.openxmlformats.org/officeDocument/2006/docPropsVTypes">
  <Template>Normal.dotm</Template>
  <Company>WRGHO.COM</Company>
  <Pages>32</Pages>
  <Words>115</Words>
  <Characters>136</Characters>
  <Lines>1683</Lines>
  <Paragraphs>1035</Paragraphs>
  <TotalTime>1</TotalTime>
  <ScaleCrop>false</ScaleCrop>
  <LinksUpToDate>false</LinksUpToDate>
  <CharactersWithSpaces>136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2023-10-11T01:07:00Z</dcterms:created>
  <dc:creator>lenovo</dc:creator>
  <cp:lastModifiedBy>小肉</cp:lastModifiedBy>
  <cp:lastPrinted>2025-07-26T10:32:00Z</cp:lastPrinted>
  <dcterms:modified xsi:type="dcterms:W3CDTF">2026-08-18T06:00:49Z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1F6BE90F66A347E6A49E0D20D2396B53_13</vt:lpwstr>
  </property>
  <property fmtid="{D5CDD505-2E9C-101B-9397-08002B2CF9AE}" pid="4" name="KSOTemplateDocerSaveRecord">
    <vt:lpwstr>eyJoZGlkIjoiMjA1ZDhjN2Y4ZDIzZjhjOGU3NWU2NjI5N2QwN2UyN2QiLCJ1c2VySWQiOiIxNjc2Mjk5Mzc5In0=</vt:lpwstr>
  </property>
</Properties>
</file>