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C58A0">
      <w:pPr>
        <w:adjustRightInd w:val="0"/>
        <w:snapToGrid w:val="0"/>
        <w:jc w:val="center"/>
        <w:rPr>
          <w:rFonts w:ascii="Times New Roman" w:hAnsi="Times New Roman" w:eastAsia="黑体"/>
          <w:sz w:val="48"/>
          <w:szCs w:val="48"/>
        </w:rPr>
      </w:pPr>
    </w:p>
    <w:p w14:paraId="1AA3CC41">
      <w:pPr>
        <w:adjustRightInd w:val="0"/>
        <w:snapToGrid w:val="0"/>
        <w:jc w:val="center"/>
        <w:rPr>
          <w:rFonts w:ascii="Times New Roman" w:hAnsi="Times New Roman" w:eastAsia="黑体"/>
          <w:sz w:val="48"/>
          <w:szCs w:val="48"/>
        </w:rPr>
      </w:pPr>
    </w:p>
    <w:p w14:paraId="5B98D7D5">
      <w:pPr>
        <w:adjustRightInd w:val="0"/>
        <w:snapToGrid w:val="0"/>
        <w:jc w:val="center"/>
        <w:rPr>
          <w:rFonts w:ascii="Times New Roman" w:hAnsi="Times New Roman" w:eastAsia="黑体"/>
          <w:sz w:val="48"/>
          <w:szCs w:val="48"/>
        </w:rPr>
      </w:pPr>
    </w:p>
    <w:p w14:paraId="43CF5D27">
      <w:pPr>
        <w:adjustRightInd w:val="0"/>
        <w:snapToGrid w:val="0"/>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44"/>
          <w:szCs w:val="44"/>
          <w:lang w:eastAsia="zh-CN"/>
        </w:rPr>
        <w:t>科技股权投资专项（含省市股权联动）政策</w:t>
      </w:r>
    </w:p>
    <w:p w14:paraId="0DED09AD">
      <w:pPr>
        <w:adjustRightInd w:val="0"/>
        <w:snapToGrid w:val="0"/>
        <w:jc w:val="center"/>
        <w:rPr>
          <w:rFonts w:ascii="Times New Roman" w:hAnsi="Times New Roman" w:eastAsia="黑体"/>
          <w:sz w:val="48"/>
          <w:szCs w:val="48"/>
        </w:rPr>
      </w:pPr>
    </w:p>
    <w:p w14:paraId="4552FFF6">
      <w:pPr>
        <w:adjustRightInd w:val="0"/>
        <w:snapToGrid w:val="0"/>
        <w:jc w:val="center"/>
        <w:rPr>
          <w:rFonts w:ascii="Times New Roman" w:hAnsi="Times New Roman" w:eastAsia="黑体"/>
          <w:sz w:val="48"/>
          <w:szCs w:val="48"/>
        </w:rPr>
      </w:pPr>
    </w:p>
    <w:p w14:paraId="3F340A5B">
      <w:pPr>
        <w:adjustRightInd w:val="0"/>
        <w:snapToGrid w:val="0"/>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绩 效 评 价 报 告</w:t>
      </w:r>
    </w:p>
    <w:p w14:paraId="6EFF47A5">
      <w:pPr>
        <w:jc w:val="center"/>
      </w:pPr>
    </w:p>
    <w:p w14:paraId="2E326CCF">
      <w:pPr>
        <w:jc w:val="center"/>
      </w:pPr>
    </w:p>
    <w:p w14:paraId="51D9F7CF">
      <w:pPr>
        <w:jc w:val="center"/>
      </w:pPr>
    </w:p>
    <w:p w14:paraId="6CC1600C">
      <w:pPr>
        <w:jc w:val="center"/>
      </w:pPr>
    </w:p>
    <w:p w14:paraId="481799B1">
      <w:pPr>
        <w:jc w:val="center"/>
      </w:pPr>
    </w:p>
    <w:p w14:paraId="6AAA3E17">
      <w:pPr>
        <w:jc w:val="center"/>
      </w:pPr>
    </w:p>
    <w:p w14:paraId="29C776F1">
      <w:pPr>
        <w:jc w:val="center"/>
      </w:pPr>
    </w:p>
    <w:p w14:paraId="4EB9F5CE">
      <w:pPr>
        <w:jc w:val="center"/>
      </w:pPr>
    </w:p>
    <w:p w14:paraId="123DEB49">
      <w:pPr>
        <w:jc w:val="center"/>
      </w:pPr>
    </w:p>
    <w:p w14:paraId="38B03EE9">
      <w:pPr>
        <w:jc w:val="center"/>
      </w:pPr>
    </w:p>
    <w:p w14:paraId="712D3805">
      <w:pPr>
        <w:jc w:val="center"/>
      </w:pPr>
    </w:p>
    <w:p w14:paraId="16BB300C">
      <w:pPr>
        <w:jc w:val="center"/>
      </w:pPr>
    </w:p>
    <w:p w14:paraId="2C3738B9">
      <w:pPr>
        <w:jc w:val="center"/>
      </w:pPr>
    </w:p>
    <w:p w14:paraId="46C51CD6">
      <w:pPr>
        <w:jc w:val="center"/>
      </w:pPr>
    </w:p>
    <w:p w14:paraId="21DF089E">
      <w:pPr>
        <w:jc w:val="center"/>
      </w:pPr>
    </w:p>
    <w:p w14:paraId="503244EA">
      <w:pPr>
        <w:jc w:val="center"/>
      </w:pPr>
    </w:p>
    <w:p w14:paraId="0DC58596">
      <w:pPr>
        <w:jc w:val="center"/>
      </w:pPr>
    </w:p>
    <w:p w14:paraId="6A2F7019">
      <w:pPr>
        <w:jc w:val="center"/>
      </w:pPr>
    </w:p>
    <w:p w14:paraId="19E9983E">
      <w:pPr>
        <w:jc w:val="center"/>
      </w:pPr>
    </w:p>
    <w:p w14:paraId="26EA42F6">
      <w:pPr>
        <w:jc w:val="center"/>
      </w:pPr>
    </w:p>
    <w:p w14:paraId="74B84BFF">
      <w:pPr>
        <w:jc w:val="center"/>
      </w:pPr>
    </w:p>
    <w:p w14:paraId="43176A07">
      <w:pPr>
        <w:spacing w:line="560" w:lineRule="exact"/>
      </w:pPr>
      <w:bookmarkStart w:id="0" w:name="_Toc1810248770"/>
      <w:r>
        <w:rPr>
          <w:rFonts w:hint="eastAsia" w:ascii="楷体_GB2312" w:eastAsia="楷体_GB2312" w:cs="楷体_GB2312" w:hAnsiTheme="majorEastAsia"/>
          <w:sz w:val="36"/>
          <w:szCs w:val="36"/>
        </w:rPr>
        <w:t>第三方机构名称：山东华科仁杰信息咨询有限公司</w:t>
      </w:r>
      <w:bookmarkEnd w:id="0"/>
    </w:p>
    <w:p w14:paraId="1BD7AF6E">
      <w:pPr>
        <w:spacing w:line="560" w:lineRule="exact"/>
        <w:rPr>
          <w:rFonts w:hint="eastAsia" w:ascii="楷体_GB2312" w:eastAsia="楷体_GB2312" w:cs="楷体_GB2312" w:hAnsiTheme="majorEastAsia"/>
          <w:sz w:val="36"/>
          <w:szCs w:val="36"/>
        </w:rPr>
      </w:pPr>
    </w:p>
    <w:p w14:paraId="6A3E1D16">
      <w:pPr>
        <w:spacing w:line="560" w:lineRule="exact"/>
        <w:rPr>
          <w:rFonts w:hint="eastAsia" w:ascii="楷体_GB2312" w:eastAsia="楷体_GB2312" w:cs="楷体_GB2312" w:hAnsiTheme="majorEastAsia"/>
          <w:sz w:val="36"/>
          <w:szCs w:val="36"/>
        </w:rPr>
      </w:pPr>
      <w:r>
        <w:rPr>
          <w:rFonts w:hint="eastAsia" w:ascii="楷体_GB2312" w:eastAsia="楷体_GB2312" w:cs="楷体_GB2312" w:hAnsiTheme="majorEastAsia"/>
          <w:sz w:val="36"/>
          <w:szCs w:val="36"/>
        </w:rPr>
        <w:t>项 目 主 评 人：</w:t>
      </w:r>
    </w:p>
    <w:p w14:paraId="350B30A1">
      <w:pPr>
        <w:adjustRightInd w:val="0"/>
        <w:snapToGrid w:val="0"/>
        <w:jc w:val="center"/>
        <w:rPr>
          <w:rFonts w:hint="eastAsia" w:cs="楷体_GB2312" w:asciiTheme="majorEastAsia" w:hAnsiTheme="majorEastAsia" w:eastAsiaTheme="majorEastAsia"/>
          <w:sz w:val="36"/>
          <w:szCs w:val="36"/>
        </w:rPr>
      </w:pPr>
    </w:p>
    <w:p w14:paraId="64FFAB5B">
      <w:pPr>
        <w:adjustRightInd w:val="0"/>
        <w:snapToGrid w:val="0"/>
        <w:jc w:val="center"/>
        <w:rPr>
          <w:rFonts w:hint="eastAsia" w:cs="楷体_GB2312" w:asciiTheme="majorEastAsia" w:hAnsiTheme="majorEastAsia" w:eastAsiaTheme="majorEastAsia"/>
          <w:sz w:val="36"/>
          <w:szCs w:val="36"/>
        </w:rPr>
      </w:pPr>
    </w:p>
    <w:p w14:paraId="544BF975">
      <w:pPr>
        <w:jc w:val="center"/>
        <w:rPr>
          <w:rFonts w:hint="eastAsia" w:ascii="楷体_GB2312" w:eastAsia="楷体_GB2312" w:cs="Times New Roman" w:hAnsiTheme="majorEastAsia"/>
          <w:kern w:val="0"/>
          <w:sz w:val="36"/>
          <w:szCs w:val="36"/>
        </w:rPr>
      </w:pPr>
      <w:r>
        <w:rPr>
          <w:rFonts w:hint="eastAsia" w:ascii="楷体_GB2312" w:hAnsi="楷体_GB2312" w:eastAsia="楷体_GB2312" w:cs="楷体_GB2312"/>
          <w:kern w:val="0"/>
          <w:sz w:val="36"/>
          <w:szCs w:val="36"/>
        </w:rPr>
        <w:t>202</w:t>
      </w:r>
      <w:r>
        <w:rPr>
          <w:rFonts w:hint="eastAsia" w:ascii="楷体_GB2312" w:hAnsi="楷体_GB2312" w:eastAsia="楷体_GB2312" w:cs="楷体_GB2312"/>
          <w:kern w:val="0"/>
          <w:sz w:val="36"/>
          <w:szCs w:val="36"/>
          <w:lang w:val="en-US" w:eastAsia="zh-CN"/>
        </w:rPr>
        <w:t>6</w:t>
      </w:r>
      <w:r>
        <w:rPr>
          <w:rFonts w:hint="eastAsia" w:ascii="楷体_GB2312" w:hAnsi="楷体_GB2312" w:eastAsia="楷体_GB2312" w:cs="楷体_GB2312"/>
          <w:kern w:val="0"/>
          <w:sz w:val="36"/>
          <w:szCs w:val="36"/>
        </w:rPr>
        <w:t>年</w:t>
      </w:r>
      <w:r>
        <w:rPr>
          <w:rFonts w:hint="eastAsia" w:ascii="楷体_GB2312" w:hAnsi="楷体_GB2312" w:eastAsia="楷体_GB2312" w:cs="楷体_GB2312"/>
          <w:kern w:val="0"/>
          <w:sz w:val="36"/>
          <w:szCs w:val="36"/>
          <w:lang w:val="en-US" w:eastAsia="zh-CN"/>
        </w:rPr>
        <w:t>7</w:t>
      </w:r>
      <w:r>
        <w:rPr>
          <w:rFonts w:hint="eastAsia" w:ascii="楷体_GB2312" w:hAnsi="楷体_GB2312" w:eastAsia="楷体_GB2312" w:cs="楷体_GB2312"/>
          <w:kern w:val="0"/>
          <w:sz w:val="36"/>
          <w:szCs w:val="36"/>
        </w:rPr>
        <w:t>月</w:t>
      </w:r>
    </w:p>
    <w:p w14:paraId="79D59519">
      <w:pPr>
        <w:spacing w:line="600" w:lineRule="exact"/>
        <w:rPr>
          <w:rFonts w:ascii="Times New Roman" w:hAnsi="Times New Roman" w:eastAsia="黑体"/>
          <w:sz w:val="30"/>
          <w:szCs w:val="30"/>
        </w:rPr>
      </w:pPr>
    </w:p>
    <w:p w14:paraId="014D6E16">
      <w:pPr>
        <w:spacing w:line="600" w:lineRule="exact"/>
        <w:rPr>
          <w:rFonts w:ascii="Times New Roman" w:hAnsi="Times New Roman" w:eastAsia="黑体"/>
          <w:sz w:val="30"/>
          <w:szCs w:val="30"/>
        </w:rPr>
        <w:sectPr>
          <w:headerReference r:id="rId4" w:type="first"/>
          <w:footerReference r:id="rId6" w:type="first"/>
          <w:headerReference r:id="rId3" w:type="even"/>
          <w:footerReference r:id="rId5" w:type="even"/>
          <w:type w:val="continuous"/>
          <w:pgSz w:w="11906" w:h="16838"/>
          <w:pgMar w:top="1440" w:right="1800" w:bottom="1440" w:left="1800" w:header="851" w:footer="1361" w:gutter="0"/>
          <w:pgNumType w:fmt="decimal"/>
          <w:cols w:space="0" w:num="1"/>
          <w:docGrid w:linePitch="312" w:charSpace="0"/>
        </w:sectPr>
      </w:pPr>
    </w:p>
    <w:p w14:paraId="0B75E977">
      <w:pPr>
        <w:adjustRightInd w:val="0"/>
        <w:snapToGrid w:val="0"/>
        <w:spacing w:line="360" w:lineRule="auto"/>
        <w:jc w:val="both"/>
        <w:rPr>
          <w:rFonts w:ascii="Times New Roman Regular" w:hAnsi="Times New Roman Regular" w:eastAsia="方正小标宋简体" w:cs="Times New Roman Regular"/>
          <w:sz w:val="32"/>
          <w:szCs w:val="32"/>
        </w:rPr>
      </w:pPr>
    </w:p>
    <w:p w14:paraId="1253AFE4">
      <w:pPr>
        <w:adjustRightInd w:val="0"/>
        <w:snapToGrid w:val="0"/>
        <w:spacing w:line="360" w:lineRule="auto"/>
        <w:jc w:val="center"/>
        <w:rPr>
          <w:rFonts w:hint="eastAsia" w:ascii="方正小标宋简体" w:hAnsi="方正小标宋简体" w:eastAsia="方正小标宋简体" w:cs="方正小标宋简体"/>
          <w:sz w:val="32"/>
          <w:szCs w:val="32"/>
          <w:lang w:eastAsia="zh-CN"/>
        </w:rPr>
        <w:sectPr>
          <w:footerReference r:id="rId7" w:type="default"/>
          <w:type w:val="continuous"/>
          <w:pgSz w:w="11906" w:h="16838"/>
          <w:pgMar w:top="1440" w:right="1800" w:bottom="1440" w:left="1800" w:header="851" w:footer="1361" w:gutter="0"/>
          <w:pgNumType w:fmt="decimal"/>
          <w:cols w:space="0" w:num="1"/>
          <w:docGrid w:linePitch="312" w:charSpace="0"/>
        </w:sectPr>
      </w:pPr>
    </w:p>
    <w:p w14:paraId="783D38AA">
      <w:pPr>
        <w:adjustRightInd w:val="0"/>
        <w:snapToGrid w:val="0"/>
        <w:spacing w:line="360" w:lineRule="auto"/>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eastAsia="zh-CN"/>
        </w:rPr>
        <w:t>科技股权投资专项（含省市股权联动）政策</w:t>
      </w:r>
      <w:r>
        <w:rPr>
          <w:rFonts w:hint="eastAsia" w:ascii="方正小标宋简体" w:hAnsi="方正小标宋简体" w:eastAsia="方正小标宋简体" w:cs="方正小标宋简体"/>
          <w:sz w:val="32"/>
          <w:szCs w:val="32"/>
        </w:rPr>
        <w:t>绩效评价总览表</w:t>
      </w:r>
    </w:p>
    <w:tbl>
      <w:tblPr>
        <w:tblStyle w:val="14"/>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1985"/>
        <w:gridCol w:w="1916"/>
        <w:gridCol w:w="378"/>
        <w:gridCol w:w="2141"/>
      </w:tblGrid>
      <w:tr w14:paraId="5E4EC695">
        <w:trPr>
          <w:trHeight w:val="454" w:hRule="atLeast"/>
          <w:jc w:val="center"/>
        </w:trPr>
        <w:tc>
          <w:tcPr>
            <w:tcW w:w="8558" w:type="dxa"/>
            <w:gridSpan w:val="5"/>
            <w:shd w:val="clear" w:color="auto" w:fill="auto"/>
            <w:vAlign w:val="center"/>
          </w:tcPr>
          <w:p w14:paraId="2E0A5AEB">
            <w:pPr>
              <w:widowControl/>
              <w:snapToGrid w:val="0"/>
              <w:spacing w:line="400" w:lineRule="exact"/>
              <w:jc w:val="center"/>
              <w:rPr>
                <w:rFonts w:hint="eastAsia" w:ascii="黑体" w:hAnsi="黑体" w:eastAsia="黑体"/>
                <w:b/>
                <w:bCs/>
                <w:sz w:val="24"/>
              </w:rPr>
            </w:pPr>
            <w:r>
              <w:rPr>
                <w:rFonts w:hint="eastAsia" w:ascii="黑体" w:hAnsi="黑体" w:eastAsia="黑体"/>
                <w:b w:val="0"/>
                <w:bCs w:val="0"/>
                <w:sz w:val="24"/>
              </w:rPr>
              <w:t>一、</w:t>
            </w:r>
            <w:r>
              <w:rPr>
                <w:rFonts w:hint="eastAsia" w:ascii="黑体" w:hAnsi="黑体" w:eastAsia="黑体"/>
                <w:b w:val="0"/>
                <w:bCs w:val="0"/>
                <w:sz w:val="24"/>
                <w:lang w:val="en-US" w:eastAsia="zh-CN"/>
              </w:rPr>
              <w:t>政策</w:t>
            </w:r>
            <w:r>
              <w:rPr>
                <w:rFonts w:hint="eastAsia" w:ascii="黑体" w:hAnsi="黑体" w:eastAsia="黑体"/>
                <w:b w:val="0"/>
                <w:bCs w:val="0"/>
                <w:sz w:val="24"/>
              </w:rPr>
              <w:t>预算资金安排和使用情况</w:t>
            </w:r>
          </w:p>
        </w:tc>
      </w:tr>
      <w:tr w14:paraId="1D754D5B">
        <w:trPr>
          <w:trHeight w:val="454" w:hRule="atLeast"/>
          <w:jc w:val="center"/>
        </w:trPr>
        <w:tc>
          <w:tcPr>
            <w:tcW w:w="8558" w:type="dxa"/>
            <w:gridSpan w:val="5"/>
            <w:shd w:val="clear" w:color="auto" w:fill="auto"/>
            <w:vAlign w:val="center"/>
          </w:tcPr>
          <w:p w14:paraId="0F251A79">
            <w:pPr>
              <w:widowControl/>
              <w:adjustRightInd w:val="0"/>
              <w:snapToGrid w:val="0"/>
              <w:spacing w:line="400" w:lineRule="exact"/>
              <w:rPr>
                <w:rFonts w:hint="eastAsia" w:ascii="仿宋" w:hAnsi="仿宋" w:eastAsia="仿宋"/>
                <w:bCs/>
                <w:sz w:val="24"/>
                <w:lang w:eastAsia="zh-CN"/>
              </w:rPr>
            </w:pPr>
            <w:r>
              <w:rPr>
                <w:rFonts w:hint="eastAsia" w:ascii="仿宋" w:hAnsi="仿宋" w:eastAsia="仿宋"/>
                <w:b/>
                <w:sz w:val="24"/>
              </w:rPr>
              <w:t>项目名称：</w:t>
            </w:r>
            <w:r>
              <w:rPr>
                <w:rFonts w:hint="eastAsia" w:ascii="仿宋_GB2312" w:hAnsi="仿宋_GB2312" w:eastAsia="仿宋_GB2312" w:cs="仿宋_GB2312"/>
                <w:bCs/>
                <w:sz w:val="24"/>
                <w:lang w:eastAsia="zh-CN"/>
              </w:rPr>
              <w:t>科技股权投资专项（含省市股权联动）</w:t>
            </w:r>
          </w:p>
        </w:tc>
      </w:tr>
      <w:tr w14:paraId="225018CA">
        <w:trPr>
          <w:trHeight w:val="454" w:hRule="atLeast"/>
          <w:jc w:val="center"/>
        </w:trPr>
        <w:tc>
          <w:tcPr>
            <w:tcW w:w="4123" w:type="dxa"/>
            <w:gridSpan w:val="2"/>
            <w:shd w:val="clear" w:color="auto" w:fill="auto"/>
            <w:vAlign w:val="center"/>
          </w:tcPr>
          <w:p w14:paraId="382554C8">
            <w:pPr>
              <w:widowControl/>
              <w:snapToGrid w:val="0"/>
              <w:spacing w:line="400" w:lineRule="exact"/>
              <w:rPr>
                <w:rFonts w:hint="eastAsia" w:ascii="仿宋" w:hAnsi="仿宋" w:eastAsia="仿宋"/>
                <w:bCs/>
                <w:sz w:val="24"/>
                <w:lang w:eastAsia="zh-CN"/>
              </w:rPr>
            </w:pPr>
            <w:r>
              <w:rPr>
                <w:rFonts w:hint="eastAsia" w:ascii="仿宋" w:hAnsi="仿宋" w:eastAsia="仿宋"/>
                <w:b/>
                <w:sz w:val="24"/>
              </w:rPr>
              <w:t>主管部门：</w:t>
            </w:r>
            <w:r>
              <w:rPr>
                <w:rFonts w:hint="eastAsia" w:ascii="Times New Roman Regular" w:hAnsi="Times New Roman Regular" w:eastAsia="仿宋_GB2312" w:cs="Times New Roman Regular"/>
                <w:bCs/>
                <w:sz w:val="24"/>
                <w:lang w:eastAsia="zh-CN"/>
              </w:rPr>
              <w:t>青岛市科学技术局</w:t>
            </w:r>
          </w:p>
        </w:tc>
        <w:tc>
          <w:tcPr>
            <w:tcW w:w="4435" w:type="dxa"/>
            <w:gridSpan w:val="3"/>
            <w:shd w:val="clear" w:color="auto" w:fill="auto"/>
            <w:vAlign w:val="center"/>
          </w:tcPr>
          <w:p w14:paraId="0B324364">
            <w:pPr>
              <w:widowControl/>
              <w:snapToGrid w:val="0"/>
              <w:spacing w:line="400" w:lineRule="exact"/>
              <w:rPr>
                <w:rFonts w:hint="eastAsia" w:ascii="仿宋" w:hAnsi="仿宋" w:eastAsia="仿宋"/>
                <w:bCs/>
                <w:sz w:val="24"/>
                <w:lang w:eastAsia="zh-CN"/>
              </w:rPr>
            </w:pPr>
            <w:r>
              <w:rPr>
                <w:rFonts w:hint="eastAsia" w:ascii="仿宋" w:hAnsi="仿宋" w:eastAsia="仿宋"/>
                <w:b/>
                <w:sz w:val="24"/>
              </w:rPr>
              <w:t>实施单位：</w:t>
            </w:r>
            <w:r>
              <w:rPr>
                <w:rFonts w:hint="eastAsia" w:ascii="Times New Roman Regular" w:hAnsi="Times New Roman Regular" w:eastAsia="仿宋_GB2312" w:cs="Times New Roman Regular"/>
                <w:bCs/>
                <w:sz w:val="24"/>
                <w:lang w:eastAsia="zh-CN"/>
              </w:rPr>
              <w:t>青岛财通集团有限公司</w:t>
            </w:r>
          </w:p>
        </w:tc>
      </w:tr>
      <w:tr w14:paraId="62637E5C">
        <w:trPr>
          <w:trHeight w:val="454" w:hRule="atLeast"/>
          <w:jc w:val="center"/>
        </w:trPr>
        <w:tc>
          <w:tcPr>
            <w:tcW w:w="4123" w:type="dxa"/>
            <w:gridSpan w:val="2"/>
            <w:shd w:val="clear" w:color="auto" w:fill="auto"/>
            <w:vAlign w:val="center"/>
          </w:tcPr>
          <w:p w14:paraId="75D3BF77">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预算安排（万元）</w:t>
            </w:r>
          </w:p>
        </w:tc>
        <w:tc>
          <w:tcPr>
            <w:tcW w:w="4435" w:type="dxa"/>
            <w:gridSpan w:val="3"/>
            <w:shd w:val="clear" w:color="auto" w:fill="auto"/>
            <w:vAlign w:val="center"/>
          </w:tcPr>
          <w:p w14:paraId="57654060">
            <w:pPr>
              <w:widowControl/>
              <w:snapToGrid w:val="0"/>
              <w:spacing w:line="400" w:lineRule="exact"/>
              <w:jc w:val="center"/>
              <w:rPr>
                <w:rFonts w:hint="eastAsia" w:ascii="仿宋_GB2312" w:hAnsi="仿宋_GB2312" w:eastAsia="仿宋_GB2312" w:cs="仿宋_GB2312"/>
                <w:bCs/>
                <w:sz w:val="24"/>
              </w:rPr>
            </w:pPr>
            <w:r>
              <w:rPr>
                <w:rFonts w:hint="eastAsia" w:ascii="仿宋_GB2312" w:hAnsi="仿宋_GB2312" w:eastAsia="仿宋_GB2312" w:cs="仿宋_GB2312"/>
                <w:sz w:val="24"/>
              </w:rPr>
              <w:t>6000</w:t>
            </w:r>
            <w:r>
              <w:rPr>
                <w:rFonts w:hint="eastAsia" w:ascii="仿宋_GB2312" w:hAnsi="仿宋_GB2312" w:eastAsia="仿宋_GB2312" w:cs="仿宋_GB2312"/>
                <w:bCs/>
                <w:sz w:val="24"/>
              </w:rPr>
              <w:t>万元（</w:t>
            </w:r>
            <w:r>
              <w:rPr>
                <w:rFonts w:hint="eastAsia" w:ascii="仿宋_GB2312" w:hAnsi="仿宋_GB2312" w:eastAsia="仿宋_GB2312" w:cs="仿宋_GB2312"/>
                <w:bCs/>
                <w:sz w:val="24"/>
                <w:lang w:val="en-US" w:eastAsia="zh-CN"/>
              </w:rPr>
              <w:t>调剂</w:t>
            </w:r>
            <w:r>
              <w:rPr>
                <w:rFonts w:hint="eastAsia" w:ascii="仿宋_GB2312" w:hAnsi="仿宋_GB2312" w:eastAsia="仿宋_GB2312" w:cs="仿宋_GB2312"/>
                <w:sz w:val="24"/>
              </w:rPr>
              <w:t>后11656.7万元）</w:t>
            </w:r>
          </w:p>
        </w:tc>
      </w:tr>
      <w:tr w14:paraId="26ED4338">
        <w:trPr>
          <w:trHeight w:val="454" w:hRule="atLeast"/>
          <w:jc w:val="center"/>
        </w:trPr>
        <w:tc>
          <w:tcPr>
            <w:tcW w:w="4123" w:type="dxa"/>
            <w:gridSpan w:val="2"/>
            <w:shd w:val="clear" w:color="auto" w:fill="auto"/>
            <w:vAlign w:val="center"/>
          </w:tcPr>
          <w:p w14:paraId="1DF3874F">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其中：</w:t>
            </w:r>
          </w:p>
        </w:tc>
        <w:tc>
          <w:tcPr>
            <w:tcW w:w="1916" w:type="dxa"/>
            <w:shd w:val="clear" w:color="auto" w:fill="auto"/>
            <w:vAlign w:val="center"/>
          </w:tcPr>
          <w:p w14:paraId="229AAD27">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财政拨款</w:t>
            </w:r>
          </w:p>
        </w:tc>
        <w:tc>
          <w:tcPr>
            <w:tcW w:w="2519" w:type="dxa"/>
            <w:gridSpan w:val="2"/>
            <w:shd w:val="clear" w:color="auto" w:fill="auto"/>
            <w:vAlign w:val="center"/>
          </w:tcPr>
          <w:p w14:paraId="22F187A3">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11656.7万元</w:t>
            </w:r>
          </w:p>
        </w:tc>
      </w:tr>
      <w:tr w14:paraId="3D6EBDCD">
        <w:trPr>
          <w:trHeight w:val="454" w:hRule="atLeast"/>
          <w:jc w:val="center"/>
        </w:trPr>
        <w:tc>
          <w:tcPr>
            <w:tcW w:w="4123" w:type="dxa"/>
            <w:gridSpan w:val="2"/>
            <w:shd w:val="clear" w:color="auto" w:fill="auto"/>
            <w:vAlign w:val="center"/>
          </w:tcPr>
          <w:p w14:paraId="77388E5C">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实际</w:t>
            </w:r>
            <w:r>
              <w:rPr>
                <w:rFonts w:hint="eastAsia" w:ascii="仿宋_GB2312" w:hAnsi="仿宋_GB2312" w:eastAsia="仿宋_GB2312" w:cs="仿宋_GB2312"/>
                <w:b/>
                <w:sz w:val="24"/>
                <w:lang w:val="en-US" w:eastAsia="zh-CN"/>
              </w:rPr>
              <w:t>拨付</w:t>
            </w:r>
            <w:r>
              <w:rPr>
                <w:rFonts w:hint="eastAsia" w:ascii="仿宋_GB2312" w:hAnsi="仿宋_GB2312" w:eastAsia="仿宋_GB2312" w:cs="仿宋_GB2312"/>
                <w:b/>
                <w:sz w:val="24"/>
              </w:rPr>
              <w:t>（万元）</w:t>
            </w:r>
          </w:p>
        </w:tc>
        <w:tc>
          <w:tcPr>
            <w:tcW w:w="4435" w:type="dxa"/>
            <w:gridSpan w:val="3"/>
            <w:shd w:val="clear" w:color="auto" w:fill="auto"/>
            <w:vAlign w:val="center"/>
          </w:tcPr>
          <w:p w14:paraId="4FBA6984">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11656.7万元</w:t>
            </w:r>
          </w:p>
        </w:tc>
      </w:tr>
      <w:tr w14:paraId="7205DE61">
        <w:trPr>
          <w:trHeight w:val="454" w:hRule="atLeast"/>
          <w:jc w:val="center"/>
        </w:trPr>
        <w:tc>
          <w:tcPr>
            <w:tcW w:w="8558" w:type="dxa"/>
            <w:gridSpan w:val="5"/>
            <w:shd w:val="clear" w:color="auto" w:fill="auto"/>
            <w:vAlign w:val="center"/>
          </w:tcPr>
          <w:p w14:paraId="5C743AF0">
            <w:pPr>
              <w:widowControl/>
              <w:snapToGrid w:val="0"/>
              <w:spacing w:line="400" w:lineRule="exact"/>
              <w:jc w:val="center"/>
              <w:rPr>
                <w:rFonts w:hint="eastAsia" w:ascii="仿宋" w:hAnsi="仿宋" w:eastAsia="仿宋"/>
                <w:bCs/>
                <w:sz w:val="24"/>
              </w:rPr>
            </w:pPr>
            <w:r>
              <w:rPr>
                <w:rFonts w:hint="eastAsia" w:ascii="黑体" w:hAnsi="黑体" w:eastAsia="黑体"/>
                <w:b w:val="0"/>
                <w:bCs w:val="0"/>
                <w:sz w:val="24"/>
              </w:rPr>
              <w:t>二、</w:t>
            </w:r>
            <w:r>
              <w:rPr>
                <w:rFonts w:hint="eastAsia" w:ascii="黑体" w:hAnsi="黑体" w:eastAsia="黑体"/>
                <w:b w:val="0"/>
                <w:bCs w:val="0"/>
                <w:sz w:val="24"/>
                <w:lang w:val="en-US" w:eastAsia="zh-CN"/>
              </w:rPr>
              <w:t>政策</w:t>
            </w:r>
            <w:r>
              <w:rPr>
                <w:rFonts w:hint="eastAsia" w:ascii="黑体" w:hAnsi="黑体" w:eastAsia="黑体"/>
                <w:b w:val="0"/>
                <w:bCs w:val="0"/>
                <w:sz w:val="24"/>
              </w:rPr>
              <w:t>绩效目标</w:t>
            </w:r>
          </w:p>
        </w:tc>
      </w:tr>
      <w:tr w14:paraId="7A2F14BF">
        <w:trPr>
          <w:trHeight w:val="90" w:hRule="atLeast"/>
          <w:jc w:val="center"/>
        </w:trPr>
        <w:tc>
          <w:tcPr>
            <w:tcW w:w="8558" w:type="dxa"/>
            <w:gridSpan w:val="5"/>
            <w:shd w:val="clear" w:color="auto" w:fill="auto"/>
            <w:vAlign w:val="center"/>
          </w:tcPr>
          <w:p w14:paraId="66311D3B">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（一）绩效目标</w:t>
            </w:r>
          </w:p>
          <w:p w14:paraId="053B5327">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在坚持政府有为、弥补市场不足和突出市场有效、尊重投资规律的原则下，通过财政科技资金以股权投资形式支持科技型企业开展关键技术攻关、重大科研成果转化、产业化示范等，促进科技型企业成长壮大。推动健全财政科技资金股权投资体系，吸引更多社会资本参与和支持科技创新。</w:t>
            </w:r>
          </w:p>
          <w:p w14:paraId="4FF1B62A">
            <w:pPr>
              <w:widowControl/>
              <w:snapToGrid w:val="0"/>
              <w:spacing w:line="400" w:lineRule="exact"/>
              <w:ind w:firstLine="480" w:firstLineChars="200"/>
              <w:rPr>
                <w:rFonts w:hint="eastAsia" w:ascii="仿宋_GB2312" w:hAnsi="仿宋_GB2312" w:eastAsia="仿宋_GB2312" w:cs="仿宋_GB2312"/>
                <w:sz w:val="24"/>
              </w:rPr>
            </w:pPr>
            <w:bookmarkStart w:id="1" w:name="_Toc1450250341"/>
            <w:bookmarkStart w:id="2" w:name="_Toc1830962383"/>
            <w:r>
              <w:rPr>
                <w:rFonts w:hint="eastAsia" w:ascii="仿宋_GB2312" w:hAnsi="仿宋_GB2312" w:eastAsia="仿宋_GB2312" w:cs="仿宋_GB2312"/>
                <w:sz w:val="24"/>
              </w:rPr>
              <w:t>（二）主要指标</w:t>
            </w:r>
            <w:bookmarkEnd w:id="1"/>
            <w:bookmarkEnd w:id="2"/>
          </w:p>
          <w:p w14:paraId="4E785A5A">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2025年计划完成投资项目10个，股权投资完成额11656.7万元，按照青科字〔2024〕15号要求进行投资，股权投资企业标准符合率100%。降低科技型企业融资成本以及技术研发、成果转化风险，助推关键技术攻关及产业化、科技成果转化和科技企业提升，推动科技、金融、产业深度融合，为全市新质生产力发展提供坚实的科技支撑。</w:t>
            </w:r>
          </w:p>
        </w:tc>
      </w:tr>
      <w:tr w14:paraId="401BD1B2">
        <w:trPr>
          <w:trHeight w:val="454" w:hRule="atLeast"/>
          <w:jc w:val="center"/>
        </w:trPr>
        <w:tc>
          <w:tcPr>
            <w:tcW w:w="8558" w:type="dxa"/>
            <w:gridSpan w:val="5"/>
            <w:shd w:val="clear" w:color="auto" w:fill="auto"/>
            <w:vAlign w:val="center"/>
          </w:tcPr>
          <w:p w14:paraId="7B3BCC5C">
            <w:pPr>
              <w:widowControl/>
              <w:snapToGrid w:val="0"/>
              <w:spacing w:line="400" w:lineRule="exact"/>
              <w:jc w:val="center"/>
              <w:rPr>
                <w:rFonts w:hint="eastAsia" w:ascii="黑体" w:hAnsi="黑体" w:eastAsia="黑体"/>
                <w:b/>
                <w:bCs/>
                <w:sz w:val="24"/>
              </w:rPr>
            </w:pPr>
            <w:r>
              <w:rPr>
                <w:rFonts w:hint="eastAsia" w:ascii="黑体" w:hAnsi="黑体" w:eastAsia="黑体"/>
                <w:b w:val="0"/>
                <w:bCs w:val="0"/>
                <w:sz w:val="24"/>
              </w:rPr>
              <w:t>三、实施成效</w:t>
            </w:r>
          </w:p>
        </w:tc>
      </w:tr>
      <w:tr w14:paraId="32F05C63">
        <w:trPr>
          <w:trHeight w:val="454" w:hRule="atLeast"/>
          <w:jc w:val="center"/>
        </w:trPr>
        <w:tc>
          <w:tcPr>
            <w:tcW w:w="8558" w:type="dxa"/>
            <w:gridSpan w:val="5"/>
            <w:shd w:val="clear" w:color="auto" w:fill="auto"/>
            <w:vAlign w:val="center"/>
          </w:tcPr>
          <w:p w14:paraId="11BAC14F">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（一）发挥股权投资</w:t>
            </w:r>
            <w:r>
              <w:rPr>
                <w:rFonts w:hint="eastAsia" w:ascii="仿宋_GB2312" w:hAnsi="仿宋_GB2312" w:eastAsia="仿宋_GB2312" w:cs="仿宋_GB2312"/>
                <w:sz w:val="24"/>
                <w:lang w:val="en-US" w:eastAsia="zh-CN"/>
              </w:rPr>
              <w:t>带</w:t>
            </w:r>
            <w:r>
              <w:rPr>
                <w:rFonts w:hint="eastAsia" w:ascii="仿宋_GB2312" w:hAnsi="仿宋_GB2312" w:eastAsia="仿宋_GB2312" w:cs="仿宋_GB2312"/>
                <w:sz w:val="24"/>
              </w:rPr>
              <w:t>动效应，赋能科创企业技术攻坚</w:t>
            </w:r>
          </w:p>
          <w:p w14:paraId="2836884E">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2025年度市级科技股权投资设立运营以来，先后完成青岛无疆技术有限公司、青岛未来移动医疗科技有限公司等科创企业股权投资布局。充分发挥财政资金杠杆撬动作用，集聚中芯国际、上汽集团、国泰海通、中信金石等头部产业龙头、国有资本平台及市场化专业投资机构协同赋能，支撑被投企业深耕细分赛道、推进</w:t>
            </w:r>
            <w:r>
              <w:rPr>
                <w:rFonts w:hint="eastAsia" w:ascii="仿宋_GB2312" w:hAnsi="仿宋_GB2312" w:eastAsia="仿宋_GB2312" w:cs="仿宋_GB2312"/>
                <w:sz w:val="24"/>
                <w:lang w:eastAsia="zh-CN"/>
              </w:rPr>
              <w:t>关键核心技术</w:t>
            </w:r>
            <w:r>
              <w:rPr>
                <w:rFonts w:hint="eastAsia" w:ascii="仿宋_GB2312" w:hAnsi="仿宋_GB2312" w:eastAsia="仿宋_GB2312" w:cs="仿宋_GB2312"/>
                <w:sz w:val="24"/>
              </w:rPr>
              <w:t>研发攻关，加速产业技术创新迭代。</w:t>
            </w:r>
          </w:p>
          <w:p w14:paraId="13C873F1">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（二）创新财政投研赋能路径，拓宽科创企业融资渠道</w:t>
            </w:r>
          </w:p>
          <w:p w14:paraId="4A9D5D93">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持续探索财政科技资金服务企业科技创新多元化新模式，依托市级科技股权投资工具丰富企业多层次融资供给，有效拓宽科技型中小企业融资路径；精准聚焦重点产业领域关键核心技术攻关、前沿科技成果落地转化、优质科创企业梯度培育壮大，以市场化股权投资赋能产业创新发展，加速创新资源与实体经济深度融合，助力科技企业提质增效、做大做强。</w:t>
            </w:r>
          </w:p>
          <w:p w14:paraId="37053B39">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三）聚焦城市重点产业，支持科创成果落地转化</w:t>
            </w:r>
          </w:p>
          <w:p w14:paraId="76A394B4">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市级科技股权投资紧扣青岛市“10+1”创新型产业体系及现代海洋产业建设，围绕先进封装、新一代信息技术、生命健康等重点赛道精准发力，先后投向山东大学落地青岛国家重点实验室科研成果转化企业合碳创物，以及物元半导体企业，同时布局无疆技术等海洋监测设备、无人船艇海洋科技主体，以及高端雾化给药设备企业未来医疗。通过资本赋能推动高校实验室成果产业化，补强半导体产业链关键环节，壮大海洋特色产业创新主体，助力青岛市产业提质升级，推动创新资源向城市重点战略产业集聚。</w:t>
            </w:r>
          </w:p>
        </w:tc>
      </w:tr>
      <w:tr w14:paraId="24E17624">
        <w:trPr>
          <w:trHeight w:val="454" w:hRule="atLeast"/>
          <w:jc w:val="center"/>
        </w:trPr>
        <w:tc>
          <w:tcPr>
            <w:tcW w:w="8558" w:type="dxa"/>
            <w:gridSpan w:val="5"/>
            <w:shd w:val="clear" w:color="auto" w:fill="auto"/>
            <w:vAlign w:val="center"/>
          </w:tcPr>
          <w:p w14:paraId="4A150EB1">
            <w:pPr>
              <w:pStyle w:val="19"/>
              <w:widowControl/>
              <w:snapToGrid w:val="0"/>
              <w:spacing w:line="400" w:lineRule="exact"/>
              <w:ind w:firstLineChars="0"/>
              <w:jc w:val="center"/>
              <w:rPr>
                <w:rFonts w:hint="eastAsia" w:ascii="仿宋" w:hAnsi="仿宋"/>
                <w:b/>
                <w:sz w:val="24"/>
                <w:lang w:eastAsia="zh-CN"/>
              </w:rPr>
            </w:pPr>
            <w:r>
              <w:rPr>
                <w:rFonts w:hint="eastAsia" w:ascii="黑体" w:hAnsi="黑体" w:eastAsia="黑体"/>
                <w:b w:val="0"/>
                <w:bCs w:val="0"/>
                <w:sz w:val="24"/>
                <w:lang w:eastAsia="zh-CN"/>
              </w:rPr>
              <w:t>四、主要问题及有关建议</w:t>
            </w:r>
          </w:p>
        </w:tc>
      </w:tr>
      <w:tr w14:paraId="1B19E718">
        <w:trPr>
          <w:trHeight w:val="3616" w:hRule="atLeast"/>
          <w:jc w:val="center"/>
        </w:trPr>
        <w:tc>
          <w:tcPr>
            <w:tcW w:w="8558" w:type="dxa"/>
            <w:gridSpan w:val="5"/>
            <w:shd w:val="clear" w:color="auto" w:fill="auto"/>
            <w:vAlign w:val="center"/>
          </w:tcPr>
          <w:p w14:paraId="17EEE324">
            <w:pPr>
              <w:widowControl/>
              <w:numPr>
                <w:ilvl w:val="0"/>
                <w:numId w:val="0"/>
              </w:numPr>
              <w:snapToGrid w:val="0"/>
              <w:spacing w:line="400" w:lineRule="exact"/>
              <w:ind w:firstLine="480" w:firstLineChars="200"/>
              <w:rPr>
                <w:rFonts w:hint="default" w:ascii="Times New Roman Regular" w:hAnsi="Times New Roman Regular" w:eastAsia="仿宋_GB2312" w:cs="Times New Roman Regular"/>
                <w:sz w:val="24"/>
              </w:rPr>
            </w:pPr>
            <w:r>
              <w:rPr>
                <w:rFonts w:hint="default" w:ascii="Times New Roman Regular" w:hAnsi="Times New Roman Regular" w:eastAsia="仿宋_GB2312" w:cs="Times New Roman Regular"/>
                <w:sz w:val="24"/>
                <w:lang w:eastAsia="zh-CN"/>
              </w:rPr>
              <w:t>（</w:t>
            </w:r>
            <w:r>
              <w:rPr>
                <w:rFonts w:hint="default" w:ascii="Times New Roman Regular" w:hAnsi="Times New Roman Regular" w:eastAsia="仿宋_GB2312" w:cs="Times New Roman Regular"/>
                <w:sz w:val="24"/>
                <w:lang w:val="en-US" w:eastAsia="zh-CN"/>
              </w:rPr>
              <w:t>一</w:t>
            </w:r>
            <w:r>
              <w:rPr>
                <w:rFonts w:hint="default" w:ascii="Times New Roman Regular" w:hAnsi="Times New Roman Regular" w:eastAsia="仿宋_GB2312" w:cs="Times New Roman Regular"/>
                <w:sz w:val="24"/>
                <w:lang w:eastAsia="zh-CN"/>
              </w:rPr>
              <w:t>）</w:t>
            </w:r>
            <w:r>
              <w:rPr>
                <w:rFonts w:hint="default" w:ascii="Times New Roman Regular" w:hAnsi="Times New Roman Regular" w:eastAsia="仿宋_GB2312" w:cs="Times New Roman Regular"/>
                <w:sz w:val="24"/>
              </w:rPr>
              <w:t>主要问题</w:t>
            </w:r>
          </w:p>
          <w:p w14:paraId="676DB22D">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rPr>
              <w:t>政策尚</w:t>
            </w:r>
            <w:r>
              <w:rPr>
                <w:rFonts w:hint="eastAsia" w:ascii="仿宋_GB2312" w:hAnsi="仿宋_GB2312" w:eastAsia="仿宋_GB2312" w:cs="仿宋_GB2312"/>
                <w:sz w:val="24"/>
                <w:lang w:eastAsia="zh-CN"/>
              </w:rPr>
              <w:t>处于</w:t>
            </w:r>
            <w:r>
              <w:rPr>
                <w:rFonts w:hint="eastAsia" w:ascii="仿宋_GB2312" w:hAnsi="仿宋_GB2312" w:eastAsia="仿宋_GB2312" w:cs="仿宋_GB2312"/>
                <w:sz w:val="24"/>
                <w:lang w:val="en-US" w:eastAsia="zh-CN"/>
              </w:rPr>
              <w:t>实施</w:t>
            </w:r>
            <w:r>
              <w:rPr>
                <w:rFonts w:hint="default" w:ascii="仿宋_GB2312" w:hAnsi="仿宋_GB2312" w:eastAsia="仿宋_GB2312" w:cs="仿宋_GB2312"/>
                <w:sz w:val="24"/>
              </w:rPr>
              <w:t>初期，</w:t>
            </w:r>
            <w:r>
              <w:rPr>
                <w:rFonts w:hint="eastAsia" w:ascii="仿宋_GB2312" w:hAnsi="仿宋_GB2312" w:eastAsia="仿宋_GB2312" w:cs="仿宋_GB2312"/>
                <w:sz w:val="24"/>
                <w:lang w:val="en-US" w:eastAsia="zh-CN"/>
              </w:rPr>
              <w:t>投资</w:t>
            </w:r>
            <w:r>
              <w:rPr>
                <w:rFonts w:hint="default" w:ascii="仿宋_GB2312" w:hAnsi="仿宋_GB2312" w:eastAsia="仿宋_GB2312" w:cs="仿宋_GB2312"/>
                <w:sz w:val="24"/>
              </w:rPr>
              <w:t>项目落地数量偏少</w:t>
            </w:r>
          </w:p>
          <w:p w14:paraId="2E9E5C21">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2025年市科技局分两批累计向财通集团推送48个科技股权投资初选项目，年度计划完成市级股权投资项目10个，因核心投资环节具有刚性周期等原因，截至2026年5月31日，财通集团完成4个项目出资，仅占初选项目总量的8.33%。从资金量来看，2025年初预算6000万元，另从科技专项资金调剂5656.7万元，市科技局在2025年11月11日、11月21日、12月23日累计拨付至财通集团资金11656.7万元，其中市级股权投资项目资金8656.7万元，省市联动项目资金3000万元，截至2026年5月31日，财通集团实际出资7000万元，整体资金完成率60.05%。其中，省市联动项目出资已完成，市级股权投资项目完成46.2%。另外1个项目因投资方较多、分批次交割尚未完成工商变更、章程登记工作。</w:t>
            </w:r>
          </w:p>
          <w:p w14:paraId="6E4E5733">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w:t>
            </w:r>
            <w:r>
              <w:rPr>
                <w:rFonts w:hint="default" w:ascii="仿宋_GB2312" w:hAnsi="仿宋_GB2312" w:eastAsia="仿宋_GB2312" w:cs="仿宋_GB2312"/>
                <w:sz w:val="24"/>
                <w:lang w:val="en-US" w:eastAsia="zh-CN"/>
              </w:rPr>
              <w:t>项目实施规范性有待提升</w:t>
            </w:r>
          </w:p>
          <w:p w14:paraId="70D74142">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一是专项资金专户管理不完善。2025年11月11日市科技局首次拨付5000万元</w:t>
            </w:r>
            <w:r>
              <w:rPr>
                <w:rFonts w:hint="eastAsia" w:ascii="仿宋_GB2312" w:hAnsi="仿宋_GB2312" w:eastAsia="仿宋_GB2312" w:cs="仿宋_GB2312"/>
                <w:b w:val="0"/>
                <w:bCs w:val="0"/>
                <w:sz w:val="24"/>
                <w:szCs w:val="24"/>
                <w:lang w:val="en-US" w:eastAsia="zh-CN"/>
              </w:rPr>
              <w:t>市级</w:t>
            </w:r>
            <w:r>
              <w:rPr>
                <w:rFonts w:hint="eastAsia" w:ascii="仿宋_GB2312" w:hAnsi="仿宋_GB2312" w:eastAsia="仿宋_GB2312" w:cs="仿宋_GB2312"/>
                <w:sz w:val="24"/>
                <w:lang w:val="en-US" w:eastAsia="zh-CN"/>
              </w:rPr>
              <w:t>股权投资资金，财通集团2025年12月5日完成托管专户开立，未在专户设立后及时全额划转至指定托管账户，而是在对外投资出资时再划入专户对外拨付相应款项。二是财通集团未在2026年4月30日前完成年度财务报告、业务报告报送工作。三是资金拨付主体为入库项目母公司。市科技局推送入库企业为青岛合碳创物科技有限公司，财通集团基于商业谈判与该企业母公司杭州合碳创物科技有限公司签订股权投资协议，并约定投资资金全部用于青岛合碳，投资后杭州合碳于2026年4月24日将资金全额汇至青岛合碳用于其业务开展。</w:t>
            </w:r>
          </w:p>
          <w:p w14:paraId="4B0ADA34">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3.容错容损制度建设有待加强，科技股权协议部分内容不够明晰</w:t>
            </w:r>
          </w:p>
          <w:p w14:paraId="16DD2FA1">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未制定容错容损工作制度。青科字〔2024〕15号文件规定，“受托管理机构应制定容错容损办法，明确尽职免责范围、情形及程序，对因不可预测市场波动等客观因素导致的投资损失，免予追责。”财通集团尚未按规定制定配套容错容损相关制度。二是科技股权投资协议部分内容约定不够明晰。在实际执行中，部分协议对投资项目建设、验收方案、管理及技术团队建设等关键内容约定较为笼统，导致不同项目股权投资协议相关条款表述口径不够明晰。</w:t>
            </w:r>
          </w:p>
          <w:p w14:paraId="7105AA94">
            <w:pPr>
              <w:widowControl/>
              <w:snapToGrid w:val="0"/>
              <w:spacing w:line="400" w:lineRule="exact"/>
              <w:ind w:firstLine="480" w:firstLineChars="200"/>
              <w:rPr>
                <w:rFonts w:hint="default" w:ascii="Times New Roman Regular" w:hAnsi="Times New Roman Regular" w:eastAsia="仿宋_GB2312" w:cs="Times New Roman Regular"/>
                <w:sz w:val="24"/>
                <w:lang w:val="en-US" w:eastAsia="zh-CN"/>
              </w:rPr>
            </w:pPr>
            <w:r>
              <w:rPr>
                <w:rFonts w:hint="eastAsia" w:ascii="Times New Roman Regular" w:hAnsi="Times New Roman Regular" w:eastAsia="仿宋_GB2312" w:cs="Times New Roman Regular"/>
                <w:sz w:val="24"/>
                <w:lang w:val="en-US" w:eastAsia="zh-CN"/>
              </w:rPr>
              <w:t>（二）</w:t>
            </w:r>
            <w:r>
              <w:rPr>
                <w:rFonts w:hint="default" w:ascii="Times New Roman Regular" w:hAnsi="Times New Roman Regular" w:eastAsia="仿宋_GB2312" w:cs="Times New Roman Regular"/>
                <w:sz w:val="24"/>
                <w:lang w:val="en-US" w:eastAsia="zh-CN"/>
              </w:rPr>
              <w:t>相关建议</w:t>
            </w:r>
          </w:p>
          <w:p w14:paraId="2FC1803C">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1.加快储备项目落地转化，切实提高财政资金使用效益</w:t>
            </w:r>
          </w:p>
          <w:p w14:paraId="5AA89F44">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规范项目实施管理。进一步完善例外事项事前沟通汇报机制。建议财通集团建立项目推进调度台账，在严守投资风控底线的基础上最大限度压缩项目落地周期，加快资金投放进度，提升资金使用效率。二是拓宽优质项目储备来源。加强各区市科技主管部门、产业园区联动，对具备融资需求、符合股权投资准入标准的优质科技企业，持续充实项目储备。同时加强与有发展潜力的科技企业对接融资需求，增加可落地投资项目供给。</w:t>
            </w:r>
          </w:p>
          <w:p w14:paraId="4D5310E9">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2.落实政策制度规定，进一步提升业务操作水平</w:t>
            </w:r>
          </w:p>
          <w:p w14:paraId="36B824AF">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落实资金专户托管要求。厘清专户管理工作思路，对专户管理方式进行明确。按照《科技股权投资资金委托管理协议》条款，应收到拨付资金后及时全额划转至指定托管账户，所有股权投资支出统一通过指定托管账户办理。二是落实青科字〔2024〕15号等文件相关要求。财通集团应按时报送财务报告、业务报告等相关工作，进一步提升业务操作水平。</w:t>
            </w:r>
          </w:p>
          <w:p w14:paraId="00C4CA73">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3.加强激励容错机制建设，优化股权投资协议条款管理</w:t>
            </w:r>
          </w:p>
          <w:p w14:paraId="334938EF">
            <w:pPr>
              <w:widowControl/>
              <w:snapToGrid w:val="0"/>
              <w:spacing w:line="400" w:lineRule="exact"/>
              <w:ind w:firstLine="480" w:firstLineChars="200"/>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一是完善配套管理制度体系。落实青科字〔2024〕15号相关要求，制定容错容损管理相关制度，清晰界定尽职免责适用情形、认定标准与办理流程，厘清投资履职边界。二是优化股权投资协议条款管理。建议财通集团对外投资时，应进一步明晰协议关键信息，减少不同项目间协议表述差异。</w:t>
            </w:r>
          </w:p>
        </w:tc>
      </w:tr>
      <w:tr w14:paraId="1AD5EE97">
        <w:trPr>
          <w:trHeight w:val="454" w:hRule="atLeast"/>
          <w:jc w:val="center"/>
        </w:trPr>
        <w:tc>
          <w:tcPr>
            <w:tcW w:w="8558" w:type="dxa"/>
            <w:gridSpan w:val="5"/>
            <w:shd w:val="clear" w:color="auto" w:fill="auto"/>
            <w:vAlign w:val="center"/>
          </w:tcPr>
          <w:p w14:paraId="4BC33505">
            <w:pPr>
              <w:widowControl/>
              <w:snapToGrid w:val="0"/>
              <w:spacing w:line="400" w:lineRule="exact"/>
              <w:jc w:val="center"/>
              <w:rPr>
                <w:rFonts w:hint="eastAsia" w:ascii="仿宋_GB2312" w:hAnsi="仿宋_GB2312" w:eastAsia="仿宋_GB2312" w:cs="仿宋_GB2312"/>
                <w:sz w:val="24"/>
              </w:rPr>
            </w:pPr>
            <w:r>
              <w:rPr>
                <w:rFonts w:hint="eastAsia" w:ascii="黑体" w:hAnsi="黑体" w:eastAsia="黑体" w:cs="Times New Roman"/>
                <w:b w:val="0"/>
                <w:bCs w:val="0"/>
                <w:sz w:val="24"/>
              </w:rPr>
              <w:t>五、评价得分和等级</w:t>
            </w:r>
          </w:p>
        </w:tc>
      </w:tr>
      <w:tr w14:paraId="425C47B9">
        <w:trPr>
          <w:trHeight w:val="454" w:hRule="atLeast"/>
          <w:jc w:val="center"/>
        </w:trPr>
        <w:tc>
          <w:tcPr>
            <w:tcW w:w="2138" w:type="dxa"/>
            <w:shd w:val="clear" w:color="auto" w:fill="auto"/>
            <w:vAlign w:val="center"/>
          </w:tcPr>
          <w:p w14:paraId="1C2ECE4E">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一级指标</w:t>
            </w:r>
          </w:p>
        </w:tc>
        <w:tc>
          <w:tcPr>
            <w:tcW w:w="1985" w:type="dxa"/>
            <w:shd w:val="clear" w:color="auto" w:fill="auto"/>
            <w:vAlign w:val="center"/>
          </w:tcPr>
          <w:p w14:paraId="4AAD49B2">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指标分值</w:t>
            </w:r>
          </w:p>
        </w:tc>
        <w:tc>
          <w:tcPr>
            <w:tcW w:w="2294" w:type="dxa"/>
            <w:gridSpan w:val="2"/>
            <w:shd w:val="clear" w:color="auto" w:fill="auto"/>
            <w:vAlign w:val="center"/>
          </w:tcPr>
          <w:p w14:paraId="74F116D0">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得分</w:t>
            </w:r>
          </w:p>
        </w:tc>
        <w:tc>
          <w:tcPr>
            <w:tcW w:w="2141" w:type="dxa"/>
            <w:shd w:val="clear" w:color="auto" w:fill="auto"/>
            <w:vAlign w:val="center"/>
          </w:tcPr>
          <w:p w14:paraId="60053201">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得分率</w:t>
            </w:r>
            <w:r>
              <w:rPr>
                <w:rFonts w:ascii="Times New Roman Regular" w:hAnsi="Times New Roman Regular" w:eastAsia="仿宋_GB2312" w:cs="Times New Roman Regular"/>
                <w:b/>
                <w:bCs/>
                <w:sz w:val="24"/>
              </w:rPr>
              <w:t>（%</w:t>
            </w:r>
            <w:r>
              <w:rPr>
                <w:rFonts w:hint="eastAsia" w:ascii="仿宋_GB2312" w:hAnsi="仿宋_GB2312" w:eastAsia="仿宋_GB2312" w:cs="仿宋_GB2312"/>
                <w:b/>
                <w:bCs/>
                <w:sz w:val="24"/>
              </w:rPr>
              <w:t>）</w:t>
            </w:r>
          </w:p>
        </w:tc>
      </w:tr>
      <w:tr w14:paraId="4C68305B">
        <w:trPr>
          <w:trHeight w:val="380" w:hRule="atLeast"/>
          <w:jc w:val="center"/>
        </w:trPr>
        <w:tc>
          <w:tcPr>
            <w:tcW w:w="2138" w:type="dxa"/>
            <w:shd w:val="clear" w:color="auto" w:fill="auto"/>
            <w:vAlign w:val="center"/>
          </w:tcPr>
          <w:p w14:paraId="69386B9B">
            <w:pPr>
              <w:widowControl/>
              <w:numPr>
                <w:ilvl w:val="0"/>
                <w:numId w:val="0"/>
              </w:num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政策制定</w:t>
            </w:r>
          </w:p>
        </w:tc>
        <w:tc>
          <w:tcPr>
            <w:tcW w:w="1985" w:type="dxa"/>
            <w:shd w:val="clear" w:color="auto" w:fill="auto"/>
            <w:vAlign w:val="center"/>
          </w:tcPr>
          <w:p w14:paraId="34850CA0">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10</w:t>
            </w:r>
          </w:p>
        </w:tc>
        <w:tc>
          <w:tcPr>
            <w:tcW w:w="2294" w:type="dxa"/>
            <w:gridSpan w:val="2"/>
            <w:shd w:val="clear" w:color="auto" w:fill="auto"/>
            <w:vAlign w:val="center"/>
          </w:tcPr>
          <w:p w14:paraId="6F421E81">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10</w:t>
            </w:r>
          </w:p>
        </w:tc>
        <w:tc>
          <w:tcPr>
            <w:tcW w:w="2141" w:type="dxa"/>
            <w:shd w:val="clear" w:color="auto" w:fill="auto"/>
            <w:vAlign w:val="center"/>
          </w:tcPr>
          <w:p w14:paraId="56992689">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100%</w:t>
            </w:r>
          </w:p>
        </w:tc>
      </w:tr>
      <w:tr w14:paraId="68CD357D">
        <w:trPr>
          <w:trHeight w:val="380" w:hRule="atLeast"/>
          <w:jc w:val="center"/>
        </w:trPr>
        <w:tc>
          <w:tcPr>
            <w:tcW w:w="2138" w:type="dxa"/>
            <w:shd w:val="clear" w:color="auto" w:fill="auto"/>
            <w:vAlign w:val="center"/>
          </w:tcPr>
          <w:p w14:paraId="5414040D">
            <w:pPr>
              <w:widowControl/>
              <w:numPr>
                <w:ilvl w:val="0"/>
                <w:numId w:val="0"/>
              </w:num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政策实施</w:t>
            </w:r>
          </w:p>
        </w:tc>
        <w:tc>
          <w:tcPr>
            <w:tcW w:w="1985" w:type="dxa"/>
            <w:shd w:val="clear" w:color="auto" w:fill="auto"/>
            <w:vAlign w:val="center"/>
          </w:tcPr>
          <w:p w14:paraId="1EEC3D44">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30</w:t>
            </w:r>
          </w:p>
        </w:tc>
        <w:tc>
          <w:tcPr>
            <w:tcW w:w="2294" w:type="dxa"/>
            <w:gridSpan w:val="2"/>
            <w:shd w:val="clear" w:color="auto" w:fill="auto"/>
            <w:vAlign w:val="center"/>
          </w:tcPr>
          <w:p w14:paraId="67F72BAC">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24</w:t>
            </w:r>
          </w:p>
        </w:tc>
        <w:tc>
          <w:tcPr>
            <w:tcW w:w="2141" w:type="dxa"/>
            <w:shd w:val="clear" w:color="auto" w:fill="auto"/>
            <w:vAlign w:val="center"/>
          </w:tcPr>
          <w:p w14:paraId="10535AC0">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80%</w:t>
            </w:r>
          </w:p>
        </w:tc>
      </w:tr>
      <w:tr w14:paraId="69343FC0">
        <w:trPr>
          <w:trHeight w:val="454" w:hRule="atLeast"/>
          <w:jc w:val="center"/>
        </w:trPr>
        <w:tc>
          <w:tcPr>
            <w:tcW w:w="2138" w:type="dxa"/>
            <w:shd w:val="clear" w:color="auto" w:fill="auto"/>
            <w:vAlign w:val="center"/>
          </w:tcPr>
          <w:p w14:paraId="2389F007">
            <w:pPr>
              <w:widowControl/>
              <w:numPr>
                <w:ilvl w:val="0"/>
                <w:numId w:val="0"/>
              </w:num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政策效果</w:t>
            </w:r>
          </w:p>
        </w:tc>
        <w:tc>
          <w:tcPr>
            <w:tcW w:w="1985" w:type="dxa"/>
            <w:shd w:val="clear" w:color="auto" w:fill="auto"/>
            <w:vAlign w:val="center"/>
          </w:tcPr>
          <w:p w14:paraId="7DC9FA6E">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60</w:t>
            </w:r>
          </w:p>
        </w:tc>
        <w:tc>
          <w:tcPr>
            <w:tcW w:w="2294" w:type="dxa"/>
            <w:gridSpan w:val="2"/>
            <w:shd w:val="clear" w:color="auto" w:fill="auto"/>
            <w:vAlign w:val="center"/>
          </w:tcPr>
          <w:p w14:paraId="48994F83">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50.5</w:t>
            </w:r>
          </w:p>
        </w:tc>
        <w:tc>
          <w:tcPr>
            <w:tcW w:w="2141" w:type="dxa"/>
            <w:shd w:val="clear" w:color="auto" w:fill="auto"/>
            <w:vAlign w:val="center"/>
          </w:tcPr>
          <w:p w14:paraId="3C8C30AD">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84.17%</w:t>
            </w:r>
          </w:p>
        </w:tc>
      </w:tr>
      <w:tr w14:paraId="2ED1759F">
        <w:trPr>
          <w:trHeight w:val="90" w:hRule="atLeast"/>
          <w:jc w:val="center"/>
        </w:trPr>
        <w:tc>
          <w:tcPr>
            <w:tcW w:w="2138" w:type="dxa"/>
            <w:shd w:val="clear" w:color="auto" w:fill="auto"/>
            <w:vAlign w:val="center"/>
          </w:tcPr>
          <w:p w14:paraId="147E9FF7">
            <w:pPr>
              <w:widowControl/>
              <w:snapToGrid w:val="0"/>
              <w:spacing w:line="40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bidi="ar"/>
              </w:rPr>
              <w:t>合计</w:t>
            </w:r>
          </w:p>
        </w:tc>
        <w:tc>
          <w:tcPr>
            <w:tcW w:w="1985" w:type="dxa"/>
            <w:shd w:val="clear" w:color="auto" w:fill="auto"/>
            <w:vAlign w:val="center"/>
          </w:tcPr>
          <w:p w14:paraId="58CB79D5">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b w:val="0"/>
                <w:bCs w:val="0"/>
                <w:i w:val="0"/>
                <w:iCs w:val="0"/>
                <w:color w:val="000000"/>
                <w:kern w:val="0"/>
                <w:sz w:val="21"/>
                <w:szCs w:val="21"/>
                <w:u w:val="none"/>
                <w:lang w:val="en-US" w:eastAsia="zh-CN" w:bidi="ar"/>
              </w:rPr>
              <w:t>100</w:t>
            </w:r>
          </w:p>
        </w:tc>
        <w:tc>
          <w:tcPr>
            <w:tcW w:w="2294" w:type="dxa"/>
            <w:gridSpan w:val="2"/>
            <w:shd w:val="clear" w:color="auto" w:fill="auto"/>
            <w:vAlign w:val="center"/>
          </w:tcPr>
          <w:p w14:paraId="110DB593">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84.5</w:t>
            </w:r>
          </w:p>
        </w:tc>
        <w:tc>
          <w:tcPr>
            <w:tcW w:w="2141" w:type="dxa"/>
            <w:shd w:val="clear" w:color="auto" w:fill="auto"/>
            <w:vAlign w:val="center"/>
          </w:tcPr>
          <w:p w14:paraId="55FB9008">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宋体" w:eastAsia="仿宋_GB2312" w:cs="仿宋_GB2312"/>
                <w:i w:val="0"/>
                <w:iCs w:val="0"/>
                <w:color w:val="000000"/>
                <w:kern w:val="0"/>
                <w:sz w:val="21"/>
                <w:szCs w:val="21"/>
                <w:u w:val="none"/>
                <w:lang w:val="en-US" w:eastAsia="zh-CN" w:bidi="ar"/>
              </w:rPr>
              <w:t>84.5%</w:t>
            </w:r>
          </w:p>
        </w:tc>
      </w:tr>
      <w:tr w14:paraId="1A81B58B">
        <w:trPr>
          <w:trHeight w:val="454" w:hRule="atLeast"/>
          <w:jc w:val="center"/>
        </w:trPr>
        <w:tc>
          <w:tcPr>
            <w:tcW w:w="8558" w:type="dxa"/>
            <w:gridSpan w:val="5"/>
            <w:shd w:val="clear" w:color="auto" w:fill="auto"/>
            <w:vAlign w:val="center"/>
          </w:tcPr>
          <w:p w14:paraId="349A3220">
            <w:pPr>
              <w:widowControl/>
              <w:snapToGrid w:val="0"/>
              <w:spacing w:line="400" w:lineRule="exact"/>
              <w:jc w:val="center"/>
              <w:rPr>
                <w:rFonts w:hint="eastAsia" w:ascii="仿宋_GB2312" w:hAnsi="仿宋_GB2312" w:eastAsia="仿宋_GB2312" w:cs="仿宋_GB2312"/>
                <w:b/>
                <w:bCs/>
                <w:sz w:val="24"/>
                <w:lang w:val="en-US" w:eastAsia="zh-CN"/>
              </w:rPr>
            </w:pPr>
            <w:r>
              <w:rPr>
                <w:rFonts w:ascii="Times New Roman Regular" w:hAnsi="Times New Roman Regular" w:eastAsia="仿宋_GB2312" w:cs="Times New Roman Regular"/>
                <w:b/>
                <w:bCs/>
                <w:sz w:val="24"/>
              </w:rPr>
              <w:t>绩效评价得分：</w:t>
            </w:r>
            <w:r>
              <w:rPr>
                <w:rFonts w:hint="eastAsia" w:ascii="Times New Roman Regular" w:hAnsi="Times New Roman Regular" w:eastAsia="仿宋_GB2312" w:cs="Times New Roman Regular"/>
                <w:b/>
                <w:bCs/>
                <w:sz w:val="24"/>
                <w:lang w:val="en-US" w:eastAsia="zh-CN"/>
              </w:rPr>
              <w:t>84.5</w:t>
            </w:r>
            <w:r>
              <w:rPr>
                <w:rFonts w:ascii="Times New Roman Regular" w:hAnsi="Times New Roman Regular" w:eastAsia="仿宋_GB2312" w:cs="Times New Roman Regular"/>
                <w:b/>
                <w:bCs/>
                <w:sz w:val="24"/>
              </w:rPr>
              <w:t xml:space="preserve">分  </w:t>
            </w:r>
            <w:r>
              <w:rPr>
                <w:rFonts w:hint="eastAsia" w:ascii="Times New Roman Regular" w:hAnsi="Times New Roman Regular" w:eastAsia="仿宋_GB2312" w:cs="Times New Roman Regular"/>
                <w:b/>
                <w:bCs/>
                <w:sz w:val="24"/>
              </w:rPr>
              <w:t xml:space="preserve">       </w:t>
            </w:r>
            <w:r>
              <w:rPr>
                <w:rFonts w:ascii="Times New Roman Regular" w:hAnsi="Times New Roman Regular" w:eastAsia="仿宋_GB2312" w:cs="Times New Roman Regular"/>
                <w:b/>
                <w:bCs/>
                <w:sz w:val="24"/>
              </w:rPr>
              <w:t xml:space="preserve">  评价结果等级：</w:t>
            </w:r>
            <w:r>
              <w:rPr>
                <w:rFonts w:hint="eastAsia" w:ascii="Times New Roman Regular" w:hAnsi="Times New Roman Regular" w:eastAsia="仿宋_GB2312" w:cs="Times New Roman Regular"/>
                <w:b/>
                <w:bCs/>
                <w:sz w:val="24"/>
                <w:lang w:val="en-US" w:eastAsia="zh-CN"/>
              </w:rPr>
              <w:t>良</w:t>
            </w:r>
          </w:p>
        </w:tc>
      </w:tr>
    </w:tbl>
    <w:p w14:paraId="0C95C83E">
      <w:pPr>
        <w:spacing w:line="600" w:lineRule="exact"/>
        <w:jc w:val="center"/>
        <w:rPr>
          <w:rFonts w:hint="eastAsia" w:ascii="方正小标宋简体" w:hAnsi="方正小标宋简体" w:eastAsia="方正小标宋简体" w:cs="方正小标宋简体"/>
          <w:sz w:val="44"/>
          <w:szCs w:val="44"/>
        </w:rPr>
        <w:sectPr>
          <w:footerReference r:id="rId8" w:type="default"/>
          <w:pgSz w:w="11906" w:h="16838"/>
          <w:pgMar w:top="1440" w:right="1800" w:bottom="1440" w:left="1800" w:header="851" w:footer="1361" w:gutter="0"/>
          <w:pgNumType w:fmt="decimal" w:start="1"/>
          <w:cols w:space="0" w:num="1"/>
          <w:docGrid w:linePitch="312" w:charSpace="0"/>
        </w:sectPr>
      </w:pPr>
    </w:p>
    <w:p w14:paraId="4A5786B9">
      <w:pPr>
        <w:pStyle w:val="11"/>
        <w:tabs>
          <w:tab w:val="right" w:leader="dot" w:pos="8845"/>
        </w:tabs>
        <w:rPr>
          <w:b/>
        </w:rPr>
        <w:sectPr>
          <w:footerReference r:id="rId9" w:type="default"/>
          <w:type w:val="continuous"/>
          <w:pgSz w:w="11906" w:h="16838"/>
          <w:pgMar w:top="1440" w:right="1800" w:bottom="1440" w:left="1800" w:header="851" w:footer="1361" w:gutter="0"/>
          <w:pgNumType w:fmt="decimal" w:start="1"/>
          <w:cols w:space="0" w:num="1"/>
          <w:docGrid w:linePitch="312" w:charSpace="0"/>
        </w:sectPr>
      </w:pPr>
    </w:p>
    <w:p w14:paraId="5F845FA7">
      <w:pPr>
        <w:adjustRightInd w:val="0"/>
        <w:snapToGrid w:val="0"/>
        <w:jc w:val="both"/>
        <w:rPr>
          <w:rFonts w:hint="eastAsia" w:ascii="Times New Roman Regular" w:hAnsi="Times New Roman Regular" w:eastAsia="方正小标宋简体" w:cs="Times New Roman Regular"/>
          <w:sz w:val="44"/>
          <w:szCs w:val="44"/>
          <w:lang w:eastAsia="zh-CN"/>
        </w:rPr>
        <w:sectPr>
          <w:footerReference r:id="rId10" w:type="default"/>
          <w:type w:val="continuous"/>
          <w:pgSz w:w="11906" w:h="16838"/>
          <w:pgMar w:top="1440" w:right="1800" w:bottom="1440" w:left="1800" w:header="851" w:footer="1361" w:gutter="0"/>
          <w:pgNumType w:fmt="decimal" w:start="1"/>
          <w:cols w:space="0" w:num="1"/>
          <w:docGrid w:linePitch="312" w:charSpace="0"/>
        </w:sectPr>
      </w:pPr>
      <w:bookmarkStart w:id="3" w:name="_Toc418087737"/>
    </w:p>
    <w:sdt>
      <w:sdtPr>
        <w:rPr>
          <w:rFonts w:ascii="宋体" w:hAnsi="宋体" w:eastAsia="宋体" w:cstheme="minorBidi"/>
          <w:kern w:val="2"/>
          <w:sz w:val="21"/>
          <w:szCs w:val="24"/>
          <w:lang w:val="en-US" w:eastAsia="zh-CN" w:bidi="ar-SA"/>
        </w:rPr>
        <w:id w:val="147461437"/>
        <w15:color w:val="DBDBDB"/>
        <w:docPartObj>
          <w:docPartGallery w:val="Table of Contents"/>
          <w:docPartUnique/>
        </w:docPartObj>
      </w:sdtPr>
      <w:sdtEndPr>
        <w:rPr>
          <w:rFonts w:hint="eastAsia" w:ascii="Times New Roman Regular" w:hAnsi="Times New Roman Regular" w:eastAsia="方正小标宋简体" w:cs="Times New Roman Regular"/>
          <w:kern w:val="2"/>
          <w:sz w:val="21"/>
          <w:szCs w:val="44"/>
          <w:lang w:val="en-US" w:eastAsia="zh-CN" w:bidi="ar-SA"/>
        </w:rPr>
      </w:sdtEndPr>
      <w:sdtContent>
        <w:p w14:paraId="0B32501B">
          <w:pPr>
            <w:spacing w:before="0" w:beforeLines="0" w:after="0" w:afterLines="0" w:line="240" w:lineRule="auto"/>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14:paraId="00161B6C">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TOC \o "1-2" \h \u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_Toc615541486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政策</w:t>
          </w:r>
          <w:r>
            <w:rPr>
              <w:rFonts w:hint="eastAsia" w:ascii="仿宋_GB2312" w:hAnsi="仿宋_GB2312" w:eastAsia="仿宋_GB2312" w:cs="仿宋_GB2312"/>
              <w:b/>
              <w:bCs/>
              <w:sz w:val="32"/>
              <w:szCs w:val="32"/>
            </w:rPr>
            <w:t>基本情况</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_Toc615541486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0D0337C5">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_Toc977027603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（一）政策概况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_Toc977027603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5A754539">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_Toc1242958659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（二）政策绩效目标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_Toc1242958659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5DE60BB0">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_Toc1832747444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二、绩效评价工作开展情况</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_Toc1832747444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6</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753A27AD">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_Toc1628342387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（一）评价目的、评价对象和范围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_Toc1628342387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511F7E85">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_Toc18900941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（二）评价思路、评价重点、评价指标体系和评价标准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_Toc18900941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0A3D7A4C">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_Toc1988019278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（三）评价组织实施与评价方法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_Toc1988019278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39CE7CA7">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_Toc2089425320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三、评价结论及分析</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_Toc2089425320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9</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7D92A09B">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_Toc1318757496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（一）综合评价结论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_Toc1318757496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0800E182">
          <w:pPr>
            <w:pStyle w:val="1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_Toc178514585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（二）指标分析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_Toc178514585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24CB9516">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_Toc259975236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四、政策实施成效</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_Toc259975236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10</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259E016B">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_Toc2062679091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五、发现的问题及原因分析</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_Toc2062679091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12</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706BF4F7">
          <w:pPr>
            <w:pStyle w:val="1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_Toc435703939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六、相关建议</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_Toc435703939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14</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1C73D68F">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420" w:firstLineChars="200"/>
            <w:jc w:val="both"/>
            <w:textAlignment w:val="auto"/>
            <w:rPr>
              <w:rFonts w:hint="eastAsia" w:ascii="Times New Roman Regular" w:hAnsi="Times New Roman Regular" w:eastAsia="方正小标宋简体" w:cs="Times New Roman Regular"/>
              <w:kern w:val="2"/>
              <w:sz w:val="21"/>
              <w:szCs w:val="44"/>
              <w:lang w:val="en-US" w:eastAsia="zh-CN" w:bidi="ar-SA"/>
            </w:rPr>
            <w:sectPr>
              <w:footerReference r:id="rId11" w:type="default"/>
              <w:pgSz w:w="11906" w:h="16838"/>
              <w:pgMar w:top="1440" w:right="1800" w:bottom="1440" w:left="1800" w:header="851" w:footer="1361" w:gutter="0"/>
              <w:pgNumType w:fmt="decimal" w:start="1"/>
              <w:cols w:space="0" w:num="1"/>
              <w:docGrid w:linePitch="312" w:charSpace="0"/>
            </w:sectPr>
          </w:pPr>
          <w:r>
            <w:rPr>
              <w:rFonts w:hint="eastAsia" w:ascii="仿宋_GB2312" w:hAnsi="仿宋_GB2312" w:eastAsia="仿宋_GB2312" w:cs="仿宋_GB2312"/>
              <w:szCs w:val="32"/>
              <w:lang w:eastAsia="zh-CN"/>
            </w:rPr>
            <w:fldChar w:fldCharType="end"/>
          </w:r>
          <w:bookmarkStart w:id="69" w:name="_GoBack"/>
          <w:bookmarkEnd w:id="69"/>
        </w:p>
      </w:sdtContent>
    </w:sdt>
    <w:p w14:paraId="488D53BA">
      <w:pPr>
        <w:adjustRightInd w:val="0"/>
        <w:snapToGrid w:val="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科技股权投资专项（含省市股权联动）政策</w:t>
      </w:r>
    </w:p>
    <w:p w14:paraId="1488CB18">
      <w:pPr>
        <w:adjustRightInd w:val="0"/>
        <w:snapToGrid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绩效评价报告</w:t>
      </w:r>
      <w:bookmarkEnd w:id="3"/>
    </w:p>
    <w:p w14:paraId="191720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rPr>
      </w:pPr>
      <w:bookmarkStart w:id="4" w:name="_Toc1520748923"/>
    </w:p>
    <w:p w14:paraId="58C76A71">
      <w:pPr>
        <w:pStyle w:val="2"/>
        <w:pageBreakBefore w:val="0"/>
        <w:kinsoku/>
        <w:wordWrap/>
        <w:overflowPunct/>
        <w:topLinePunct w:val="0"/>
        <w:autoSpaceDE/>
        <w:autoSpaceDN/>
        <w:bidi w:val="0"/>
        <w:adjustRightInd/>
        <w:snapToGrid/>
        <w:spacing w:before="0" w:after="0" w:line="660" w:lineRule="exact"/>
        <w:ind w:left="0" w:leftChars="0" w:firstLine="640" w:firstLineChars="200"/>
        <w:jc w:val="both"/>
        <w:textAlignment w:val="auto"/>
        <w:rPr>
          <w:rFonts w:ascii="Calibri" w:hAnsi="Calibri" w:cs="Times New Roman"/>
          <w:sz w:val="32"/>
          <w:szCs w:val="32"/>
        </w:rPr>
      </w:pPr>
      <w:bookmarkStart w:id="5" w:name="_Toc615541486"/>
      <w:r>
        <w:rPr>
          <w:rFonts w:hint="eastAsia" w:ascii="Calibri" w:hAnsi="Calibri" w:cs="Times New Roman"/>
          <w:sz w:val="32"/>
          <w:szCs w:val="32"/>
        </w:rPr>
        <w:t>一、</w:t>
      </w:r>
      <w:r>
        <w:rPr>
          <w:rFonts w:hint="eastAsia" w:ascii="Calibri" w:hAnsi="Calibri" w:cs="Times New Roman"/>
          <w:sz w:val="32"/>
          <w:szCs w:val="32"/>
          <w:lang w:val="en-US" w:eastAsia="zh-CN"/>
        </w:rPr>
        <w:t>政策</w:t>
      </w:r>
      <w:r>
        <w:rPr>
          <w:rFonts w:hint="eastAsia" w:ascii="Calibri" w:hAnsi="Calibri" w:cs="Times New Roman"/>
          <w:sz w:val="32"/>
          <w:szCs w:val="32"/>
        </w:rPr>
        <w:t>基本情况</w:t>
      </w:r>
      <w:bookmarkEnd w:id="4"/>
      <w:bookmarkEnd w:id="5"/>
    </w:p>
    <w:p w14:paraId="35263532">
      <w:pPr>
        <w:pStyle w:val="3"/>
        <w:pageBreakBefore w:val="0"/>
        <w:kinsoku/>
        <w:wordWrap/>
        <w:overflowPunct/>
        <w:topLinePunct w:val="0"/>
        <w:autoSpaceDE/>
        <w:autoSpaceDN/>
        <w:bidi w:val="0"/>
        <w:adjustRightInd/>
        <w:snapToGrid/>
        <w:ind w:left="0" w:leftChars="0" w:firstLine="640" w:firstLineChars="200"/>
        <w:textAlignment w:val="auto"/>
      </w:pPr>
      <w:bookmarkStart w:id="6" w:name="_Toc2024265914"/>
      <w:bookmarkStart w:id="7" w:name="_Toc977027603"/>
      <w:r>
        <w:rPr>
          <w:rFonts w:hint="eastAsia"/>
        </w:rPr>
        <w:t>（一）政策概况</w:t>
      </w:r>
      <w:bookmarkEnd w:id="6"/>
      <w:bookmarkEnd w:id="7"/>
    </w:p>
    <w:p w14:paraId="7557557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1.政策背景</w:t>
      </w:r>
    </w:p>
    <w:p w14:paraId="272E5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为落实国家及省深化科技体制改革、推动科技金融融合的部署，改变传统财政补助模式的局限性，青岛市以股权投资改革提升资金效能，支撑关键技术攻关与成果转化，助力科技强市建设。</w:t>
      </w:r>
    </w:p>
    <w:p w14:paraId="37D4A7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根据《青岛市深入推进科技创新加快建设科技强市行动计划（2024—2028年）》（青政字〔2024〕20号），青岛市科学技术局（以下简称“市科技局”）会同青岛市财政局（以下简称“市财政局”）等6个部门联合印发《加强科技财政金融协同支持企业创新发展的若干政策措施》（青科字〔2024〕7号），市科技局、市财政局联合印发《青岛市市级财政科技股权投资专项管理办法（试行）》（青科字〔2024〕15号），分类实施市级财政科技资金“拨改投”改革，探索支持企业科技创新的新模式，</w:t>
      </w:r>
      <w:r>
        <w:rPr>
          <w:rFonts w:hint="eastAsia" w:ascii="仿宋_GB2312" w:hAnsi="仿宋_GB2312" w:eastAsia="仿宋_GB2312" w:cs="仿宋_GB2312"/>
          <w:sz w:val="32"/>
          <w:szCs w:val="40"/>
        </w:rPr>
        <w:t>带动各类社会资本参与产业科技创新，拓宽科技型企业融资渠道，降低科技型企业融资成本以及技术研发、成果转化风险，以股权投资方式助推关键技术攻关及产业化、科技成果转化和科技企业提升，推动形成财政资金有效循环使用机制和科技、金融、产业深度融合，为</w:t>
      </w:r>
      <w:r>
        <w:rPr>
          <w:rFonts w:hint="eastAsia" w:ascii="仿宋_GB2312" w:hAnsi="仿宋_GB2312" w:eastAsia="仿宋_GB2312" w:cs="仿宋_GB2312"/>
          <w:sz w:val="32"/>
          <w:szCs w:val="40"/>
          <w:lang w:val="en-US" w:eastAsia="zh-CN"/>
        </w:rPr>
        <w:t>青岛</w:t>
      </w:r>
      <w:r>
        <w:rPr>
          <w:rFonts w:hint="eastAsia" w:ascii="仿宋_GB2312" w:hAnsi="仿宋_GB2312" w:eastAsia="仿宋_GB2312" w:cs="仿宋_GB2312"/>
          <w:sz w:val="32"/>
          <w:szCs w:val="40"/>
        </w:rPr>
        <w:t>市新质生产力发展提供坚实的科技支撑。</w:t>
      </w:r>
    </w:p>
    <w:p w14:paraId="4157233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rPr>
        <w:t>2.政策主要内容</w:t>
      </w:r>
    </w:p>
    <w:p w14:paraId="6C9126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《青岛市市级财政科技股权投资专项管理办法（试行）》（青科字〔2024〕15号）（以下简称“青科字〔2024〕15号”）明确了任务目标、投资范围、投资对象、实施步骤等内容，具体见表1-1。</w:t>
      </w:r>
    </w:p>
    <w:p w14:paraId="4505AF6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黑体" w:hAnsi="黑体" w:eastAsia="黑体" w:cs="黑体"/>
          <w:sz w:val="24"/>
          <w:lang w:val="en-US" w:eastAsia="zh-CN"/>
        </w:rPr>
      </w:pPr>
      <w:r>
        <w:rPr>
          <w:rFonts w:hint="eastAsia" w:ascii="黑体" w:hAnsi="黑体" w:eastAsia="黑体" w:cs="黑体"/>
          <w:sz w:val="24"/>
          <w:lang w:val="en-US" w:eastAsia="zh-CN"/>
        </w:rPr>
        <w:t>表1-1 科技股权投资专项（含省市股权联动）政策实施内容</w:t>
      </w:r>
    </w:p>
    <w:tbl>
      <w:tblPr>
        <w:tblStyle w:val="14"/>
        <w:tblW w:w="490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7"/>
        <w:gridCol w:w="1239"/>
        <w:gridCol w:w="7122"/>
      </w:tblGrid>
      <w:tr w14:paraId="0510EE89">
        <w:trPr>
          <w:trHeight w:val="460" w:hRule="atLeast"/>
          <w:tblHeader/>
        </w:trPr>
        <w:tc>
          <w:tcPr>
            <w:tcW w:w="390"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13F5DD87">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序号</w:t>
            </w:r>
          </w:p>
        </w:tc>
        <w:tc>
          <w:tcPr>
            <w:tcW w:w="68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1C350C1C">
            <w:pPr>
              <w:keepNext w:val="0"/>
              <w:keepLines w:val="0"/>
              <w:widowControl/>
              <w:suppressLineNumbers w:val="0"/>
              <w:jc w:val="center"/>
              <w:textAlignment w:val="center"/>
              <w:rPr>
                <w:rFonts w:hint="default"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类别</w:t>
            </w:r>
          </w:p>
        </w:tc>
        <w:tc>
          <w:tcPr>
            <w:tcW w:w="3926"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A31FFBB">
            <w:pPr>
              <w:keepNext w:val="0"/>
              <w:keepLines w:val="0"/>
              <w:widowControl/>
              <w:suppressLineNumbers w:val="0"/>
              <w:jc w:val="center"/>
              <w:textAlignment w:val="center"/>
              <w:rPr>
                <w:rFonts w:hint="default"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内容</w:t>
            </w:r>
          </w:p>
        </w:tc>
      </w:tr>
      <w:tr w14:paraId="026F45B3">
        <w:trPr>
          <w:trHeight w:val="724"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1D12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F85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投资范围</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E565">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科技股权投资聚焦市委、市政府确定的重点产业领域，重点支持新领域新赛道，以及具有引领带动作用的关键技术攻关和产业化示范项目。获得科技股权投资的项目可继续申报青岛市市级科技计划项目，形成与市级科技计划体系的联动支持。</w:t>
            </w:r>
          </w:p>
        </w:tc>
      </w:tr>
      <w:tr w14:paraId="0301F5CA">
        <w:trPr>
          <w:trHeight w:val="713"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CAB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ED0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投资对象</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D5E6">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科技股权投资重点投向具有高成长性、发展前景良好的科技型企业。优先支持市级以上创新创业大赛中获奖的企业、高层次人才领衔创办的企业、创新性强且发展成熟度高的企业。</w:t>
            </w:r>
          </w:p>
        </w:tc>
      </w:tr>
      <w:tr w14:paraId="0CECAC8B">
        <w:trPr>
          <w:trHeight w:val="741"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196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1C7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投资标准</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0236">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个项目最高投资1000万元；财政资金参股比例原则上不超过被投企业总股本25%，且不为第一大股东；投资期限原则上不超过5年，特殊情况可延至10年；已获市级关键技术攻关等在研项目资金支持的企业，投资时股价折价处理。</w:t>
            </w:r>
          </w:p>
        </w:tc>
      </w:tr>
      <w:tr w14:paraId="0BABD28E">
        <w:trPr>
          <w:trHeight w:val="168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F60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1A6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过程监管</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A0886">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受托管理机构按照章程或者股权投资协议约定实施投后管理服务和风险管控机制，动态监测被投企业项目进展、预判风险，提供全方位创新资源服务，及时做好风险防范和处置工作；每半年须向市科技局、市财政局报告股权投资清单及整体运作情况，并在每年4月30日前提交受托管理的财政资金年度财务报告和年度业务报告；在被投资企业出现重大风险时，启动止损机制及时止损。</w:t>
            </w:r>
          </w:p>
        </w:tc>
      </w:tr>
      <w:tr w14:paraId="190C13FB">
        <w:trPr>
          <w:trHeight w:val="9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D75F">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EA4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项目验收</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7D9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项目实施期满或收到项目单位提前验收申请，受托管理机构报市科技局同意后，组织对项目进行验收。验收结果作为股权处置、绩效奖励的重要依据。</w:t>
            </w:r>
          </w:p>
        </w:tc>
      </w:tr>
      <w:tr w14:paraId="5EE3918F">
        <w:trPr>
          <w:trHeight w:val="90"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77D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21F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股权退出</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F93C">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科技股权投资应按照股权投资协议等约定，在达到一定的投资年限或完成约定的投资目标等条件时，依法通过股权转让、股东（企业）回购、产权交易以及清算解散等方式，实现股权退出。</w:t>
            </w:r>
          </w:p>
        </w:tc>
      </w:tr>
      <w:tr w14:paraId="3DC9ADB9">
        <w:trPr>
          <w:trHeight w:val="403"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0228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7799">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收益让渡</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0A63">
            <w:pPr>
              <w:keepNext w:val="0"/>
              <w:keepLines w:val="0"/>
              <w:widowControl/>
              <w:suppressLineNumbers w:val="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鼓励科技创新。对投资期间牵头获得国家科学技术奖励一、二等奖的投资项目，在股权退出时，最高可分别让渡80%、50%财政资金投资收益；对投资期间牵头获得山东省技术奖励一、二、三等奖的投资项目，在股权退出时，最高可分别让渡60%、40%、20%财政资金投资收益；对投资期间牵头获得青岛市科学技术奖励一、二等奖的投资项目，在股权退出时，最高可分别让渡50%、30%财政资金投资收益。</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2.鼓励投资项目提前收回投资资金及收益。经市科技局、市财政局审核同意，可视其提前退出的时间给予让利，其中提前退出时间达2年（含）的，可让渡所有财政资金投资收益；提前退出时间达1年（含）的，可让渡高于退出上月一年期贷款市场报价利率（LPR）部分的财政资金投资收益。</w:t>
            </w:r>
          </w:p>
        </w:tc>
      </w:tr>
      <w:tr w14:paraId="4F8EFA60">
        <w:trPr>
          <w:trHeight w:val="688" w:hRule="atLeast"/>
        </w:trPr>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0CBE">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155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资金回收</w:t>
            </w:r>
          </w:p>
        </w:tc>
        <w:tc>
          <w:tcPr>
            <w:tcW w:w="39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4DC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财政资金股权投资获得的年度分红、股息、股利以及退出时扣除税款及相关费用后收回的资金等，可进行循环滚动投资，给予受托管理机构一定比例绩效奖励。</w:t>
            </w:r>
          </w:p>
        </w:tc>
      </w:tr>
    </w:tbl>
    <w:p w14:paraId="63C32B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rPr>
        <w:t>3.政策实施情况</w:t>
      </w:r>
    </w:p>
    <w:p w14:paraId="77DC46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highlight w:val="none"/>
          <w:lang w:val="en-US" w:eastAsia="zh-CN"/>
        </w:rPr>
      </w:pPr>
      <w:r>
        <w:rPr>
          <w:rFonts w:hint="eastAsia" w:ascii="仿宋_GB2312" w:hAnsi="仿宋_GB2312" w:eastAsia="仿宋_GB2312" w:cs="仿宋_GB2312"/>
          <w:color w:val="auto"/>
          <w:sz w:val="32"/>
          <w:szCs w:val="40"/>
          <w:highlight w:val="none"/>
          <w:lang w:val="en-US" w:eastAsia="zh-CN"/>
        </w:rPr>
        <w:t>2025年市财政局拨付青岛财通集团有限公司（以下简称“财通集团”）科技股权投资专项（含省市股权联动）资金11656.7万元，截至2026年5月31日完成对外出资7000万元，其中，市级股权投资项目4个、出资4000万元，省市股权联动项目1个、出资3000万元（另有1000万元为2024年资金）。截至2026年7月31日完成对外出资10000万元，其中，市级股权投资项目7个、出资7000万元，省市股权联动项目1个、出资3000万元（另有1000万元为2024年资金）。</w:t>
      </w:r>
    </w:p>
    <w:p w14:paraId="7AA6E00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w:t>
      </w:r>
      <w:r>
        <w:rPr>
          <w:rFonts w:hint="default" w:ascii="仿宋_GB2312" w:hAnsi="仿宋_GB2312" w:eastAsia="仿宋_GB2312" w:cs="仿宋_GB2312"/>
          <w:color w:val="auto"/>
          <w:sz w:val="32"/>
          <w:szCs w:val="40"/>
          <w:lang w:val="en-US" w:eastAsia="zh-CN"/>
        </w:rPr>
        <w:t>1</w:t>
      </w:r>
      <w:r>
        <w:rPr>
          <w:rFonts w:hint="eastAsia" w:ascii="仿宋_GB2312" w:hAnsi="仿宋_GB2312" w:eastAsia="仿宋_GB2312" w:cs="仿宋_GB2312"/>
          <w:color w:val="auto"/>
          <w:sz w:val="32"/>
          <w:szCs w:val="40"/>
          <w:lang w:val="en-US" w:eastAsia="zh-CN"/>
        </w:rPr>
        <w:t>）市级科技股权投资项目</w:t>
      </w:r>
    </w:p>
    <w:p w14:paraId="2E4F70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2025年分两批次组织申报评审。第一批申报工作于5月23日启动，6月17日前组织完成70个项目的推荐，7月29日至30日市科技局组织专家评审，8月15日推送33个初选项目至财通集团；第二批申报于9月26日启动，10月28日前组织完成30个项目推荐，11月18日至19日市科技局开展专家评审，11月28日确定15个初选项目移交财通集团。全年累计向财通集团推送项目48个。2025年度计划完成市级股权投资项目10个，已完成4个项目出资。具体情况详见表1-2。</w:t>
      </w:r>
    </w:p>
    <w:p w14:paraId="0A5979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（2）省市股权联动项目</w:t>
      </w:r>
    </w:p>
    <w:p w14:paraId="55FDED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2025年4月25日，省科技厅组织实施2025年度股权联动地方重大科技项目申报</w:t>
      </w:r>
      <w:r>
        <w:rPr>
          <w:rFonts w:hint="eastAsia" w:ascii="仿宋_GB2312" w:hAnsi="仿宋_GB2312" w:eastAsia="仿宋_GB2312" w:cs="仿宋_GB2312"/>
          <w:sz w:val="32"/>
          <w:szCs w:val="40"/>
          <w:lang w:val="en-US" w:eastAsia="zh-CN"/>
        </w:rPr>
        <w:t>，组织评审后推送至省级投资管理机构，省级投资管理机构按程序开展项目筛选、尽调、投资谈判、组建基金或有限合伙企业、投资等工作。青岛市省市联动项目为海洋抗肿瘤I类新药BG136，于2025年12月24日完成股权出资。</w:t>
      </w:r>
    </w:p>
    <w:p w14:paraId="320157D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黑体" w:hAnsi="黑体" w:eastAsia="黑体" w:cs="黑体"/>
          <w:sz w:val="24"/>
          <w:lang w:val="en-US" w:eastAsia="zh-CN"/>
        </w:rPr>
      </w:pPr>
      <w:r>
        <w:rPr>
          <w:rFonts w:hint="eastAsia" w:ascii="黑体" w:hAnsi="黑体" w:eastAsia="黑体" w:cs="黑体"/>
          <w:sz w:val="24"/>
          <w:lang w:val="en-US" w:eastAsia="zh-CN"/>
        </w:rPr>
        <w:t>表1-2 2025年科技股权投资专项（含省市股权联动）完成情况表</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1734"/>
        <w:gridCol w:w="2030"/>
        <w:gridCol w:w="1112"/>
        <w:gridCol w:w="1157"/>
        <w:gridCol w:w="2323"/>
      </w:tblGrid>
      <w:tr w14:paraId="67F845DC">
        <w:trPr>
          <w:trHeight w:val="697" w:hRule="atLeast"/>
          <w:tblHeader/>
        </w:trPr>
        <w:tc>
          <w:tcPr>
            <w:tcW w:w="72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51B19005">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投资年度</w:t>
            </w:r>
          </w:p>
        </w:tc>
        <w:tc>
          <w:tcPr>
            <w:tcW w:w="173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E2027B1">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投资企业名单</w:t>
            </w:r>
          </w:p>
        </w:tc>
        <w:tc>
          <w:tcPr>
            <w:tcW w:w="203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676EB62">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投资项目名称</w:t>
            </w:r>
          </w:p>
        </w:tc>
        <w:tc>
          <w:tcPr>
            <w:tcW w:w="111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012538E">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拨款数</w:t>
            </w:r>
            <w:r>
              <w:rPr>
                <w:rFonts w:hint="default" w:ascii="黑体" w:hAnsi="宋体" w:eastAsia="黑体" w:cs="黑体"/>
                <w:i w:val="0"/>
                <w:iCs w:val="0"/>
                <w:color w:val="000000"/>
                <w:kern w:val="0"/>
                <w:sz w:val="21"/>
                <w:szCs w:val="21"/>
                <w:u w:val="none"/>
                <w:lang w:val="en-US" w:eastAsia="zh-CN" w:bidi="ar"/>
              </w:rPr>
              <w:t>（万元）</w:t>
            </w:r>
          </w:p>
        </w:tc>
        <w:tc>
          <w:tcPr>
            <w:tcW w:w="115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322F887">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投资金额（万元）</w:t>
            </w:r>
          </w:p>
        </w:tc>
        <w:tc>
          <w:tcPr>
            <w:tcW w:w="232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5A45FCB8">
            <w:pPr>
              <w:keepNext w:val="0"/>
              <w:keepLines w:val="0"/>
              <w:widowControl/>
              <w:suppressLineNumbers w:val="0"/>
              <w:jc w:val="center"/>
              <w:textAlignment w:val="center"/>
              <w:rPr>
                <w:rFonts w:hint="default" w:ascii="黑体" w:hAnsi="宋体" w:eastAsia="黑体" w:cs="黑体"/>
                <w:i w:val="0"/>
                <w:iCs w:val="0"/>
                <w:color w:val="000000"/>
                <w:kern w:val="0"/>
                <w:sz w:val="21"/>
                <w:szCs w:val="21"/>
                <w:u w:val="none"/>
                <w:lang w:val="en-US" w:eastAsia="zh-CN" w:bidi="ar"/>
              </w:rPr>
            </w:pPr>
            <w:r>
              <w:rPr>
                <w:rFonts w:hint="eastAsia" w:ascii="黑体" w:hAnsi="宋体" w:eastAsia="黑体" w:cs="黑体"/>
                <w:i w:val="0"/>
                <w:iCs w:val="0"/>
                <w:color w:val="000000"/>
                <w:kern w:val="0"/>
                <w:sz w:val="21"/>
                <w:szCs w:val="21"/>
                <w:u w:val="none"/>
                <w:lang w:val="en-US" w:eastAsia="zh-CN" w:bidi="ar"/>
              </w:rPr>
              <w:t>备注</w:t>
            </w:r>
          </w:p>
        </w:tc>
      </w:tr>
      <w:tr w14:paraId="6199DF43">
        <w:trPr>
          <w:trHeight w:val="465" w:hRule="atLeast"/>
        </w:trPr>
        <w:tc>
          <w:tcPr>
            <w:tcW w:w="728" w:type="dxa"/>
            <w:vMerge w:val="restart"/>
            <w:tcBorders>
              <w:top w:val="single" w:color="000000" w:sz="4" w:space="0"/>
              <w:left w:val="single" w:color="000000" w:sz="4" w:space="0"/>
              <w:right w:val="single" w:color="000000" w:sz="4" w:space="0"/>
            </w:tcBorders>
            <w:shd w:val="clear" w:color="auto" w:fill="auto"/>
            <w:vAlign w:val="center"/>
          </w:tcPr>
          <w:p w14:paraId="0C537B62">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2025年</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18C3">
            <w:pPr>
              <w:keepNext w:val="0"/>
              <w:keepLines w:val="0"/>
              <w:widowControl/>
              <w:suppressLineNumbers w:val="0"/>
              <w:jc w:val="left"/>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青岛无疆技术有限公司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447B">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青岛市高端海洋无人装备场景应用</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9BB5">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523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1000</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BC48">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p>
        </w:tc>
      </w:tr>
      <w:tr w14:paraId="0F9793CC">
        <w:trPr>
          <w:trHeight w:val="597" w:hRule="atLeast"/>
        </w:trPr>
        <w:tc>
          <w:tcPr>
            <w:tcW w:w="728" w:type="dxa"/>
            <w:vMerge w:val="continue"/>
            <w:tcBorders>
              <w:left w:val="single" w:color="000000" w:sz="4" w:space="0"/>
              <w:right w:val="single" w:color="000000" w:sz="4" w:space="0"/>
            </w:tcBorders>
            <w:shd w:val="clear" w:color="auto" w:fill="auto"/>
            <w:vAlign w:val="center"/>
          </w:tcPr>
          <w:p w14:paraId="122939F0">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2DF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青岛未来移动医疗科技有限公司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949C">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吸入型生物药智能精准雾化递送系统</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86A6">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8F4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1000</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DAF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p>
        </w:tc>
      </w:tr>
      <w:tr w14:paraId="6EDE520F">
        <w:trPr>
          <w:trHeight w:val="639" w:hRule="atLeast"/>
        </w:trPr>
        <w:tc>
          <w:tcPr>
            <w:tcW w:w="728" w:type="dxa"/>
            <w:vMerge w:val="continue"/>
            <w:tcBorders>
              <w:left w:val="single" w:color="000000" w:sz="4" w:space="0"/>
              <w:bottom w:val="single" w:color="000000" w:sz="4" w:space="0"/>
              <w:right w:val="single" w:color="000000" w:sz="4" w:space="0"/>
            </w:tcBorders>
            <w:shd w:val="clear" w:color="auto" w:fill="auto"/>
            <w:vAlign w:val="center"/>
          </w:tcPr>
          <w:p w14:paraId="01864FA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15A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青岛国信制药有限公司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309F">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海洋抗肿瘤I类新药BG136</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994D">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4000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D5C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4000</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7B98">
            <w:pPr>
              <w:keepNext w:val="0"/>
              <w:keepLines w:val="0"/>
              <w:widowControl/>
              <w:suppressLineNumbers w:val="0"/>
              <w:jc w:val="left"/>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省市股权联动项目（其中1000万元为2024年资金）</w:t>
            </w:r>
          </w:p>
        </w:tc>
      </w:tr>
      <w:tr w14:paraId="6C787678">
        <w:trPr>
          <w:trHeight w:val="500" w:hRule="atLeast"/>
        </w:trPr>
        <w:tc>
          <w:tcPr>
            <w:tcW w:w="728" w:type="dxa"/>
            <w:vMerge w:val="restart"/>
            <w:tcBorders>
              <w:top w:val="single" w:color="000000" w:sz="4" w:space="0"/>
              <w:left w:val="single" w:color="000000" w:sz="4" w:space="0"/>
              <w:right w:val="single" w:color="000000" w:sz="4" w:space="0"/>
            </w:tcBorders>
            <w:shd w:val="clear" w:color="auto" w:fill="auto"/>
            <w:vAlign w:val="center"/>
          </w:tcPr>
          <w:p w14:paraId="0E561203">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2026年</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C41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物元半导体技术（青岛）有限公司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EE91">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三维集成高性能显示驱动芯片的研发及产业化</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CEEC">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893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1000</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082F">
            <w:pPr>
              <w:keepNext w:val="0"/>
              <w:keepLines w:val="0"/>
              <w:widowControl/>
              <w:suppressLineNumbers w:val="0"/>
              <w:jc w:val="both"/>
              <w:textAlignment w:val="center"/>
              <w:rPr>
                <w:rFonts w:hint="default" w:ascii="仿宋_GB2312" w:hAnsi="宋体" w:eastAsia="仿宋_GB2312" w:cs="仿宋_GB2312"/>
                <w:i w:val="0"/>
                <w:iCs w:val="0"/>
                <w:color w:val="000000"/>
                <w:kern w:val="0"/>
                <w:sz w:val="21"/>
                <w:szCs w:val="21"/>
                <w:u w:val="none"/>
                <w:lang w:val="en-US" w:eastAsia="zh-CN" w:bidi="ar"/>
              </w:rPr>
            </w:pPr>
          </w:p>
        </w:tc>
      </w:tr>
      <w:tr w14:paraId="617BEA08">
        <w:trPr>
          <w:trHeight w:val="386" w:hRule="atLeast"/>
        </w:trPr>
        <w:tc>
          <w:tcPr>
            <w:tcW w:w="728" w:type="dxa"/>
            <w:vMerge w:val="continue"/>
            <w:tcBorders>
              <w:left w:val="single" w:color="000000" w:sz="4" w:space="0"/>
              <w:bottom w:val="single" w:color="000000" w:sz="4" w:space="0"/>
              <w:right w:val="single" w:color="000000" w:sz="4" w:space="0"/>
            </w:tcBorders>
            <w:shd w:val="clear" w:color="auto" w:fill="auto"/>
            <w:vAlign w:val="center"/>
          </w:tcPr>
          <w:p w14:paraId="4CE5B1FF">
            <w:pPr>
              <w:keepNext w:val="0"/>
              <w:keepLines w:val="0"/>
              <w:widowControl/>
              <w:suppressLineNumbers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BC35">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青岛合碳创物科技有限公司</w:t>
            </w:r>
          </w:p>
        </w:tc>
        <w:tc>
          <w:tcPr>
            <w:tcW w:w="2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42C0">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合成生物智造开发功能性脂肪酸助力海洋经济发展</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205D">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4BC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D242">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截至2026年5月31日，完成出资1000万元，尚未完成工商变更、章程修改工作。</w:t>
            </w:r>
          </w:p>
        </w:tc>
      </w:tr>
    </w:tbl>
    <w:p w14:paraId="2F27F6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rPr>
        <w:t>4.资金投入及使用情况</w:t>
      </w:r>
    </w:p>
    <w:p w14:paraId="794551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2025年</w:t>
      </w:r>
      <w:r>
        <w:rPr>
          <w:rFonts w:hint="eastAsia" w:ascii="仿宋_GB2312" w:hAnsi="仿宋_GB2312" w:eastAsia="仿宋_GB2312" w:cs="仿宋_GB2312"/>
          <w:sz w:val="32"/>
          <w:szCs w:val="40"/>
        </w:rPr>
        <w:t>科技股权投资专项（含省市股权联动）</w:t>
      </w:r>
      <w:r>
        <w:rPr>
          <w:rFonts w:hint="eastAsia" w:ascii="仿宋_GB2312" w:hAnsi="仿宋_GB2312" w:eastAsia="仿宋_GB2312" w:cs="仿宋_GB2312"/>
          <w:sz w:val="32"/>
          <w:szCs w:val="40"/>
          <w:lang w:val="en-US" w:eastAsia="zh-CN"/>
        </w:rPr>
        <w:t>预算11656.7万元，其中，年初预算6000万元，另从科技专项资金调剂</w:t>
      </w:r>
      <w:r>
        <w:rPr>
          <w:rFonts w:hint="default" w:ascii="仿宋_GB2312" w:hAnsi="仿宋_GB2312" w:eastAsia="仿宋_GB2312" w:cs="仿宋_GB2312"/>
          <w:sz w:val="32"/>
          <w:szCs w:val="40"/>
          <w:lang w:val="en-US" w:eastAsia="zh-CN"/>
        </w:rPr>
        <w:t>5656.7</w:t>
      </w:r>
      <w:r>
        <w:rPr>
          <w:rFonts w:hint="eastAsia" w:ascii="仿宋_GB2312" w:hAnsi="仿宋_GB2312" w:eastAsia="仿宋_GB2312" w:cs="仿宋_GB2312"/>
          <w:sz w:val="32"/>
          <w:szCs w:val="40"/>
          <w:lang w:val="en-US" w:eastAsia="zh-CN"/>
        </w:rPr>
        <w:t>万元。截至2025年12月31日已全部拨付至财通集团。具体情况详见表1-3。</w:t>
      </w:r>
    </w:p>
    <w:p w14:paraId="7AE6F0D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黑体" w:hAnsi="黑体" w:eastAsia="黑体" w:cs="黑体"/>
          <w:sz w:val="24"/>
          <w:lang w:val="en-US" w:eastAsia="zh-CN"/>
        </w:rPr>
      </w:pPr>
      <w:r>
        <w:rPr>
          <w:rFonts w:hint="eastAsia" w:ascii="黑体" w:hAnsi="黑体" w:eastAsia="黑体" w:cs="黑体"/>
          <w:sz w:val="24"/>
          <w:lang w:val="en-US" w:eastAsia="zh-CN"/>
        </w:rPr>
        <w:t>表1-3 2025年科技股权投资专项（含省市股权联动）预算执行情况表</w:t>
      </w:r>
    </w:p>
    <w:tbl>
      <w:tblPr>
        <w:tblStyle w:val="14"/>
        <w:tblW w:w="897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6"/>
        <w:gridCol w:w="1251"/>
        <w:gridCol w:w="6437"/>
      </w:tblGrid>
      <w:tr w14:paraId="497C8451">
        <w:trPr>
          <w:trHeight w:val="435" w:hRule="atLeast"/>
          <w:tblHeader/>
        </w:trPr>
        <w:tc>
          <w:tcPr>
            <w:tcW w:w="128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272A597">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default" w:ascii="黑体" w:hAnsi="宋体" w:eastAsia="黑体" w:cs="黑体"/>
                <w:i w:val="0"/>
                <w:iCs w:val="0"/>
                <w:color w:val="000000"/>
                <w:kern w:val="0"/>
                <w:sz w:val="20"/>
                <w:szCs w:val="20"/>
                <w:u w:val="none"/>
                <w:lang w:val="en-US" w:eastAsia="zh-CN" w:bidi="ar"/>
              </w:rPr>
              <w:t>指标名称</w:t>
            </w:r>
          </w:p>
        </w:tc>
        <w:tc>
          <w:tcPr>
            <w:tcW w:w="1251"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7B897E91">
            <w:pPr>
              <w:keepNext w:val="0"/>
              <w:keepLines w:val="0"/>
              <w:widowControl/>
              <w:suppressLineNumbers w:val="0"/>
              <w:jc w:val="center"/>
              <w:textAlignment w:val="center"/>
              <w:rPr>
                <w:rFonts w:hint="default" w:ascii="黑体" w:hAnsi="宋体" w:eastAsia="黑体" w:cs="黑体"/>
                <w:i w:val="0"/>
                <w:iCs w:val="0"/>
                <w:color w:val="000000"/>
                <w:sz w:val="20"/>
                <w:szCs w:val="20"/>
                <w:u w:val="none"/>
              </w:rPr>
            </w:pPr>
            <w:r>
              <w:rPr>
                <w:rFonts w:hint="default" w:ascii="黑体" w:hAnsi="宋体" w:eastAsia="黑体" w:cs="黑体"/>
                <w:i w:val="0"/>
                <w:iCs w:val="0"/>
                <w:color w:val="000000"/>
                <w:kern w:val="0"/>
                <w:sz w:val="20"/>
                <w:szCs w:val="20"/>
                <w:u w:val="none"/>
                <w:lang w:val="en-US" w:eastAsia="zh-CN" w:bidi="ar"/>
              </w:rPr>
              <w:t>金额</w:t>
            </w:r>
            <w:r>
              <w:rPr>
                <w:rFonts w:hint="eastAsia" w:ascii="黑体" w:hAnsi="宋体" w:eastAsia="黑体" w:cs="黑体"/>
                <w:i w:val="0"/>
                <w:iCs w:val="0"/>
                <w:color w:val="000000"/>
                <w:kern w:val="0"/>
                <w:sz w:val="20"/>
                <w:szCs w:val="20"/>
                <w:u w:val="none"/>
                <w:lang w:val="en-US" w:eastAsia="zh-CN" w:bidi="ar"/>
              </w:rPr>
              <w:t>（</w:t>
            </w:r>
            <w:r>
              <w:rPr>
                <w:rFonts w:hint="default" w:ascii="黑体" w:hAnsi="宋体" w:eastAsia="黑体" w:cs="黑体"/>
                <w:i w:val="0"/>
                <w:iCs w:val="0"/>
                <w:color w:val="000000"/>
                <w:kern w:val="0"/>
                <w:sz w:val="20"/>
                <w:szCs w:val="20"/>
                <w:u w:val="none"/>
                <w:lang w:val="en-US" w:eastAsia="zh-CN" w:bidi="ar"/>
              </w:rPr>
              <w:t>万元</w:t>
            </w:r>
            <w:r>
              <w:rPr>
                <w:rFonts w:hint="eastAsia" w:ascii="黑体" w:hAnsi="宋体" w:eastAsia="黑体" w:cs="黑体"/>
                <w:i w:val="0"/>
                <w:iCs w:val="0"/>
                <w:color w:val="000000"/>
                <w:kern w:val="0"/>
                <w:sz w:val="20"/>
                <w:szCs w:val="20"/>
                <w:u w:val="none"/>
                <w:lang w:val="en-US" w:eastAsia="zh-CN" w:bidi="ar"/>
              </w:rPr>
              <w:t>）</w:t>
            </w:r>
          </w:p>
        </w:tc>
        <w:tc>
          <w:tcPr>
            <w:tcW w:w="643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6BB8B25">
            <w:pPr>
              <w:keepNext w:val="0"/>
              <w:keepLines w:val="0"/>
              <w:widowControl/>
              <w:suppressLineNumbers w:val="0"/>
              <w:jc w:val="center"/>
              <w:textAlignment w:val="center"/>
              <w:rPr>
                <w:rFonts w:hint="default" w:ascii="黑体" w:hAnsi="宋体" w:eastAsia="黑体" w:cs="黑体"/>
                <w:i w:val="0"/>
                <w:iCs w:val="0"/>
                <w:color w:val="000000"/>
                <w:sz w:val="20"/>
                <w:szCs w:val="20"/>
                <w:u w:val="none"/>
              </w:rPr>
            </w:pPr>
            <w:r>
              <w:rPr>
                <w:rFonts w:hint="default" w:ascii="黑体" w:hAnsi="宋体" w:eastAsia="黑体" w:cs="黑体"/>
                <w:i w:val="0"/>
                <w:iCs w:val="0"/>
                <w:color w:val="000000"/>
                <w:kern w:val="0"/>
                <w:sz w:val="20"/>
                <w:szCs w:val="20"/>
                <w:u w:val="none"/>
                <w:lang w:val="en-US" w:eastAsia="zh-CN" w:bidi="ar"/>
              </w:rPr>
              <w:t>明细说明</w:t>
            </w:r>
          </w:p>
        </w:tc>
      </w:tr>
      <w:tr w14:paraId="4BDF76B2">
        <w:trPr>
          <w:trHeight w:val="770"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EA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年初预算数</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91D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6000</w:t>
            </w:r>
          </w:p>
        </w:tc>
        <w:tc>
          <w:tcPr>
            <w:tcW w:w="6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87A1">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按市级股权投资项目10项，每项500万元，共5000万元；省市股权联动项目1项，市级财政按配比安排预算1000万元；合计6000万元。</w:t>
            </w:r>
          </w:p>
        </w:tc>
      </w:tr>
      <w:tr w14:paraId="2CC8D8FD">
        <w:trPr>
          <w:trHeight w:val="1910"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5F8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调剂</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5D4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5656.7</w:t>
            </w:r>
          </w:p>
        </w:tc>
        <w:tc>
          <w:tcPr>
            <w:tcW w:w="6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30D4">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1.根据2025年12月12日《关于调整市科技局2025年财政科技专项资金预算指标的通知》（青财科教指〔2025〕22号），科技股权投资专项追加3000万元，海洋抗肿瘤I类新药BG136省市股权联动试点项目追加2000万元；</w:t>
            </w:r>
          </w:p>
          <w:p w14:paraId="67AB121D">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2.2025年9月12日《关于下达2025年度中央引导地方科技发展资金（第二批）计划的通知》（青科资字〔2025〕17号）下达656.7万元</w:t>
            </w:r>
            <w:r>
              <w:rPr>
                <w:rFonts w:hint="eastAsia" w:ascii="仿宋_GB2312" w:hAnsi="仿宋_GB2312" w:eastAsia="仿宋_GB2312" w:cs="仿宋_GB2312"/>
                <w:i w:val="0"/>
                <w:iCs w:val="0"/>
                <w:color w:val="000000"/>
                <w:kern w:val="0"/>
                <w:sz w:val="21"/>
                <w:szCs w:val="21"/>
                <w:u w:val="none"/>
                <w:lang w:val="en-US" w:eastAsia="zh-CN" w:bidi="ar"/>
              </w:rPr>
              <w:t>（中央资金）</w:t>
            </w:r>
            <w:r>
              <w:rPr>
                <w:rFonts w:hint="default" w:ascii="仿宋_GB2312" w:hAnsi="仿宋_GB2312" w:eastAsia="仿宋_GB2312" w:cs="仿宋_GB2312"/>
                <w:i w:val="0"/>
                <w:iCs w:val="0"/>
                <w:color w:val="000000"/>
                <w:kern w:val="0"/>
                <w:sz w:val="21"/>
                <w:szCs w:val="21"/>
                <w:u w:val="none"/>
                <w:lang w:val="en-US" w:eastAsia="zh-CN" w:bidi="ar"/>
              </w:rPr>
              <w:t>。</w:t>
            </w:r>
          </w:p>
        </w:tc>
      </w:tr>
      <w:tr w14:paraId="00D7AFFE">
        <w:trPr>
          <w:trHeight w:val="511"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88C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全年</w:t>
            </w:r>
            <w:r>
              <w:rPr>
                <w:rFonts w:hint="default" w:ascii="仿宋_GB2312" w:hAnsi="仿宋_GB2312" w:eastAsia="仿宋_GB2312" w:cs="仿宋_GB2312"/>
                <w:i w:val="0"/>
                <w:iCs w:val="0"/>
                <w:color w:val="000000"/>
                <w:kern w:val="0"/>
                <w:sz w:val="21"/>
                <w:szCs w:val="21"/>
                <w:u w:val="none"/>
                <w:lang w:val="en-US" w:eastAsia="zh-CN" w:bidi="ar"/>
              </w:rPr>
              <w:t>预算数</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4C8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11656.7</w:t>
            </w:r>
          </w:p>
        </w:tc>
        <w:tc>
          <w:tcPr>
            <w:tcW w:w="6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E53F">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年初预算数6000万元+</w:t>
            </w:r>
            <w:r>
              <w:rPr>
                <w:rFonts w:hint="eastAsia" w:ascii="仿宋_GB2312" w:hAnsi="仿宋_GB2312" w:eastAsia="仿宋_GB2312" w:cs="仿宋_GB2312"/>
                <w:i w:val="0"/>
                <w:iCs w:val="0"/>
                <w:color w:val="000000"/>
                <w:kern w:val="0"/>
                <w:sz w:val="21"/>
                <w:szCs w:val="21"/>
                <w:u w:val="none"/>
                <w:lang w:val="en-US" w:eastAsia="zh-CN" w:bidi="ar"/>
              </w:rPr>
              <w:t>调剂</w:t>
            </w:r>
            <w:r>
              <w:rPr>
                <w:rFonts w:hint="default" w:ascii="仿宋_GB2312" w:hAnsi="仿宋_GB2312" w:eastAsia="仿宋_GB2312" w:cs="仿宋_GB2312"/>
                <w:i w:val="0"/>
                <w:iCs w:val="0"/>
                <w:color w:val="000000"/>
                <w:kern w:val="0"/>
                <w:sz w:val="21"/>
                <w:szCs w:val="21"/>
                <w:u w:val="none"/>
                <w:lang w:val="en-US" w:eastAsia="zh-CN" w:bidi="ar"/>
              </w:rPr>
              <w:t>数5656.7万元，合计11656.7万元</w:t>
            </w:r>
            <w:r>
              <w:rPr>
                <w:rFonts w:hint="eastAsia" w:ascii="仿宋_GB2312" w:hAnsi="仿宋_GB2312" w:eastAsia="仿宋_GB2312" w:cs="仿宋_GB2312"/>
                <w:i w:val="0"/>
                <w:iCs w:val="0"/>
                <w:color w:val="000000"/>
                <w:kern w:val="0"/>
                <w:sz w:val="21"/>
                <w:szCs w:val="21"/>
                <w:u w:val="none"/>
                <w:lang w:val="en-US" w:eastAsia="zh-CN" w:bidi="ar"/>
              </w:rPr>
              <w:t>。</w:t>
            </w:r>
          </w:p>
        </w:tc>
      </w:tr>
      <w:tr w14:paraId="6A4DD362">
        <w:trPr>
          <w:trHeight w:val="593" w:hRule="atLeast"/>
        </w:trPr>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F664">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资金拨付数</w:t>
            </w:r>
          </w:p>
        </w:tc>
        <w:tc>
          <w:tcPr>
            <w:tcW w:w="1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484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default" w:ascii="仿宋_GB2312" w:hAnsi="仿宋_GB2312" w:eastAsia="仿宋_GB2312" w:cs="仿宋_GB2312"/>
                <w:i w:val="0"/>
                <w:iCs w:val="0"/>
                <w:color w:val="000000"/>
                <w:kern w:val="0"/>
                <w:sz w:val="21"/>
                <w:szCs w:val="21"/>
                <w:u w:val="none"/>
                <w:lang w:val="en-US" w:eastAsia="zh-CN" w:bidi="ar"/>
              </w:rPr>
              <w:t>11656.7</w:t>
            </w:r>
          </w:p>
        </w:tc>
        <w:tc>
          <w:tcPr>
            <w:tcW w:w="6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1201">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截至2025年12月31日已全部拨付青岛财通集团有限公司。</w:t>
            </w:r>
          </w:p>
        </w:tc>
      </w:tr>
    </w:tbl>
    <w:p w14:paraId="02AD4F61">
      <w:pPr>
        <w:pStyle w:val="3"/>
        <w:pageBreakBefore w:val="0"/>
        <w:kinsoku/>
        <w:wordWrap/>
        <w:overflowPunct/>
        <w:topLinePunct w:val="0"/>
        <w:autoSpaceDE/>
        <w:autoSpaceDN/>
        <w:bidi w:val="0"/>
        <w:adjustRightInd/>
        <w:snapToGrid/>
        <w:ind w:left="0" w:leftChars="0" w:firstLine="640" w:firstLineChars="200"/>
        <w:textAlignment w:val="auto"/>
      </w:pPr>
      <w:bookmarkStart w:id="8" w:name="_Toc1242958659"/>
      <w:bookmarkStart w:id="9" w:name="_Toc1401280824"/>
      <w:r>
        <w:rPr>
          <w:rFonts w:hint="eastAsia"/>
        </w:rPr>
        <w:t>（二）政策绩效目标</w:t>
      </w:r>
      <w:bookmarkEnd w:id="8"/>
      <w:bookmarkEnd w:id="9"/>
    </w:p>
    <w:p w14:paraId="73A2C869">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1.总体目标</w:t>
      </w:r>
    </w:p>
    <w:p w14:paraId="516706FD">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在坚持政府有为、弥补市场不足和突出市场有效、尊重投资规律的原则下，通过财政科技资金以股权投资形式支持科技型企业开展关键技术攻关、重大科研成果转化、产业化示范等，促进科技型企业成长壮大。推动健全财政科技资金股权投资体系，吸引更多社会资本参与和支持科技创新。</w:t>
      </w:r>
    </w:p>
    <w:p w14:paraId="3F430723">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2.年度目标</w:t>
      </w:r>
    </w:p>
    <w:p w14:paraId="7D9FDB61">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ascii="Times New Roman Regular" w:hAnsi="Times New Roman Regular" w:eastAsia="仿宋_GB2312" w:cs="Times New Roman Regular"/>
          <w:sz w:val="32"/>
          <w:szCs w:val="40"/>
        </w:rPr>
      </w:pPr>
      <w:r>
        <w:rPr>
          <w:rFonts w:hint="eastAsia" w:ascii="仿宋_GB2312" w:hAnsi="仿宋_GB2312" w:eastAsia="仿宋_GB2312" w:cs="仿宋_GB2312"/>
          <w:sz w:val="32"/>
          <w:szCs w:val="40"/>
        </w:rPr>
        <w:t>根据部门</w:t>
      </w:r>
      <w:r>
        <w:rPr>
          <w:rFonts w:hint="eastAsia" w:ascii="仿宋_GB2312" w:hAnsi="仿宋_GB2312" w:eastAsia="仿宋_GB2312" w:cs="仿宋_GB2312"/>
          <w:sz w:val="32"/>
          <w:szCs w:val="40"/>
          <w:lang w:val="en-US" w:eastAsia="zh-CN"/>
        </w:rPr>
        <w:t>编制</w:t>
      </w:r>
      <w:r>
        <w:rPr>
          <w:rFonts w:hint="eastAsia" w:ascii="仿宋_GB2312" w:hAnsi="仿宋_GB2312" w:eastAsia="仿宋_GB2312" w:cs="仿宋_GB2312"/>
          <w:sz w:val="32"/>
          <w:szCs w:val="40"/>
        </w:rPr>
        <w:t>的绩效目标及预算安排情况</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梳理年度绩效目标如下：2025年计划完成投资项目10个，股权投资完成额11656.7万元，按照青科字〔2024〕15号要求进行投资，股权投资企业标准符合率100%</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降低科技型企业融资成本以及技术研发、成果转化风险，助推关键技术攻关及产业化、科技成果转化和科技企业提升，推动科技、金融、产业深度融合，为全市新质生产力发展提供坚实的科技支撑。</w:t>
      </w:r>
    </w:p>
    <w:p w14:paraId="601BBB51">
      <w:pPr>
        <w:pStyle w:val="2"/>
        <w:pageBreakBefore w:val="0"/>
        <w:kinsoku/>
        <w:wordWrap/>
        <w:overflowPunct/>
        <w:topLinePunct w:val="0"/>
        <w:autoSpaceDE/>
        <w:autoSpaceDN/>
        <w:bidi w:val="0"/>
        <w:adjustRightInd/>
        <w:snapToGrid/>
        <w:spacing w:before="0" w:after="0" w:line="660" w:lineRule="exact"/>
        <w:ind w:left="0" w:leftChars="0" w:firstLine="640" w:firstLineChars="200"/>
        <w:jc w:val="both"/>
        <w:textAlignment w:val="auto"/>
        <w:rPr>
          <w:rFonts w:hint="eastAsia" w:ascii="Calibri" w:hAnsi="Calibri" w:cs="Times New Roman"/>
          <w:sz w:val="32"/>
          <w:szCs w:val="32"/>
        </w:rPr>
      </w:pPr>
      <w:bookmarkStart w:id="10" w:name="_Toc2021135966"/>
      <w:bookmarkStart w:id="11" w:name="_Toc1832747444"/>
      <w:r>
        <w:rPr>
          <w:rFonts w:hint="eastAsia" w:ascii="Calibri" w:hAnsi="Calibri" w:cs="Times New Roman"/>
          <w:sz w:val="32"/>
          <w:szCs w:val="32"/>
        </w:rPr>
        <w:t>二、绩效评价工作开展情况</w:t>
      </w:r>
      <w:bookmarkEnd w:id="10"/>
      <w:bookmarkEnd w:id="11"/>
    </w:p>
    <w:p w14:paraId="6C56A47C">
      <w:pPr>
        <w:pStyle w:val="3"/>
        <w:ind w:firstLine="640"/>
      </w:pPr>
      <w:bookmarkStart w:id="12" w:name="_Toc335852316"/>
      <w:bookmarkStart w:id="13" w:name="_Toc1628342387"/>
      <w:r>
        <w:rPr>
          <w:rFonts w:hint="eastAsia"/>
        </w:rPr>
        <w:t>（一）评价目的、评价对象和范围</w:t>
      </w:r>
      <w:bookmarkEnd w:id="12"/>
      <w:bookmarkEnd w:id="13"/>
    </w:p>
    <w:p w14:paraId="28A712C1">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1.评价目的</w:t>
      </w:r>
    </w:p>
    <w:p w14:paraId="2BF3434C">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为全面评估财政科技股权投资专项（含省市股权联动）实施成效，强化财政资金绩效管理，采用</w:t>
      </w:r>
      <w:r>
        <w:rPr>
          <w:rFonts w:hint="eastAsia" w:ascii="仿宋_GB2312" w:hAnsi="仿宋_GB2312" w:eastAsia="仿宋_GB2312" w:cs="仿宋_GB2312"/>
          <w:sz w:val="32"/>
          <w:szCs w:val="40"/>
          <w:lang w:val="en-US" w:eastAsia="zh-CN"/>
        </w:rPr>
        <w:t>非现场评价和现场评价相结合的方式</w:t>
      </w:r>
      <w:r>
        <w:rPr>
          <w:rFonts w:hint="eastAsia" w:ascii="仿宋_GB2312" w:hAnsi="仿宋_GB2312" w:eastAsia="仿宋_GB2312" w:cs="仿宋_GB2312"/>
          <w:sz w:val="32"/>
          <w:szCs w:val="40"/>
        </w:rPr>
        <w:t>开展评价。</w:t>
      </w:r>
      <w:r>
        <w:rPr>
          <w:rFonts w:hint="eastAsia" w:ascii="仿宋_GB2312" w:hAnsi="仿宋_GB2312" w:eastAsia="仿宋_GB2312" w:cs="仿宋_GB2312"/>
          <w:sz w:val="32"/>
          <w:szCs w:val="40"/>
          <w:lang w:val="en-US" w:eastAsia="zh-CN"/>
        </w:rPr>
        <w:t>一是</w:t>
      </w:r>
      <w:r>
        <w:rPr>
          <w:rFonts w:hint="eastAsia" w:ascii="仿宋_GB2312" w:hAnsi="仿宋_GB2312" w:eastAsia="仿宋_GB2312" w:cs="仿宋_GB2312"/>
          <w:sz w:val="32"/>
          <w:szCs w:val="40"/>
        </w:rPr>
        <w:t>全面审阅</w:t>
      </w:r>
      <w:r>
        <w:rPr>
          <w:rFonts w:hint="eastAsia" w:ascii="仿宋_GB2312" w:hAnsi="仿宋_GB2312" w:eastAsia="仿宋_GB2312" w:cs="仿宋_GB2312"/>
          <w:sz w:val="32"/>
          <w:szCs w:val="40"/>
          <w:lang w:val="en-US" w:eastAsia="zh-CN"/>
        </w:rPr>
        <w:t>相关</w:t>
      </w:r>
      <w:r>
        <w:rPr>
          <w:rFonts w:hint="eastAsia" w:ascii="仿宋_GB2312" w:hAnsi="仿宋_GB2312" w:eastAsia="仿宋_GB2312" w:cs="仿宋_GB2312"/>
          <w:sz w:val="32"/>
          <w:szCs w:val="40"/>
        </w:rPr>
        <w:t>制度文件、项目档案、</w:t>
      </w:r>
      <w:r>
        <w:rPr>
          <w:rFonts w:hint="eastAsia" w:ascii="仿宋_GB2312" w:hAnsi="仿宋_GB2312" w:eastAsia="仿宋_GB2312" w:cs="仿宋_GB2312"/>
          <w:sz w:val="32"/>
          <w:szCs w:val="40"/>
          <w:lang w:val="en-US" w:eastAsia="zh-CN"/>
        </w:rPr>
        <w:t>会计</w:t>
      </w:r>
      <w:r>
        <w:rPr>
          <w:rFonts w:hint="eastAsia" w:ascii="仿宋_GB2312" w:hAnsi="仿宋_GB2312" w:eastAsia="仿宋_GB2312" w:cs="仿宋_GB2312"/>
          <w:sz w:val="32"/>
          <w:szCs w:val="40"/>
        </w:rPr>
        <w:t>凭证、</w:t>
      </w:r>
      <w:r>
        <w:rPr>
          <w:rFonts w:hint="eastAsia" w:ascii="仿宋_GB2312" w:hAnsi="仿宋_GB2312" w:eastAsia="仿宋_GB2312" w:cs="仿宋_GB2312"/>
          <w:sz w:val="32"/>
          <w:szCs w:val="40"/>
          <w:lang w:val="en-US" w:eastAsia="zh-CN"/>
        </w:rPr>
        <w:t>工作</w:t>
      </w:r>
      <w:r>
        <w:rPr>
          <w:rFonts w:hint="eastAsia" w:ascii="仿宋_GB2312" w:hAnsi="仿宋_GB2312" w:eastAsia="仿宋_GB2312" w:cs="仿宋_GB2312"/>
          <w:sz w:val="32"/>
          <w:szCs w:val="40"/>
        </w:rPr>
        <w:t>台账等资料，核查政策执行与资金管理</w:t>
      </w:r>
      <w:r>
        <w:rPr>
          <w:rFonts w:hint="eastAsia" w:ascii="仿宋_GB2312" w:hAnsi="仿宋_GB2312" w:eastAsia="仿宋_GB2312" w:cs="仿宋_GB2312"/>
          <w:sz w:val="32"/>
          <w:szCs w:val="40"/>
          <w:lang w:val="en-US" w:eastAsia="zh-CN"/>
        </w:rPr>
        <w:t>的</w:t>
      </w:r>
      <w:r>
        <w:rPr>
          <w:rFonts w:hint="eastAsia" w:ascii="仿宋_GB2312" w:hAnsi="仿宋_GB2312" w:eastAsia="仿宋_GB2312" w:cs="仿宋_GB2312"/>
          <w:sz w:val="32"/>
          <w:szCs w:val="40"/>
        </w:rPr>
        <w:t>合规性；</w:t>
      </w:r>
      <w:r>
        <w:rPr>
          <w:rFonts w:hint="eastAsia" w:ascii="仿宋_GB2312" w:hAnsi="仿宋_GB2312" w:eastAsia="仿宋_GB2312" w:cs="仿宋_GB2312"/>
          <w:sz w:val="32"/>
          <w:szCs w:val="40"/>
          <w:lang w:val="en-US" w:eastAsia="zh-CN"/>
        </w:rPr>
        <w:t>二是</w:t>
      </w:r>
      <w:r>
        <w:rPr>
          <w:rFonts w:hint="eastAsia" w:ascii="仿宋_GB2312" w:hAnsi="仿宋_GB2312" w:eastAsia="仿宋_GB2312" w:cs="仿宋_GB2312"/>
          <w:sz w:val="32"/>
          <w:szCs w:val="40"/>
        </w:rPr>
        <w:t>实地走访受托机构及被投企业，通过访谈、数据核对、现场勘查，核实项目推进、技术攻关</w:t>
      </w:r>
      <w:r>
        <w:rPr>
          <w:rFonts w:hint="eastAsia" w:ascii="仿宋_GB2312" w:hAnsi="仿宋_GB2312" w:eastAsia="仿宋_GB2312" w:cs="仿宋_GB2312"/>
          <w:sz w:val="32"/>
          <w:szCs w:val="40"/>
          <w:lang w:val="en-US" w:eastAsia="zh-CN"/>
        </w:rPr>
        <w:t>和</w:t>
      </w:r>
      <w:r>
        <w:rPr>
          <w:rFonts w:hint="eastAsia" w:ascii="仿宋_GB2312" w:hAnsi="仿宋_GB2312" w:eastAsia="仿宋_GB2312" w:cs="仿宋_GB2312"/>
          <w:sz w:val="32"/>
          <w:szCs w:val="40"/>
        </w:rPr>
        <w:t>成果转化成效</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，研判政策对科创产业及新质生产力的带动作用。</w:t>
      </w:r>
    </w:p>
    <w:p w14:paraId="7C6354DC">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青科字〔2024〕15号文件于2024年9月27</w:t>
      </w:r>
      <w:r>
        <w:rPr>
          <w:rFonts w:hint="eastAsia" w:ascii="仿宋_GB2312" w:hAnsi="仿宋_GB2312" w:eastAsia="仿宋_GB2312" w:cs="仿宋_GB2312"/>
          <w:sz w:val="32"/>
          <w:szCs w:val="40"/>
          <w:lang w:eastAsia="zh-CN"/>
        </w:rPr>
        <w:t>日起正式施行</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有效期至2028年12月31日，本项目评价期间为2025年—2026年5月31日</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为投资初期，</w:t>
      </w:r>
      <w:r>
        <w:rPr>
          <w:rFonts w:hint="eastAsia" w:ascii="仿宋_GB2312" w:hAnsi="仿宋_GB2312" w:eastAsia="仿宋_GB2312" w:cs="仿宋_GB2312"/>
          <w:sz w:val="32"/>
          <w:szCs w:val="40"/>
        </w:rPr>
        <w:t>项目培育、产业赋能等长期效益尚未充分显现，评价客观区分短期落地</w:t>
      </w:r>
      <w:r>
        <w:rPr>
          <w:rFonts w:hint="eastAsia" w:ascii="仿宋_GB2312" w:hAnsi="仿宋_GB2312" w:eastAsia="仿宋_GB2312" w:cs="仿宋_GB2312"/>
          <w:sz w:val="32"/>
          <w:szCs w:val="40"/>
          <w:lang w:val="en-US" w:eastAsia="zh-CN"/>
        </w:rPr>
        <w:t>实际</w:t>
      </w:r>
      <w:r>
        <w:rPr>
          <w:rFonts w:hint="eastAsia" w:ascii="仿宋_GB2312" w:hAnsi="仿宋_GB2312" w:eastAsia="仿宋_GB2312" w:cs="仿宋_GB2312"/>
          <w:sz w:val="32"/>
          <w:szCs w:val="40"/>
        </w:rPr>
        <w:t>与中长期发展潜力，结合核查发现的问题，从项目储备、资金管理、全流程管控等方面提出优化建议，为政策完善提供参考。</w:t>
      </w:r>
    </w:p>
    <w:p w14:paraId="6D264BAD">
      <w:pPr>
        <w:spacing w:line="560" w:lineRule="exact"/>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2.评价对象</w:t>
      </w:r>
      <w:r>
        <w:rPr>
          <w:rFonts w:hint="eastAsia" w:ascii="仿宋_GB2312" w:hAnsi="仿宋_GB2312" w:eastAsia="仿宋_GB2312" w:cs="仿宋_GB2312"/>
          <w:sz w:val="32"/>
          <w:szCs w:val="40"/>
          <w:lang w:val="en-US" w:eastAsia="zh-CN"/>
        </w:rPr>
        <w:t>和评价范围</w:t>
      </w:r>
    </w:p>
    <w:p w14:paraId="3548C2A7">
      <w:pPr>
        <w:spacing w:line="560" w:lineRule="exact"/>
        <w:ind w:firstLine="640" w:firstLineChars="200"/>
        <w:rPr>
          <w:rFonts w:hint="eastAsia" w:ascii="Times New Roman Regular" w:hAnsi="Times New Roman Regular" w:eastAsia="仿宋_GB2312" w:cs="Times New Roman Regular"/>
          <w:sz w:val="32"/>
          <w:szCs w:val="40"/>
          <w:lang w:val="en-US" w:eastAsia="zh-CN"/>
        </w:rPr>
      </w:pPr>
      <w:r>
        <w:rPr>
          <w:rFonts w:hint="eastAsia" w:ascii="仿宋_GB2312" w:hAnsi="仿宋_GB2312" w:eastAsia="仿宋_GB2312" w:cs="仿宋_GB2312"/>
          <w:sz w:val="32"/>
          <w:szCs w:val="40"/>
        </w:rPr>
        <w:t>对20</w:t>
      </w:r>
      <w:r>
        <w:rPr>
          <w:rFonts w:hint="eastAsia" w:ascii="仿宋_GB2312" w:hAnsi="仿宋_GB2312" w:eastAsia="仿宋_GB2312" w:cs="仿宋_GB2312"/>
          <w:sz w:val="32"/>
          <w:szCs w:val="40"/>
          <w:lang w:val="en-US" w:eastAsia="zh-CN"/>
        </w:rPr>
        <w:t>25</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项目</w:t>
      </w:r>
      <w:r>
        <w:rPr>
          <w:rFonts w:hint="eastAsia" w:ascii="仿宋_GB2312" w:hAnsi="仿宋_GB2312" w:eastAsia="仿宋_GB2312" w:cs="仿宋_GB2312"/>
          <w:sz w:val="32"/>
          <w:szCs w:val="40"/>
        </w:rPr>
        <w:t>预算资金11656.7万元及政策效果开展绩效评价。</w:t>
      </w:r>
      <w:r>
        <w:rPr>
          <w:rFonts w:hint="eastAsia" w:ascii="仿宋_GB2312" w:hAnsi="仿宋_GB2312" w:eastAsia="仿宋_GB2312" w:cs="仿宋_GB2312"/>
          <w:sz w:val="32"/>
          <w:szCs w:val="40"/>
          <w:lang w:val="en-US" w:eastAsia="zh-CN"/>
        </w:rPr>
        <w:t>由于部分资金在2026年出资，</w:t>
      </w:r>
      <w:r>
        <w:rPr>
          <w:rFonts w:hint="eastAsia" w:ascii="仿宋_GB2312" w:hAnsi="仿宋_GB2312" w:eastAsia="仿宋_GB2312" w:cs="仿宋_GB2312"/>
          <w:sz w:val="32"/>
          <w:szCs w:val="40"/>
        </w:rPr>
        <w:t>评价周期</w:t>
      </w:r>
      <w:r>
        <w:rPr>
          <w:rFonts w:hint="eastAsia" w:ascii="仿宋_GB2312" w:hAnsi="仿宋_GB2312" w:eastAsia="仿宋_GB2312" w:cs="仿宋_GB2312"/>
          <w:sz w:val="32"/>
          <w:szCs w:val="40"/>
          <w:lang w:val="en-US" w:eastAsia="zh-CN"/>
        </w:rPr>
        <w:t>自</w:t>
      </w:r>
      <w:r>
        <w:rPr>
          <w:rFonts w:hint="eastAsia" w:ascii="仿宋_GB2312" w:hAnsi="仿宋_GB2312" w:eastAsia="仿宋_GB2312" w:cs="仿宋_GB2312"/>
          <w:sz w:val="32"/>
          <w:szCs w:val="40"/>
        </w:rPr>
        <w:t>2025年1月1</w:t>
      </w:r>
      <w:r>
        <w:rPr>
          <w:rFonts w:hint="eastAsia" w:ascii="仿宋_GB2312" w:hAnsi="仿宋_GB2312" w:eastAsia="仿宋_GB2312" w:cs="仿宋_GB2312"/>
          <w:sz w:val="32"/>
          <w:szCs w:val="40"/>
          <w:lang w:eastAsia="zh-CN"/>
        </w:rPr>
        <w:t>日</w:t>
      </w:r>
      <w:r>
        <w:rPr>
          <w:rFonts w:hint="eastAsia" w:ascii="仿宋_GB2312" w:hAnsi="仿宋_GB2312" w:eastAsia="仿宋_GB2312" w:cs="仿宋_GB2312"/>
          <w:sz w:val="32"/>
          <w:szCs w:val="40"/>
          <w:lang w:val="en-US" w:eastAsia="zh-CN"/>
        </w:rPr>
        <w:t>延长至</w:t>
      </w:r>
      <w:r>
        <w:rPr>
          <w:rFonts w:hint="eastAsia" w:ascii="仿宋_GB2312" w:hAnsi="仿宋_GB2312" w:eastAsia="仿宋_GB2312" w:cs="仿宋_GB2312"/>
          <w:sz w:val="32"/>
          <w:szCs w:val="40"/>
          <w:lang w:eastAsia="zh-CN"/>
        </w:rPr>
        <w:t>2026年</w:t>
      </w:r>
      <w:r>
        <w:rPr>
          <w:rFonts w:hint="eastAsia" w:ascii="仿宋_GB2312" w:hAnsi="仿宋_GB2312" w:eastAsia="仿宋_GB2312" w:cs="仿宋_GB2312"/>
          <w:sz w:val="32"/>
          <w:szCs w:val="40"/>
        </w:rPr>
        <w:t>5月31日。</w:t>
      </w:r>
    </w:p>
    <w:p w14:paraId="16651BD1">
      <w:pPr>
        <w:pStyle w:val="3"/>
        <w:ind w:firstLine="640"/>
      </w:pPr>
      <w:bookmarkStart w:id="14" w:name="_Toc18900941"/>
      <w:bookmarkStart w:id="15" w:name="_Toc1082850696"/>
      <w:r>
        <w:rPr>
          <w:rFonts w:hint="eastAsia"/>
        </w:rPr>
        <w:t>（二）评价思路、评价重点、评价指标体系和评价标准</w:t>
      </w:r>
      <w:bookmarkEnd w:id="14"/>
      <w:bookmarkEnd w:id="15"/>
    </w:p>
    <w:p w14:paraId="2234EE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1.评价思路</w:t>
      </w:r>
    </w:p>
    <w:p w14:paraId="25CAC0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本次绩效评价以财政股权投资资金为主线，将</w:t>
      </w:r>
      <w:r>
        <w:rPr>
          <w:rFonts w:hint="eastAsia" w:ascii="仿宋_GB2312" w:hAnsi="仿宋_GB2312" w:eastAsia="仿宋_GB2312" w:cs="仿宋_GB2312"/>
          <w:sz w:val="32"/>
          <w:szCs w:val="40"/>
          <w:lang w:val="en-US" w:eastAsia="zh-CN"/>
        </w:rPr>
        <w:t>项目全流程</w:t>
      </w:r>
      <w:r>
        <w:rPr>
          <w:rFonts w:hint="eastAsia" w:ascii="仿宋_GB2312" w:hAnsi="仿宋_GB2312" w:eastAsia="仿宋_GB2312" w:cs="仿宋_GB2312"/>
          <w:sz w:val="32"/>
          <w:szCs w:val="40"/>
        </w:rPr>
        <w:t>纳入评价范围，</w:t>
      </w:r>
      <w:r>
        <w:rPr>
          <w:rFonts w:hint="eastAsia" w:ascii="仿宋_GB2312" w:hAnsi="仿宋_GB2312" w:eastAsia="仿宋_GB2312" w:cs="仿宋_GB2312"/>
          <w:sz w:val="32"/>
          <w:szCs w:val="40"/>
          <w:lang w:val="en-US" w:eastAsia="zh-CN"/>
        </w:rPr>
        <w:t>重点</w:t>
      </w:r>
      <w:r>
        <w:rPr>
          <w:rFonts w:hint="eastAsia" w:ascii="仿宋_GB2312" w:hAnsi="仿宋_GB2312" w:eastAsia="仿宋_GB2312" w:cs="仿宋_GB2312"/>
          <w:sz w:val="32"/>
          <w:szCs w:val="40"/>
        </w:rPr>
        <w:t>核查政策落地执行情况。鉴于项目整体处于投资初期，侧重评价项目投资落地情况、受托</w:t>
      </w:r>
      <w:r>
        <w:rPr>
          <w:rFonts w:hint="eastAsia" w:ascii="仿宋_GB2312" w:hAnsi="仿宋_GB2312" w:eastAsia="仿宋_GB2312" w:cs="仿宋_GB2312"/>
          <w:sz w:val="32"/>
          <w:szCs w:val="40"/>
          <w:lang w:eastAsia="zh-CN"/>
        </w:rPr>
        <w:t>机构</w:t>
      </w:r>
      <w:r>
        <w:rPr>
          <w:rFonts w:hint="eastAsia" w:ascii="仿宋_GB2312" w:hAnsi="仿宋_GB2312" w:eastAsia="仿宋_GB2312" w:cs="仿宋_GB2312"/>
          <w:sz w:val="32"/>
          <w:szCs w:val="40"/>
        </w:rPr>
        <w:t>管理水平、内部管控机制建设</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。产出</w:t>
      </w:r>
      <w:r>
        <w:rPr>
          <w:rFonts w:hint="eastAsia" w:ascii="仿宋_GB2312" w:hAnsi="仿宋_GB2312" w:eastAsia="仿宋_GB2312" w:cs="仿宋_GB2312"/>
          <w:sz w:val="32"/>
          <w:szCs w:val="40"/>
          <w:lang w:val="en-US" w:eastAsia="zh-CN"/>
        </w:rPr>
        <w:t>方面</w:t>
      </w:r>
      <w:r>
        <w:rPr>
          <w:rFonts w:hint="eastAsia" w:ascii="仿宋_GB2312" w:hAnsi="仿宋_GB2312" w:eastAsia="仿宋_GB2312" w:cs="仿宋_GB2312"/>
          <w:sz w:val="32"/>
          <w:szCs w:val="40"/>
        </w:rPr>
        <w:t>，重点核查股权投资项目落地完成率、股权投资企业标准符合率、专项资金投放时效；管理</w:t>
      </w:r>
      <w:r>
        <w:rPr>
          <w:rFonts w:hint="eastAsia" w:ascii="仿宋_GB2312" w:hAnsi="仿宋_GB2312" w:eastAsia="仿宋_GB2312" w:cs="仿宋_GB2312"/>
          <w:sz w:val="32"/>
          <w:szCs w:val="40"/>
          <w:lang w:val="en-US" w:eastAsia="zh-CN"/>
        </w:rPr>
        <w:t>方面</w:t>
      </w:r>
      <w:r>
        <w:rPr>
          <w:rFonts w:hint="eastAsia" w:ascii="仿宋_GB2312" w:hAnsi="仿宋_GB2312" w:eastAsia="仿宋_GB2312" w:cs="仿宋_GB2312"/>
          <w:sz w:val="32"/>
          <w:szCs w:val="40"/>
        </w:rPr>
        <w:t>，聚焦资金专户监管、被投企业工商股权变更、项目尽职调查、投资协议签订、定期报告报送、风险防控、容错机制等，客观评判资金使用规范性、项目管理合规性</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以及</w:t>
      </w:r>
      <w:r>
        <w:rPr>
          <w:rFonts w:hint="eastAsia" w:ascii="仿宋_GB2312" w:hAnsi="仿宋_GB2312" w:eastAsia="仿宋_GB2312" w:cs="仿宋_GB2312"/>
          <w:sz w:val="32"/>
          <w:szCs w:val="40"/>
        </w:rPr>
        <w:t>政策实施阶段性效果。</w:t>
      </w:r>
    </w:p>
    <w:p w14:paraId="50718A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2.评价重点</w:t>
      </w:r>
    </w:p>
    <w:p w14:paraId="593F1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本次评价重点围绕五</w:t>
      </w:r>
      <w:r>
        <w:rPr>
          <w:rFonts w:hint="eastAsia" w:ascii="仿宋_GB2312" w:hAnsi="仿宋_GB2312" w:eastAsia="仿宋_GB2312" w:cs="仿宋_GB2312"/>
          <w:sz w:val="32"/>
          <w:szCs w:val="40"/>
          <w:lang w:val="en-US" w:eastAsia="zh-CN"/>
        </w:rPr>
        <w:t>个方面</w:t>
      </w:r>
      <w:r>
        <w:rPr>
          <w:rFonts w:hint="eastAsia" w:ascii="仿宋_GB2312" w:hAnsi="仿宋_GB2312" w:eastAsia="仿宋_GB2312" w:cs="仿宋_GB2312"/>
          <w:sz w:val="32"/>
          <w:szCs w:val="40"/>
        </w:rPr>
        <w:t>开展核查：一是投资合规性，</w:t>
      </w:r>
      <w:r>
        <w:rPr>
          <w:rFonts w:hint="eastAsia" w:ascii="仿宋_GB2312" w:hAnsi="仿宋_GB2312" w:eastAsia="仿宋_GB2312" w:cs="仿宋_GB2312"/>
          <w:sz w:val="32"/>
          <w:szCs w:val="40"/>
          <w:lang w:val="en-US" w:eastAsia="zh-CN"/>
        </w:rPr>
        <w:t>包括</w:t>
      </w:r>
      <w:r>
        <w:rPr>
          <w:rFonts w:hint="eastAsia" w:ascii="仿宋_GB2312" w:hAnsi="仿宋_GB2312" w:eastAsia="仿宋_GB2312" w:cs="仿宋_GB2312"/>
          <w:sz w:val="32"/>
          <w:szCs w:val="40"/>
        </w:rPr>
        <w:t>投资范围、投资对象、投资额度、参股比例、投资期限是否匹配政策文件规定；二是流程规范性，</w:t>
      </w:r>
      <w:r>
        <w:rPr>
          <w:rFonts w:hint="eastAsia" w:ascii="仿宋_GB2312" w:hAnsi="仿宋_GB2312" w:eastAsia="仿宋_GB2312" w:cs="仿宋_GB2312"/>
          <w:sz w:val="32"/>
          <w:szCs w:val="40"/>
          <w:lang w:val="en-US" w:eastAsia="zh-CN"/>
        </w:rPr>
        <w:t>包括</w:t>
      </w:r>
      <w:r>
        <w:rPr>
          <w:rFonts w:hint="eastAsia" w:ascii="仿宋_GB2312" w:hAnsi="仿宋_GB2312" w:eastAsia="仿宋_GB2312" w:cs="仿宋_GB2312"/>
          <w:sz w:val="32"/>
          <w:szCs w:val="40"/>
        </w:rPr>
        <w:t>申报推荐、专家评审、尽职调查、投资谈判、投资决策、协议签订、资金拨付、工商变</w:t>
      </w:r>
      <w:r>
        <w:rPr>
          <w:rFonts w:hint="eastAsia" w:ascii="仿宋_GB2312" w:hAnsi="仿宋_GB2312" w:eastAsia="仿宋_GB2312" w:cs="仿宋_GB2312"/>
          <w:sz w:val="32"/>
          <w:szCs w:val="40"/>
          <w:lang w:eastAsia="zh-CN"/>
        </w:rPr>
        <w:t>更等</w:t>
      </w:r>
      <w:r>
        <w:rPr>
          <w:rFonts w:hint="eastAsia" w:ascii="仿宋_GB2312" w:hAnsi="仿宋_GB2312" w:eastAsia="仿宋_GB2312" w:cs="仿宋_GB2312"/>
          <w:sz w:val="32"/>
          <w:szCs w:val="40"/>
        </w:rPr>
        <w:t>全流程手续执行是否规范完整；三是管理有效性，</w:t>
      </w:r>
      <w:r>
        <w:rPr>
          <w:rFonts w:hint="eastAsia" w:ascii="仿宋_GB2312" w:hAnsi="仿宋_GB2312" w:eastAsia="仿宋_GB2312" w:cs="仿宋_GB2312"/>
          <w:sz w:val="32"/>
          <w:szCs w:val="40"/>
          <w:lang w:val="en-US" w:eastAsia="zh-CN"/>
        </w:rPr>
        <w:t>包括</w:t>
      </w:r>
      <w:r>
        <w:rPr>
          <w:rFonts w:hint="eastAsia" w:ascii="仿宋_GB2312" w:hAnsi="仿宋_GB2312" w:eastAsia="仿宋_GB2312" w:cs="仿宋_GB2312"/>
          <w:sz w:val="32"/>
          <w:szCs w:val="40"/>
        </w:rPr>
        <w:t>投后跟踪、风险防控、定期信息报送等日常管控落实情况；四是履职风控情况，</w:t>
      </w:r>
      <w:r>
        <w:rPr>
          <w:rFonts w:hint="eastAsia" w:ascii="仿宋_GB2312" w:hAnsi="仿宋_GB2312" w:eastAsia="仿宋_GB2312" w:cs="仿宋_GB2312"/>
          <w:sz w:val="32"/>
          <w:szCs w:val="40"/>
          <w:lang w:val="en-US" w:eastAsia="zh-CN"/>
        </w:rPr>
        <w:t>包括</w:t>
      </w:r>
      <w:r>
        <w:rPr>
          <w:rFonts w:hint="eastAsia" w:ascii="仿宋_GB2312" w:hAnsi="仿宋_GB2312" w:eastAsia="仿宋_GB2312" w:cs="仿宋_GB2312"/>
          <w:sz w:val="32"/>
          <w:szCs w:val="40"/>
        </w:rPr>
        <w:t>受托机构履职成效、容错纠错机制建设及资金安全保障水平；五是目标完成度，对照年度任务核查投资项目数量、资金投放进度等完成</w:t>
      </w:r>
      <w:r>
        <w:rPr>
          <w:rFonts w:hint="eastAsia" w:ascii="仿宋_GB2312" w:hAnsi="仿宋_GB2312" w:eastAsia="仿宋_GB2312" w:cs="仿宋_GB2312"/>
          <w:sz w:val="32"/>
          <w:szCs w:val="40"/>
          <w:lang w:val="en-US" w:eastAsia="zh-CN"/>
        </w:rPr>
        <w:t>情况</w:t>
      </w:r>
      <w:r>
        <w:rPr>
          <w:rFonts w:hint="eastAsia" w:ascii="仿宋_GB2312" w:hAnsi="仿宋_GB2312" w:eastAsia="仿宋_GB2312" w:cs="仿宋_GB2312"/>
          <w:sz w:val="32"/>
          <w:szCs w:val="40"/>
        </w:rPr>
        <w:t>。</w:t>
      </w:r>
    </w:p>
    <w:p w14:paraId="5478A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3.评价指标体系</w:t>
      </w:r>
    </w:p>
    <w:p w14:paraId="44FDB4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指标权重</w:t>
      </w:r>
      <w:r>
        <w:rPr>
          <w:rFonts w:hint="eastAsia" w:ascii="仿宋_GB2312" w:hAnsi="仿宋_GB2312" w:eastAsia="仿宋_GB2312" w:cs="仿宋_GB2312"/>
          <w:sz w:val="32"/>
          <w:szCs w:val="32"/>
          <w:lang w:val="en-US" w:eastAsia="zh-CN"/>
        </w:rPr>
        <w:t>设置</w:t>
      </w:r>
      <w:r>
        <w:rPr>
          <w:rFonts w:hint="eastAsia" w:ascii="仿宋_GB2312" w:hAnsi="仿宋_GB2312" w:eastAsia="仿宋_GB2312" w:cs="仿宋_GB2312"/>
          <w:sz w:val="32"/>
          <w:szCs w:val="32"/>
        </w:rPr>
        <w:t>政策制定指标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0分、政策实施指标</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0分，政策效果指标60分。评价指标体系详见附件1。</w:t>
      </w:r>
    </w:p>
    <w:p w14:paraId="54888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4.评价标准</w:t>
      </w:r>
    </w:p>
    <w:p w14:paraId="2001DA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绩效评价结果采取评分和评级相结合的方式，总分设置为100分，等级划分为四档：90（含）-100分为优、80（含）-90分为良、60（含）-80分为中、60分以下为差。</w:t>
      </w:r>
    </w:p>
    <w:p w14:paraId="14B53DE2">
      <w:pPr>
        <w:pStyle w:val="3"/>
        <w:ind w:firstLine="640"/>
      </w:pPr>
      <w:bookmarkStart w:id="16" w:name="_Toc1695222994"/>
      <w:bookmarkStart w:id="17" w:name="_Toc1988019278"/>
      <w:r>
        <w:rPr>
          <w:rFonts w:hint="eastAsia"/>
        </w:rPr>
        <w:t>（三）评价组织实施与评价方法</w:t>
      </w:r>
      <w:bookmarkEnd w:id="16"/>
      <w:bookmarkEnd w:id="17"/>
    </w:p>
    <w:p w14:paraId="1CDF3165">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1.评价组织实施</w:t>
      </w:r>
    </w:p>
    <w:p w14:paraId="34FB3B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bookmarkStart w:id="18" w:name="_Toc7178040"/>
      <w:r>
        <w:rPr>
          <w:rFonts w:hint="default" w:ascii="Times New Roman Regular" w:hAnsi="Times New Roman Regular" w:eastAsia="仿宋_GB2312" w:cs="Times New Roman Regular"/>
          <w:sz w:val="32"/>
          <w:szCs w:val="32"/>
        </w:rPr>
        <w:t>绩效评价工作主要包括前期准备、制定评价实施方案、现场评价、撰写与提交绩效评价报告等内容。</w:t>
      </w:r>
      <w:r>
        <w:rPr>
          <w:rFonts w:hint="default" w:ascii="仿宋_GB2312" w:hAnsi="仿宋_GB2312" w:eastAsia="仿宋_GB2312" w:cs="仿宋_GB2312"/>
          <w:sz w:val="32"/>
          <w:szCs w:val="40"/>
          <w:lang w:val="en-US" w:eastAsia="zh-CN"/>
        </w:rPr>
        <w:t>具体</w:t>
      </w:r>
      <w:r>
        <w:rPr>
          <w:rFonts w:hint="eastAsia" w:ascii="仿宋_GB2312" w:hAnsi="仿宋_GB2312" w:eastAsia="仿宋_GB2312" w:cs="仿宋_GB2312"/>
          <w:sz w:val="32"/>
          <w:szCs w:val="40"/>
          <w:lang w:val="en-US" w:eastAsia="zh-CN"/>
        </w:rPr>
        <w:t>情况</w:t>
      </w:r>
      <w:r>
        <w:rPr>
          <w:rFonts w:hint="default" w:ascii="仿宋_GB2312" w:hAnsi="仿宋_GB2312" w:eastAsia="仿宋_GB2312" w:cs="仿宋_GB2312"/>
          <w:sz w:val="32"/>
          <w:szCs w:val="40"/>
          <w:lang w:val="en-US" w:eastAsia="zh-CN"/>
        </w:rPr>
        <w:t>见表</w:t>
      </w:r>
      <w:r>
        <w:rPr>
          <w:rFonts w:hint="eastAsia" w:ascii="仿宋_GB2312" w:hAnsi="仿宋_GB2312" w:eastAsia="仿宋_GB2312" w:cs="仿宋_GB2312"/>
          <w:sz w:val="32"/>
          <w:szCs w:val="40"/>
          <w:lang w:val="en-US" w:eastAsia="zh-CN"/>
        </w:rPr>
        <w:t>2</w:t>
      </w:r>
      <w:r>
        <w:rPr>
          <w:rFonts w:hint="default"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lang w:val="en-US" w:eastAsia="zh-CN"/>
        </w:rPr>
        <w:t>1</w:t>
      </w:r>
      <w:r>
        <w:rPr>
          <w:rFonts w:hint="default" w:ascii="仿宋_GB2312" w:hAnsi="仿宋_GB2312" w:eastAsia="仿宋_GB2312" w:cs="仿宋_GB2312"/>
          <w:sz w:val="32"/>
          <w:szCs w:val="40"/>
          <w:lang w:val="en-US" w:eastAsia="zh-CN"/>
        </w:rPr>
        <w:t>：</w:t>
      </w:r>
    </w:p>
    <w:p w14:paraId="0D18AA8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 xml:space="preserve">表2-1 </w:t>
      </w:r>
      <w:r>
        <w:rPr>
          <w:rFonts w:hint="default" w:ascii="黑体" w:hAnsi="黑体" w:eastAsia="黑体" w:cs="黑体"/>
          <w:sz w:val="24"/>
          <w:lang w:val="en-US" w:eastAsia="zh-CN"/>
        </w:rPr>
        <w:t>评价实施进度及工作安排情况表</w:t>
      </w:r>
    </w:p>
    <w:tbl>
      <w:tblPr>
        <w:tblStyle w:val="14"/>
        <w:tblW w:w="0" w:type="auto"/>
        <w:tblInd w:w="0" w:type="dxa"/>
        <w:tblLayout w:type="autofit"/>
        <w:tblCellMar>
          <w:top w:w="0" w:type="dxa"/>
          <w:left w:w="108" w:type="dxa"/>
          <w:bottom w:w="0" w:type="dxa"/>
          <w:right w:w="108" w:type="dxa"/>
        </w:tblCellMar>
      </w:tblPr>
      <w:tblGrid>
        <w:gridCol w:w="728"/>
        <w:gridCol w:w="1095"/>
        <w:gridCol w:w="7149"/>
      </w:tblGrid>
      <w:tr w14:paraId="62656713">
        <w:trPr>
          <w:trHeight w:val="471" w:hRule="atLeast"/>
          <w:tblHeader/>
        </w:trPr>
        <w:tc>
          <w:tcPr>
            <w:tcW w:w="728"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2EEDFF6">
            <w:pPr>
              <w:widowControl/>
              <w:spacing w:line="240" w:lineRule="auto"/>
              <w:ind w:firstLine="0" w:firstLineChars="0"/>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1095"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12C631">
            <w:pPr>
              <w:widowControl/>
              <w:spacing w:line="240" w:lineRule="auto"/>
              <w:ind w:firstLine="0" w:firstLineChars="0"/>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工作程序</w:t>
            </w:r>
          </w:p>
        </w:tc>
        <w:tc>
          <w:tcPr>
            <w:tcW w:w="7149"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84A403C">
            <w:pPr>
              <w:widowControl/>
              <w:spacing w:line="240" w:lineRule="auto"/>
              <w:ind w:firstLine="0" w:firstLineChars="0"/>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工作内容</w:t>
            </w:r>
          </w:p>
        </w:tc>
      </w:tr>
      <w:tr w14:paraId="296B3769">
        <w:trPr>
          <w:trHeight w:val="920" w:hRule="atLeast"/>
        </w:trPr>
        <w:tc>
          <w:tcPr>
            <w:tcW w:w="728" w:type="dxa"/>
            <w:tcBorders>
              <w:top w:val="nil"/>
              <w:left w:val="single" w:color="auto" w:sz="4" w:space="0"/>
              <w:bottom w:val="single" w:color="auto" w:sz="4" w:space="0"/>
              <w:right w:val="single" w:color="auto" w:sz="4" w:space="0"/>
            </w:tcBorders>
            <w:shd w:val="clear" w:color="auto" w:fill="auto"/>
            <w:vAlign w:val="center"/>
          </w:tcPr>
          <w:p w14:paraId="67304201">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w:t>
            </w:r>
          </w:p>
        </w:tc>
        <w:tc>
          <w:tcPr>
            <w:tcW w:w="1095" w:type="dxa"/>
            <w:tcBorders>
              <w:top w:val="nil"/>
              <w:left w:val="nil"/>
              <w:bottom w:val="single" w:color="auto" w:sz="4" w:space="0"/>
              <w:right w:val="single" w:color="auto" w:sz="4" w:space="0"/>
            </w:tcBorders>
            <w:shd w:val="clear" w:color="auto" w:fill="auto"/>
            <w:vAlign w:val="center"/>
          </w:tcPr>
          <w:p w14:paraId="4161151A">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前期准备</w:t>
            </w:r>
          </w:p>
        </w:tc>
        <w:tc>
          <w:tcPr>
            <w:tcW w:w="7149" w:type="dxa"/>
            <w:tcBorders>
              <w:top w:val="nil"/>
              <w:left w:val="nil"/>
              <w:bottom w:val="single" w:color="auto" w:sz="4" w:space="0"/>
              <w:right w:val="single" w:color="auto" w:sz="4" w:space="0"/>
            </w:tcBorders>
            <w:shd w:val="clear" w:color="auto" w:fill="auto"/>
            <w:vAlign w:val="center"/>
          </w:tcPr>
          <w:p w14:paraId="44736022">
            <w:pPr>
              <w:pStyle w:val="25"/>
              <w:tabs>
                <w:tab w:val="left" w:pos="753"/>
              </w:tabs>
              <w:snapToGrid w:val="0"/>
              <w:jc w:val="left"/>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了解被评价项目及相关单位业务情况，收集相关资料，充分了解项目立项、预算安排、实施内容、组织管理、绩效目标设置等内容，为编制评价方案奠定基础。</w:t>
            </w:r>
          </w:p>
        </w:tc>
      </w:tr>
      <w:tr w14:paraId="517E408C">
        <w:trPr>
          <w:trHeight w:val="701" w:hRule="atLeast"/>
        </w:trPr>
        <w:tc>
          <w:tcPr>
            <w:tcW w:w="728" w:type="dxa"/>
            <w:tcBorders>
              <w:top w:val="nil"/>
              <w:left w:val="single" w:color="auto" w:sz="4" w:space="0"/>
              <w:bottom w:val="single" w:color="auto" w:sz="4" w:space="0"/>
              <w:right w:val="single" w:color="auto" w:sz="4" w:space="0"/>
            </w:tcBorders>
            <w:shd w:val="clear" w:color="auto" w:fill="auto"/>
            <w:vAlign w:val="center"/>
          </w:tcPr>
          <w:p w14:paraId="113984A0">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w:t>
            </w:r>
          </w:p>
        </w:tc>
        <w:tc>
          <w:tcPr>
            <w:tcW w:w="1095" w:type="dxa"/>
            <w:tcBorders>
              <w:top w:val="nil"/>
              <w:left w:val="nil"/>
              <w:bottom w:val="single" w:color="auto" w:sz="4" w:space="0"/>
              <w:right w:val="single" w:color="auto" w:sz="4" w:space="0"/>
            </w:tcBorders>
            <w:shd w:val="clear" w:color="auto" w:fill="auto"/>
            <w:vAlign w:val="center"/>
          </w:tcPr>
          <w:p w14:paraId="66A19A8E">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制定评价实施方案</w:t>
            </w:r>
          </w:p>
        </w:tc>
        <w:tc>
          <w:tcPr>
            <w:tcW w:w="7149" w:type="dxa"/>
            <w:tcBorders>
              <w:top w:val="nil"/>
              <w:left w:val="nil"/>
              <w:bottom w:val="single" w:color="auto" w:sz="4" w:space="0"/>
              <w:right w:val="single" w:color="auto" w:sz="4" w:space="0"/>
            </w:tcBorders>
            <w:shd w:val="clear" w:color="auto" w:fill="auto"/>
            <w:vAlign w:val="center"/>
          </w:tcPr>
          <w:p w14:paraId="60B32EC6">
            <w:pPr>
              <w:pStyle w:val="25"/>
              <w:tabs>
                <w:tab w:val="left" w:pos="753"/>
              </w:tabs>
              <w:snapToGrid w:val="0"/>
              <w:jc w:val="left"/>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在调研、了解评价项目基本情况的基础上，对收集的材料进行整理分析，根据具体项目实际情况和绩效管理要求撰写评价方案并报送论证。</w:t>
            </w:r>
          </w:p>
        </w:tc>
      </w:tr>
      <w:tr w14:paraId="3C7BD527">
        <w:trPr>
          <w:trHeight w:val="768" w:hRule="atLeast"/>
        </w:trPr>
        <w:tc>
          <w:tcPr>
            <w:tcW w:w="728" w:type="dxa"/>
            <w:tcBorders>
              <w:top w:val="nil"/>
              <w:left w:val="single" w:color="auto" w:sz="4" w:space="0"/>
              <w:bottom w:val="single" w:color="auto" w:sz="4" w:space="0"/>
              <w:right w:val="single" w:color="auto" w:sz="4" w:space="0"/>
            </w:tcBorders>
            <w:shd w:val="clear" w:color="auto" w:fill="auto"/>
            <w:vAlign w:val="center"/>
          </w:tcPr>
          <w:p w14:paraId="737F1EBC">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w:t>
            </w:r>
          </w:p>
        </w:tc>
        <w:tc>
          <w:tcPr>
            <w:tcW w:w="1095" w:type="dxa"/>
            <w:tcBorders>
              <w:top w:val="nil"/>
              <w:left w:val="nil"/>
              <w:bottom w:val="single" w:color="auto" w:sz="4" w:space="0"/>
              <w:right w:val="single" w:color="auto" w:sz="4" w:space="0"/>
            </w:tcBorders>
            <w:shd w:val="clear" w:color="auto" w:fill="auto"/>
            <w:vAlign w:val="center"/>
          </w:tcPr>
          <w:p w14:paraId="6ECB175E">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现场评价</w:t>
            </w:r>
          </w:p>
        </w:tc>
        <w:tc>
          <w:tcPr>
            <w:tcW w:w="7149" w:type="dxa"/>
            <w:tcBorders>
              <w:top w:val="nil"/>
              <w:left w:val="nil"/>
              <w:bottom w:val="single" w:color="auto" w:sz="4" w:space="0"/>
              <w:right w:val="single" w:color="auto" w:sz="4" w:space="0"/>
            </w:tcBorders>
            <w:shd w:val="clear" w:color="auto" w:fill="auto"/>
            <w:vAlign w:val="center"/>
          </w:tcPr>
          <w:p w14:paraId="004C61C5">
            <w:pPr>
              <w:pStyle w:val="25"/>
              <w:tabs>
                <w:tab w:val="left" w:pos="753"/>
              </w:tabs>
              <w:snapToGrid w:val="0"/>
              <w:jc w:val="left"/>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根据具体评价要求确定现场评价抽样范围，对项目进行实地勘察、资料核实、社会调查、分析评价等。</w:t>
            </w:r>
          </w:p>
        </w:tc>
      </w:tr>
      <w:tr w14:paraId="33194DCA">
        <w:trPr>
          <w:trHeight w:val="680" w:hRule="atLeast"/>
        </w:trPr>
        <w:tc>
          <w:tcPr>
            <w:tcW w:w="728" w:type="dxa"/>
            <w:tcBorders>
              <w:top w:val="nil"/>
              <w:left w:val="single" w:color="auto" w:sz="4" w:space="0"/>
              <w:bottom w:val="single" w:color="auto" w:sz="4" w:space="0"/>
              <w:right w:val="single" w:color="auto" w:sz="4" w:space="0"/>
            </w:tcBorders>
            <w:shd w:val="clear" w:color="auto" w:fill="auto"/>
            <w:vAlign w:val="center"/>
          </w:tcPr>
          <w:p w14:paraId="75AD1072">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4</w:t>
            </w:r>
          </w:p>
        </w:tc>
        <w:tc>
          <w:tcPr>
            <w:tcW w:w="1095" w:type="dxa"/>
            <w:tcBorders>
              <w:top w:val="nil"/>
              <w:left w:val="nil"/>
              <w:bottom w:val="single" w:color="auto" w:sz="4" w:space="0"/>
              <w:right w:val="single" w:color="auto" w:sz="4" w:space="0"/>
            </w:tcBorders>
            <w:shd w:val="clear" w:color="auto" w:fill="auto"/>
            <w:vAlign w:val="center"/>
          </w:tcPr>
          <w:p w14:paraId="0B5CEDC9">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撰写评价报告初稿</w:t>
            </w:r>
          </w:p>
        </w:tc>
        <w:tc>
          <w:tcPr>
            <w:tcW w:w="7149" w:type="dxa"/>
            <w:tcBorders>
              <w:top w:val="nil"/>
              <w:left w:val="nil"/>
              <w:bottom w:val="single" w:color="auto" w:sz="4" w:space="0"/>
              <w:right w:val="single" w:color="auto" w:sz="4" w:space="0"/>
            </w:tcBorders>
            <w:shd w:val="clear" w:color="auto" w:fill="auto"/>
            <w:vAlign w:val="center"/>
          </w:tcPr>
          <w:p w14:paraId="071B01FA">
            <w:pPr>
              <w:pStyle w:val="25"/>
              <w:tabs>
                <w:tab w:val="left" w:pos="753"/>
              </w:tabs>
              <w:snapToGrid w:val="0"/>
              <w:jc w:val="left"/>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在梳理、研究、分析现场评价和非现场评价情况的基础上，按照规定格式撰写绩效评价报告。</w:t>
            </w:r>
          </w:p>
        </w:tc>
      </w:tr>
      <w:tr w14:paraId="38F6BEA5">
        <w:trPr>
          <w:trHeight w:val="687" w:hRule="atLeast"/>
        </w:trPr>
        <w:tc>
          <w:tcPr>
            <w:tcW w:w="728" w:type="dxa"/>
            <w:tcBorders>
              <w:top w:val="nil"/>
              <w:left w:val="single" w:color="auto" w:sz="4" w:space="0"/>
              <w:bottom w:val="single" w:color="auto" w:sz="4" w:space="0"/>
              <w:right w:val="single" w:color="auto" w:sz="4" w:space="0"/>
            </w:tcBorders>
            <w:shd w:val="clear" w:color="auto" w:fill="auto"/>
            <w:vAlign w:val="center"/>
          </w:tcPr>
          <w:p w14:paraId="6CCA09E8">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5</w:t>
            </w:r>
          </w:p>
        </w:tc>
        <w:tc>
          <w:tcPr>
            <w:tcW w:w="1095" w:type="dxa"/>
            <w:tcBorders>
              <w:top w:val="nil"/>
              <w:left w:val="nil"/>
              <w:bottom w:val="single" w:color="auto" w:sz="4" w:space="0"/>
              <w:right w:val="single" w:color="auto" w:sz="4" w:space="0"/>
            </w:tcBorders>
            <w:shd w:val="clear" w:color="auto" w:fill="auto"/>
            <w:vAlign w:val="center"/>
          </w:tcPr>
          <w:p w14:paraId="1DEB0D15">
            <w:pPr>
              <w:pStyle w:val="25"/>
              <w:tabs>
                <w:tab w:val="left" w:pos="753"/>
              </w:tabs>
              <w:snapToGrid w:val="0"/>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提交评价报告</w:t>
            </w:r>
          </w:p>
        </w:tc>
        <w:tc>
          <w:tcPr>
            <w:tcW w:w="7149" w:type="dxa"/>
            <w:tcBorders>
              <w:top w:val="nil"/>
              <w:left w:val="nil"/>
              <w:bottom w:val="single" w:color="auto" w:sz="4" w:space="0"/>
              <w:right w:val="single" w:color="auto" w:sz="4" w:space="0"/>
            </w:tcBorders>
            <w:shd w:val="clear" w:color="auto" w:fill="auto"/>
            <w:vAlign w:val="center"/>
          </w:tcPr>
          <w:p w14:paraId="5D61A596">
            <w:pPr>
              <w:pStyle w:val="25"/>
              <w:tabs>
                <w:tab w:val="left" w:pos="753"/>
              </w:tabs>
              <w:snapToGrid w:val="0"/>
              <w:jc w:val="left"/>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评价报告根据专家评审意见进行修改，由项目主评人签字确认后，加盖公司公章后，按项目交付时间要求提交。</w:t>
            </w:r>
          </w:p>
        </w:tc>
      </w:tr>
      <w:bookmarkEnd w:id="18"/>
    </w:tbl>
    <w:p w14:paraId="385BE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2.评价方法</w:t>
      </w:r>
    </w:p>
    <w:p w14:paraId="7BFF00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本次</w:t>
      </w:r>
      <w:r>
        <w:rPr>
          <w:rFonts w:hint="eastAsia" w:ascii="仿宋_GB2312" w:hAnsi="仿宋_GB2312" w:eastAsia="仿宋_GB2312" w:cs="仿宋_GB2312"/>
          <w:sz w:val="32"/>
          <w:szCs w:val="32"/>
        </w:rPr>
        <w:t>评价</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采用比较法、公众评判法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现场核查法</w:t>
      </w:r>
      <w:r>
        <w:rPr>
          <w:rFonts w:hint="eastAsia" w:ascii="仿宋_GB2312" w:hAnsi="仿宋_GB2312" w:eastAsia="仿宋_GB2312" w:cs="仿宋_GB2312"/>
          <w:sz w:val="32"/>
          <w:szCs w:val="32"/>
          <w:lang w:eastAsia="zh-CN"/>
        </w:rPr>
        <w:t>。</w:t>
      </w:r>
    </w:p>
    <w:p w14:paraId="6CD1FE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（1）比较法。将项目实际完成数据与既定绩效目标、历史数据对比，客观衡量项目产出、效益目标完成程度。</w:t>
      </w:r>
    </w:p>
    <w:p w14:paraId="3EB92E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（2）公众评判法。多方开展座谈访谈，充分采集行业专家、主管部门、受托管理机构、被投企业多方意见，综合研判政策实施情况。</w:t>
      </w:r>
    </w:p>
    <w:p w14:paraId="04EAE3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32"/>
        </w:rPr>
      </w:pPr>
      <w:r>
        <w:rPr>
          <w:rFonts w:hint="eastAsia" w:ascii="仿宋_GB2312" w:hAnsi="仿宋_GB2312" w:eastAsia="仿宋_GB2312" w:cs="仿宋_GB2312"/>
          <w:sz w:val="32"/>
          <w:szCs w:val="32"/>
          <w:lang w:val="en-US" w:eastAsia="zh-CN"/>
        </w:rPr>
        <w:t>（3）现场核查法。通过实地走访、查阅业务和财务资料，核验数据信息真实度和项目流程操作的合规性。</w:t>
      </w:r>
    </w:p>
    <w:p w14:paraId="4E58C6FC">
      <w:pPr>
        <w:pStyle w:val="2"/>
        <w:spacing w:before="0" w:after="0" w:line="660" w:lineRule="exact"/>
        <w:ind w:firstLine="640" w:firstLineChars="200"/>
        <w:jc w:val="both"/>
        <w:rPr>
          <w:rFonts w:ascii="Calibri" w:hAnsi="Calibri" w:cs="Times New Roman"/>
          <w:sz w:val="32"/>
          <w:szCs w:val="32"/>
        </w:rPr>
      </w:pPr>
      <w:bookmarkStart w:id="19" w:name="_Toc2089425320"/>
      <w:bookmarkStart w:id="20" w:name="_Toc947315409"/>
      <w:r>
        <w:rPr>
          <w:rFonts w:hint="eastAsia" w:ascii="Calibri" w:hAnsi="Calibri" w:cs="Times New Roman"/>
          <w:sz w:val="32"/>
          <w:szCs w:val="32"/>
        </w:rPr>
        <w:t>三、评价结论及分析</w:t>
      </w:r>
      <w:bookmarkEnd w:id="19"/>
      <w:bookmarkEnd w:id="20"/>
    </w:p>
    <w:p w14:paraId="6E7AB7A5">
      <w:pPr>
        <w:pStyle w:val="3"/>
        <w:ind w:firstLine="640"/>
      </w:pPr>
      <w:bookmarkStart w:id="21" w:name="_Toc1318757496"/>
      <w:bookmarkStart w:id="22" w:name="_Toc86320205"/>
      <w:r>
        <w:rPr>
          <w:rFonts w:hint="eastAsia"/>
        </w:rPr>
        <w:t>（一）综合评价结论</w:t>
      </w:r>
      <w:bookmarkEnd w:id="21"/>
      <w:bookmarkEnd w:id="22"/>
    </w:p>
    <w:p w14:paraId="4F36BE23">
      <w:pPr>
        <w:spacing w:line="600" w:lineRule="exact"/>
        <w:ind w:firstLine="640" w:firstLineChars="200"/>
        <w:rPr>
          <w:rFonts w:ascii="Times New Roman Regular" w:hAnsi="Times New Roman Regular" w:eastAsia="黑体" w:cs="Times New Roman Regular"/>
          <w:sz w:val="24"/>
        </w:rPr>
      </w:pPr>
      <w:r>
        <w:rPr>
          <w:rFonts w:hint="eastAsia" w:ascii="仿宋_GB2312" w:hAnsi="仿宋_GB2312" w:eastAsia="仿宋_GB2312" w:cs="仿宋_GB2312"/>
          <w:sz w:val="32"/>
          <w:szCs w:val="32"/>
          <w:lang w:eastAsia="zh-CN"/>
        </w:rPr>
        <w:t>科技股权投资专项（含省市股权联动）政策</w:t>
      </w:r>
      <w:r>
        <w:rPr>
          <w:rFonts w:hint="eastAsia" w:ascii="仿宋_GB2312" w:hAnsi="仿宋_GB2312" w:eastAsia="仿宋_GB2312" w:cs="仿宋_GB2312"/>
          <w:sz w:val="32"/>
          <w:szCs w:val="40"/>
        </w:rPr>
        <w:t>绩效评价得分</w:t>
      </w:r>
      <w:r>
        <w:rPr>
          <w:rFonts w:hint="eastAsia" w:ascii="仿宋_GB2312" w:hAnsi="仿宋_GB2312" w:eastAsia="仿宋_GB2312" w:cs="仿宋_GB2312"/>
          <w:sz w:val="32"/>
          <w:szCs w:val="40"/>
          <w:lang w:val="en-US" w:eastAsia="zh-CN"/>
        </w:rPr>
        <w:t>84.5</w:t>
      </w:r>
      <w:r>
        <w:rPr>
          <w:rFonts w:hint="eastAsia" w:ascii="仿宋_GB2312" w:hAnsi="仿宋_GB2312" w:eastAsia="仿宋_GB2312" w:cs="仿宋_GB2312"/>
          <w:sz w:val="32"/>
          <w:szCs w:val="40"/>
        </w:rPr>
        <w:t>分，评价结果为</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良</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w:t>
      </w:r>
    </w:p>
    <w:p w14:paraId="46CD2E5B">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ascii="Times New Roman Regular" w:hAnsi="Times New Roman Regular" w:eastAsia="黑体" w:cs="Times New Roman Regular"/>
          <w:sz w:val="24"/>
        </w:rPr>
      </w:pPr>
      <w:r>
        <w:rPr>
          <w:rFonts w:hint="eastAsia" w:ascii="黑体" w:hAnsi="黑体" w:eastAsia="黑体" w:cs="黑体"/>
          <w:sz w:val="24"/>
        </w:rPr>
        <w:t xml:space="preserve">表3-1 </w:t>
      </w:r>
      <w:r>
        <w:rPr>
          <w:rFonts w:hint="eastAsia" w:ascii="Times New Roman Regular" w:hAnsi="Times New Roman Regular" w:eastAsia="黑体" w:cs="Times New Roman Regular"/>
          <w:sz w:val="24"/>
          <w:lang w:eastAsia="zh-CN"/>
        </w:rPr>
        <w:t>科技股权投资专项（含省市股权联动）</w:t>
      </w:r>
      <w:r>
        <w:rPr>
          <w:rFonts w:ascii="Times New Roman Regular" w:hAnsi="Times New Roman Regular" w:eastAsia="黑体" w:cs="Times New Roman Regular"/>
          <w:sz w:val="24"/>
        </w:rPr>
        <w:t>政策绩效评价得分情况表</w:t>
      </w:r>
    </w:p>
    <w:tbl>
      <w:tblPr>
        <w:tblStyle w:val="14"/>
        <w:tblW w:w="4842" w:type="pct"/>
        <w:tblInd w:w="0" w:type="dxa"/>
        <w:tblLayout w:type="autofit"/>
        <w:tblCellMar>
          <w:top w:w="0" w:type="dxa"/>
          <w:left w:w="108" w:type="dxa"/>
          <w:bottom w:w="0" w:type="dxa"/>
          <w:right w:w="108" w:type="dxa"/>
        </w:tblCellMar>
      </w:tblPr>
      <w:tblGrid>
        <w:gridCol w:w="2444"/>
        <w:gridCol w:w="2185"/>
        <w:gridCol w:w="2122"/>
        <w:gridCol w:w="2199"/>
      </w:tblGrid>
      <w:tr w14:paraId="68CF762A">
        <w:trPr>
          <w:trHeight w:val="465" w:hRule="atLeast"/>
          <w:tblHeader/>
        </w:trPr>
        <w:tc>
          <w:tcPr>
            <w:tcW w:w="1365"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9385F94">
            <w:pPr>
              <w:widowControl/>
              <w:jc w:val="center"/>
              <w:textAlignment w:val="center"/>
              <w:rPr>
                <w:rFonts w:hint="eastAsia" w:ascii="黑体" w:hAnsi="宋体" w:eastAsia="黑体" w:cs="黑体"/>
                <w:color w:val="000000"/>
                <w:sz w:val="21"/>
                <w:szCs w:val="21"/>
              </w:rPr>
            </w:pPr>
            <w:r>
              <w:rPr>
                <w:rFonts w:ascii="黑体" w:hAnsi="宋体" w:eastAsia="黑体" w:cs="黑体"/>
                <w:color w:val="000000"/>
                <w:kern w:val="0"/>
                <w:sz w:val="21"/>
                <w:szCs w:val="21"/>
                <w:lang w:bidi="ar"/>
              </w:rPr>
              <w:t>一级指标</w:t>
            </w:r>
          </w:p>
        </w:tc>
        <w:tc>
          <w:tcPr>
            <w:tcW w:w="1220"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16F90CB">
            <w:pPr>
              <w:widowControl/>
              <w:jc w:val="center"/>
              <w:textAlignment w:val="center"/>
              <w:rPr>
                <w:rFonts w:hint="eastAsia" w:ascii="黑体" w:hAnsi="宋体" w:eastAsia="黑体" w:cs="黑体"/>
                <w:color w:val="000000"/>
                <w:sz w:val="21"/>
                <w:szCs w:val="21"/>
              </w:rPr>
            </w:pPr>
            <w:r>
              <w:rPr>
                <w:rFonts w:ascii="黑体" w:hAnsi="宋体" w:eastAsia="黑体" w:cs="黑体"/>
                <w:color w:val="000000"/>
                <w:kern w:val="0"/>
                <w:sz w:val="21"/>
                <w:szCs w:val="21"/>
                <w:lang w:bidi="ar"/>
              </w:rPr>
              <w:t>指标分值</w:t>
            </w:r>
          </w:p>
        </w:tc>
        <w:tc>
          <w:tcPr>
            <w:tcW w:w="1185"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42C90C0">
            <w:pPr>
              <w:widowControl/>
              <w:jc w:val="center"/>
              <w:textAlignment w:val="center"/>
              <w:rPr>
                <w:rFonts w:hint="eastAsia" w:ascii="黑体" w:hAnsi="宋体" w:eastAsia="黑体" w:cs="黑体"/>
                <w:color w:val="000000"/>
                <w:sz w:val="21"/>
                <w:szCs w:val="21"/>
              </w:rPr>
            </w:pPr>
            <w:r>
              <w:rPr>
                <w:rFonts w:ascii="黑体" w:hAnsi="宋体" w:eastAsia="黑体" w:cs="黑体"/>
                <w:color w:val="000000"/>
                <w:kern w:val="0"/>
                <w:sz w:val="21"/>
                <w:szCs w:val="21"/>
                <w:lang w:bidi="ar"/>
              </w:rPr>
              <w:t>得分</w:t>
            </w:r>
          </w:p>
        </w:tc>
        <w:tc>
          <w:tcPr>
            <w:tcW w:w="1228"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4559E9DA">
            <w:pPr>
              <w:widowControl/>
              <w:jc w:val="center"/>
              <w:textAlignment w:val="center"/>
              <w:rPr>
                <w:rFonts w:hint="eastAsia" w:ascii="黑体" w:hAnsi="宋体" w:eastAsia="黑体" w:cs="黑体"/>
                <w:color w:val="000000"/>
                <w:sz w:val="21"/>
                <w:szCs w:val="21"/>
              </w:rPr>
            </w:pPr>
            <w:r>
              <w:rPr>
                <w:rFonts w:ascii="黑体" w:hAnsi="宋体" w:eastAsia="黑体" w:cs="黑体"/>
                <w:color w:val="000000"/>
                <w:kern w:val="0"/>
                <w:sz w:val="21"/>
                <w:szCs w:val="21"/>
                <w:lang w:bidi="ar"/>
              </w:rPr>
              <w:t>得分率</w:t>
            </w:r>
          </w:p>
        </w:tc>
      </w:tr>
      <w:tr w14:paraId="2B348929">
        <w:trPr>
          <w:trHeight w:val="465" w:hRule="atLeast"/>
        </w:trPr>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25B5">
            <w:pPr>
              <w:widowControl/>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政策制定</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06E6">
            <w:pPr>
              <w:keepNext w:val="0"/>
              <w:keepLines w:val="0"/>
              <w:widowControl/>
              <w:suppressLineNumbers w:val="0"/>
              <w:jc w:val="center"/>
              <w:textAlignment w:val="center"/>
              <w:rPr>
                <w:rFonts w:hint="eastAsia" w:ascii="仿宋_GB2312" w:hAnsi="仿宋_GB2312" w:eastAsia="仿宋_GB2312" w:cs="仿宋_GB2312"/>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10</w:t>
            </w: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9CD0">
            <w:pPr>
              <w:keepNext w:val="0"/>
              <w:keepLines w:val="0"/>
              <w:widowControl/>
              <w:suppressLineNumbers w:val="0"/>
              <w:jc w:val="center"/>
              <w:textAlignment w:val="center"/>
              <w:rPr>
                <w:rFonts w:hint="eastAsia" w:ascii="仿宋_GB2312" w:hAnsi="仿宋_GB2312" w:eastAsia="仿宋_GB2312" w:cs="仿宋_GB2312"/>
                <w:color w:val="000000"/>
                <w:sz w:val="21"/>
                <w:szCs w:val="21"/>
                <w:lang w:val="en-US"/>
              </w:rPr>
            </w:pPr>
            <w:r>
              <w:rPr>
                <w:rFonts w:hint="eastAsia" w:ascii="仿宋_GB2312" w:hAnsi="宋体" w:eastAsia="仿宋_GB2312" w:cs="仿宋_GB2312"/>
                <w:i w:val="0"/>
                <w:iCs w:val="0"/>
                <w:color w:val="000000"/>
                <w:kern w:val="0"/>
                <w:sz w:val="21"/>
                <w:szCs w:val="21"/>
                <w:u w:val="none"/>
                <w:lang w:val="en-US" w:eastAsia="zh-CN" w:bidi="ar"/>
              </w:rPr>
              <w:t>10</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CC8E">
            <w:pPr>
              <w:keepNext w:val="0"/>
              <w:keepLines w:val="0"/>
              <w:widowControl/>
              <w:suppressLineNumbers w:val="0"/>
              <w:jc w:val="center"/>
              <w:textAlignment w:val="center"/>
              <w:rPr>
                <w:rFonts w:hint="eastAsia" w:ascii="仿宋_GB2312" w:hAnsi="仿宋_GB2312" w:eastAsia="仿宋_GB2312" w:cs="仿宋_GB2312"/>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100%</w:t>
            </w:r>
          </w:p>
        </w:tc>
      </w:tr>
      <w:tr w14:paraId="556E0D58">
        <w:trPr>
          <w:trHeight w:val="465" w:hRule="atLeast"/>
        </w:trPr>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F111">
            <w:pPr>
              <w:widowControl/>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政策实施</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B3F9">
            <w:pPr>
              <w:keepNext w:val="0"/>
              <w:keepLines w:val="0"/>
              <w:widowControl/>
              <w:suppressLineNumbers w:val="0"/>
              <w:jc w:val="center"/>
              <w:textAlignment w:val="center"/>
              <w:rPr>
                <w:rFonts w:hint="eastAsia" w:ascii="仿宋_GB2312" w:hAnsi="仿宋_GB2312" w:eastAsia="仿宋_GB2312" w:cs="仿宋_GB2312"/>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30</w:t>
            </w: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3886">
            <w:pPr>
              <w:keepNext w:val="0"/>
              <w:keepLines w:val="0"/>
              <w:widowControl/>
              <w:suppressLineNumbers w:val="0"/>
              <w:jc w:val="center"/>
              <w:textAlignment w:val="center"/>
              <w:rPr>
                <w:rFonts w:hint="eastAsia" w:ascii="仿宋_GB2312" w:hAnsi="仿宋_GB2312" w:eastAsia="仿宋_GB2312" w:cs="仿宋_GB2312"/>
                <w:color w:val="000000"/>
                <w:sz w:val="21"/>
                <w:szCs w:val="21"/>
                <w:lang w:val="en-US"/>
              </w:rPr>
            </w:pPr>
            <w:r>
              <w:rPr>
                <w:rFonts w:hint="eastAsia" w:ascii="仿宋_GB2312" w:hAnsi="宋体" w:eastAsia="仿宋_GB2312" w:cs="仿宋_GB2312"/>
                <w:i w:val="0"/>
                <w:iCs w:val="0"/>
                <w:color w:val="000000"/>
                <w:kern w:val="0"/>
                <w:sz w:val="21"/>
                <w:szCs w:val="21"/>
                <w:u w:val="none"/>
                <w:lang w:val="en-US" w:eastAsia="zh-CN" w:bidi="ar"/>
              </w:rPr>
              <w:t>24</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5CDC">
            <w:pPr>
              <w:keepNext w:val="0"/>
              <w:keepLines w:val="0"/>
              <w:widowControl/>
              <w:suppressLineNumbers w:val="0"/>
              <w:jc w:val="center"/>
              <w:textAlignment w:val="center"/>
              <w:rPr>
                <w:rFonts w:hint="eastAsia" w:ascii="仿宋_GB2312" w:hAnsi="仿宋_GB2312" w:eastAsia="仿宋_GB2312" w:cs="仿宋_GB2312"/>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80%</w:t>
            </w:r>
          </w:p>
        </w:tc>
      </w:tr>
      <w:tr w14:paraId="2426D173">
        <w:trPr>
          <w:trHeight w:val="465" w:hRule="atLeast"/>
        </w:trPr>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C988">
            <w:pPr>
              <w:widowControl/>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政策效果</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7E5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60</w:t>
            </w: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2F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50.5</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D2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84.17%</w:t>
            </w:r>
          </w:p>
        </w:tc>
      </w:tr>
      <w:tr w14:paraId="24889CB6">
        <w:trPr>
          <w:trHeight w:val="465" w:hRule="atLeast"/>
        </w:trPr>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0FA7">
            <w:pPr>
              <w:widowControl/>
              <w:jc w:val="center"/>
              <w:textAlignment w:val="center"/>
              <w:rPr>
                <w:rFonts w:hint="eastAsia" w:ascii="仿宋_GB2312" w:hAnsi="仿宋_GB2312" w:eastAsia="仿宋_GB2312" w:cs="仿宋_GB2312"/>
                <w:b w:val="0"/>
                <w:bCs w:val="0"/>
                <w:color w:val="000000"/>
                <w:sz w:val="21"/>
                <w:szCs w:val="21"/>
              </w:rPr>
            </w:pPr>
            <w:r>
              <w:rPr>
                <w:rFonts w:hint="eastAsia" w:ascii="仿宋_GB2312" w:hAnsi="仿宋_GB2312" w:eastAsia="仿宋_GB2312" w:cs="仿宋_GB2312"/>
                <w:b w:val="0"/>
                <w:bCs w:val="0"/>
                <w:color w:val="000000"/>
                <w:kern w:val="0"/>
                <w:sz w:val="21"/>
                <w:szCs w:val="21"/>
                <w:lang w:bidi="ar"/>
              </w:rPr>
              <w:t>合计</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4DD2">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rPr>
            </w:pPr>
            <w:r>
              <w:rPr>
                <w:rFonts w:hint="eastAsia" w:ascii="仿宋_GB2312" w:hAnsi="宋体" w:eastAsia="仿宋_GB2312" w:cs="仿宋_GB2312"/>
                <w:b w:val="0"/>
                <w:bCs w:val="0"/>
                <w:i w:val="0"/>
                <w:iCs w:val="0"/>
                <w:color w:val="000000"/>
                <w:kern w:val="0"/>
                <w:sz w:val="21"/>
                <w:szCs w:val="21"/>
                <w:u w:val="none"/>
                <w:lang w:val="en-US" w:eastAsia="zh-CN" w:bidi="ar"/>
              </w:rPr>
              <w:t>100</w:t>
            </w:r>
          </w:p>
        </w:tc>
        <w:tc>
          <w:tcPr>
            <w:tcW w:w="2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6F78">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84.5</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675B">
            <w:pPr>
              <w:keepNext w:val="0"/>
              <w:keepLines w:val="0"/>
              <w:widowControl/>
              <w:suppressLineNumbers w:val="0"/>
              <w:jc w:val="center"/>
              <w:textAlignment w:val="center"/>
              <w:rPr>
                <w:rFonts w:hint="eastAsia" w:ascii="仿宋_GB2312" w:hAnsi="仿宋_GB2312" w:eastAsia="仿宋_GB2312" w:cs="仿宋_GB2312"/>
                <w:b w:val="0"/>
                <w:bCs w:val="0"/>
                <w:color w:val="000000"/>
                <w:sz w:val="21"/>
                <w:szCs w:val="21"/>
              </w:rPr>
            </w:pPr>
            <w:r>
              <w:rPr>
                <w:rFonts w:hint="eastAsia" w:ascii="仿宋_GB2312" w:hAnsi="宋体" w:eastAsia="仿宋_GB2312" w:cs="仿宋_GB2312"/>
                <w:i w:val="0"/>
                <w:iCs w:val="0"/>
                <w:color w:val="000000"/>
                <w:kern w:val="0"/>
                <w:sz w:val="21"/>
                <w:szCs w:val="21"/>
                <w:u w:val="none"/>
                <w:lang w:val="en-US" w:eastAsia="zh-CN" w:bidi="ar"/>
              </w:rPr>
              <w:t>84.5%</w:t>
            </w:r>
          </w:p>
        </w:tc>
      </w:tr>
    </w:tbl>
    <w:p w14:paraId="4261A687">
      <w:pPr>
        <w:pStyle w:val="3"/>
        <w:ind w:firstLine="640"/>
      </w:pPr>
      <w:bookmarkStart w:id="23" w:name="_Toc178514585"/>
      <w:bookmarkStart w:id="24" w:name="_Toc1232223710"/>
      <w:r>
        <w:rPr>
          <w:rFonts w:hint="eastAsia"/>
        </w:rPr>
        <w:t>（二）指标分析</w:t>
      </w:r>
      <w:bookmarkEnd w:id="23"/>
      <w:bookmarkEnd w:id="24"/>
    </w:p>
    <w:p w14:paraId="005E9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1.政策制定</w:t>
      </w:r>
    </w:p>
    <w:p w14:paraId="4CF3C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bookmarkStart w:id="25" w:name="_Toc18993"/>
      <w:bookmarkStart w:id="26" w:name="_Toc18746"/>
      <w:bookmarkStart w:id="27" w:name="_Toc2571"/>
      <w:bookmarkStart w:id="28" w:name="_Toc32216"/>
      <w:bookmarkStart w:id="29" w:name="_Toc29879"/>
      <w:bookmarkStart w:id="30" w:name="_Toc29925"/>
      <w:bookmarkStart w:id="31" w:name="_Toc4339"/>
      <w:bookmarkStart w:id="32" w:name="_Toc12725"/>
      <w:r>
        <w:rPr>
          <w:rFonts w:hint="eastAsia" w:ascii="仿宋_GB2312" w:hAnsi="仿宋_GB2312" w:eastAsia="仿宋_GB2312" w:cs="仿宋_GB2312"/>
          <w:sz w:val="32"/>
          <w:szCs w:val="40"/>
        </w:rPr>
        <w:t>政策制定</w:t>
      </w:r>
      <w:r>
        <w:rPr>
          <w:rFonts w:hint="eastAsia" w:ascii="仿宋_GB2312" w:hAnsi="仿宋_GB2312" w:eastAsia="仿宋_GB2312" w:cs="仿宋_GB2312"/>
          <w:kern w:val="0"/>
          <w:sz w:val="32"/>
          <w:szCs w:val="32"/>
        </w:rPr>
        <w:t>指标满分</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0分，得分</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分，得分率为</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w:t>
      </w:r>
      <w:bookmarkEnd w:id="25"/>
      <w:bookmarkEnd w:id="26"/>
      <w:bookmarkEnd w:id="27"/>
      <w:bookmarkEnd w:id="28"/>
      <w:bookmarkEnd w:id="29"/>
      <w:bookmarkEnd w:id="30"/>
      <w:bookmarkEnd w:id="31"/>
      <w:bookmarkEnd w:id="32"/>
      <w:r>
        <w:rPr>
          <w:rFonts w:hint="eastAsia" w:ascii="仿宋_GB2312" w:hAnsi="仿宋_GB2312" w:eastAsia="仿宋_GB2312" w:cs="仿宋_GB2312"/>
          <w:kern w:val="0"/>
          <w:sz w:val="32"/>
          <w:szCs w:val="32"/>
        </w:rPr>
        <w:t>政策制定符合国家法律法规、国民经济发展规划和相关政策，按照规定的程序设立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主管部门</w:t>
      </w:r>
      <w:r>
        <w:rPr>
          <w:rFonts w:hint="eastAsia" w:ascii="仿宋_GB2312" w:hAnsi="仿宋_GB2312" w:eastAsia="仿宋_GB2312" w:cs="仿宋_GB2312"/>
          <w:kern w:val="0"/>
          <w:sz w:val="32"/>
          <w:szCs w:val="32"/>
        </w:rPr>
        <w:t>设置绩效目标与实际工作内容相关，与资金</w:t>
      </w:r>
      <w:r>
        <w:rPr>
          <w:rFonts w:hint="eastAsia" w:ascii="仿宋_GB2312" w:hAnsi="仿宋_GB2312" w:eastAsia="仿宋_GB2312" w:cs="仿宋_GB2312"/>
          <w:kern w:val="0"/>
          <w:sz w:val="32"/>
          <w:szCs w:val="32"/>
          <w:lang w:val="en-US" w:eastAsia="zh-CN"/>
        </w:rPr>
        <w:t>预算</w:t>
      </w:r>
      <w:r>
        <w:rPr>
          <w:rFonts w:hint="eastAsia" w:ascii="仿宋_GB2312" w:hAnsi="仿宋_GB2312" w:eastAsia="仿宋_GB2312" w:cs="仿宋_GB2312"/>
          <w:kern w:val="0"/>
          <w:sz w:val="32"/>
          <w:szCs w:val="32"/>
        </w:rPr>
        <w:t>相匹配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政策明确了支出标准，</w:t>
      </w:r>
      <w:r>
        <w:rPr>
          <w:rFonts w:hint="eastAsia" w:ascii="仿宋_GB2312" w:hAnsi="仿宋_GB2312" w:eastAsia="仿宋_GB2312" w:cs="仿宋_GB2312"/>
          <w:kern w:val="0"/>
          <w:sz w:val="32"/>
          <w:szCs w:val="32"/>
        </w:rPr>
        <w:t>单个项目的投资强度根据企业的申请额度、资产总额及专家评审意见和受托管理机构的尽职调查情况确定，最高</w:t>
      </w:r>
      <w:r>
        <w:rPr>
          <w:rFonts w:hint="eastAsia" w:ascii="仿宋_GB2312" w:hAnsi="仿宋_GB2312" w:eastAsia="仿宋_GB2312" w:cs="仿宋_GB2312"/>
          <w:kern w:val="0"/>
          <w:sz w:val="32"/>
          <w:szCs w:val="32"/>
          <w:lang w:val="en-US" w:eastAsia="zh-CN"/>
        </w:rPr>
        <w:t>不超过</w:t>
      </w:r>
      <w:r>
        <w:rPr>
          <w:rFonts w:hint="eastAsia" w:ascii="仿宋_GB2312" w:hAnsi="仿宋_GB2312" w:eastAsia="仿宋_GB2312" w:cs="仿宋_GB2312"/>
          <w:kern w:val="0"/>
          <w:sz w:val="32"/>
          <w:szCs w:val="32"/>
        </w:rPr>
        <w:t>1000万元</w:t>
      </w:r>
      <w:r>
        <w:rPr>
          <w:rFonts w:hint="eastAsia" w:ascii="仿宋_GB2312" w:hAnsi="仿宋_GB2312" w:eastAsia="仿宋_GB2312" w:cs="仿宋_GB2312"/>
          <w:kern w:val="0"/>
          <w:sz w:val="32"/>
          <w:szCs w:val="32"/>
          <w:lang w:eastAsia="zh-CN"/>
        </w:rPr>
        <w:t>。</w:t>
      </w:r>
    </w:p>
    <w:p w14:paraId="72767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2.政策实施</w:t>
      </w:r>
    </w:p>
    <w:p w14:paraId="7EF997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kern w:val="0"/>
          <w:sz w:val="32"/>
          <w:szCs w:val="32"/>
          <w:highlight w:val="none"/>
          <w:lang w:val="en-US" w:eastAsia="zh-CN"/>
        </w:rPr>
      </w:pPr>
      <w:r>
        <w:rPr>
          <w:rFonts w:hint="eastAsia" w:ascii="仿宋_GB2312" w:hAnsi="仿宋_GB2312" w:eastAsia="仿宋_GB2312" w:cs="仿宋_GB2312"/>
          <w:kern w:val="0"/>
          <w:sz w:val="32"/>
          <w:szCs w:val="32"/>
        </w:rPr>
        <w:t>政策实施指标满分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0分，得分</w:t>
      </w:r>
      <w:r>
        <w:rPr>
          <w:rFonts w:hint="default"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分，得分率为</w:t>
      </w:r>
      <w:r>
        <w:rPr>
          <w:rFonts w:hint="eastAsia" w:ascii="仿宋_GB2312" w:hAnsi="仿宋_GB2312" w:eastAsia="仿宋_GB2312" w:cs="仿宋_GB2312"/>
          <w:kern w:val="0"/>
          <w:sz w:val="32"/>
          <w:szCs w:val="32"/>
          <w:lang w:val="en-US" w:eastAsia="zh-CN"/>
        </w:rPr>
        <w:t>80</w:t>
      </w:r>
      <w:r>
        <w:rPr>
          <w:rFonts w:hint="eastAsia" w:ascii="仿宋_GB2312" w:hAnsi="仿宋_GB2312" w:eastAsia="仿宋_GB2312" w:cs="仿宋_GB2312"/>
          <w:kern w:val="0"/>
          <w:sz w:val="32"/>
          <w:szCs w:val="32"/>
        </w:rPr>
        <w:t>%。2025年</w:t>
      </w:r>
      <w:r>
        <w:rPr>
          <w:rFonts w:hint="eastAsia" w:ascii="仿宋_GB2312" w:hAnsi="仿宋_GB2312" w:eastAsia="仿宋_GB2312" w:cs="仿宋_GB2312"/>
          <w:kern w:val="0"/>
          <w:sz w:val="32"/>
          <w:szCs w:val="32"/>
          <w:lang w:val="en-US" w:eastAsia="zh-CN"/>
        </w:rPr>
        <w:t>项目</w:t>
      </w:r>
      <w:r>
        <w:rPr>
          <w:rFonts w:hint="eastAsia" w:ascii="仿宋_GB2312" w:hAnsi="仿宋_GB2312" w:eastAsia="仿宋_GB2312" w:cs="仿宋_GB2312"/>
          <w:kern w:val="0"/>
          <w:sz w:val="32"/>
          <w:szCs w:val="32"/>
        </w:rPr>
        <w:t>预算11656.7万元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截至2025年12月31日已全部拨付至财通集团。</w:t>
      </w:r>
      <w:r>
        <w:rPr>
          <w:rFonts w:hint="eastAsia" w:ascii="仿宋_GB2312" w:hAnsi="仿宋_GB2312" w:eastAsia="仿宋_GB2312" w:cs="仿宋_GB2312"/>
          <w:kern w:val="0"/>
          <w:sz w:val="32"/>
          <w:szCs w:val="32"/>
          <w:lang w:val="en-US" w:eastAsia="zh-CN"/>
        </w:rPr>
        <w:t>但存在以下问题：</w:t>
      </w:r>
      <w:r>
        <w:rPr>
          <w:rFonts w:hint="eastAsia" w:ascii="仿宋_GB2312" w:hAnsi="仿宋_GB2312" w:eastAsia="仿宋_GB2312" w:cs="仿宋_GB2312"/>
          <w:b/>
          <w:bCs/>
          <w:kern w:val="0"/>
          <w:sz w:val="32"/>
          <w:szCs w:val="32"/>
          <w:lang w:val="en-US" w:eastAsia="zh-CN"/>
        </w:rPr>
        <w:t>一是</w:t>
      </w:r>
      <w:r>
        <w:rPr>
          <w:rFonts w:hint="eastAsia" w:ascii="仿宋_GB2312" w:hAnsi="仿宋_GB2312" w:eastAsia="仿宋_GB2312" w:cs="仿宋_GB2312"/>
          <w:b w:val="0"/>
          <w:bCs w:val="0"/>
          <w:kern w:val="0"/>
          <w:sz w:val="32"/>
          <w:szCs w:val="32"/>
          <w:lang w:val="en-US" w:eastAsia="zh-CN"/>
        </w:rPr>
        <w:t>专项资金专户管理不完善。2025年11月11日市科技局首次拨付5000万元市级股权投资资金，财通集团2025年12月5日完成托管专户开立，未在专户设立后及时全额划转至指定托管账户，而是在对外投资出资时再划入专户对外拨付相应款项。</w:t>
      </w:r>
      <w:r>
        <w:rPr>
          <w:rFonts w:hint="eastAsia" w:ascii="仿宋_GB2312" w:hAnsi="仿宋_GB2312" w:eastAsia="仿宋_GB2312" w:cs="仿宋_GB2312"/>
          <w:b/>
          <w:bCs/>
          <w:kern w:val="0"/>
          <w:sz w:val="32"/>
          <w:szCs w:val="32"/>
          <w:lang w:val="en-US" w:eastAsia="zh-CN"/>
        </w:rPr>
        <w:t>二是</w:t>
      </w:r>
      <w:r>
        <w:rPr>
          <w:rFonts w:hint="eastAsia" w:ascii="仿宋_GB2312" w:hAnsi="仿宋_GB2312" w:eastAsia="仿宋_GB2312" w:cs="仿宋_GB2312"/>
          <w:b w:val="0"/>
          <w:bCs w:val="0"/>
          <w:kern w:val="0"/>
          <w:sz w:val="32"/>
          <w:szCs w:val="32"/>
          <w:lang w:val="en-US" w:eastAsia="zh-CN"/>
        </w:rPr>
        <w:t>财通集团未在2026年4月30日前完成年度财务报告、业务报告报送工作。</w:t>
      </w:r>
      <w:r>
        <w:rPr>
          <w:rFonts w:hint="eastAsia" w:ascii="仿宋_GB2312" w:hAnsi="仿宋_GB2312" w:eastAsia="仿宋_GB2312" w:cs="仿宋_GB2312"/>
          <w:b/>
          <w:bCs/>
          <w:kern w:val="0"/>
          <w:sz w:val="32"/>
          <w:szCs w:val="32"/>
          <w:lang w:val="en-US" w:eastAsia="zh-CN"/>
        </w:rPr>
        <w:t>三是</w:t>
      </w:r>
      <w:r>
        <w:rPr>
          <w:rFonts w:hint="eastAsia" w:ascii="仿宋_GB2312" w:hAnsi="仿宋_GB2312" w:eastAsia="仿宋_GB2312" w:cs="仿宋_GB2312"/>
          <w:b w:val="0"/>
          <w:bCs w:val="0"/>
          <w:kern w:val="0"/>
          <w:sz w:val="32"/>
          <w:szCs w:val="32"/>
          <w:lang w:val="en-US" w:eastAsia="zh-CN"/>
        </w:rPr>
        <w:t>资金拨付主体为入库项目母公司。市科技局推送入库企业为青岛合碳创物科技有限公司，财通集团基于商业谈判与该企业母公司杭州合碳创物科技有限公司签订股权投资协议，并约定投资资金全部用于青岛合碳，投资后杭州合碳于2026年4月24日将资金全额汇至青岛合碳用于其业务开展。</w:t>
      </w:r>
      <w:r>
        <w:rPr>
          <w:rFonts w:hint="eastAsia" w:ascii="仿宋_GB2312" w:hAnsi="仿宋_GB2312" w:eastAsia="仿宋_GB2312" w:cs="仿宋_GB2312"/>
          <w:b/>
          <w:bCs/>
          <w:kern w:val="0"/>
          <w:sz w:val="32"/>
          <w:szCs w:val="32"/>
          <w:lang w:val="en-US" w:eastAsia="zh-CN"/>
        </w:rPr>
        <w:t>四是</w:t>
      </w:r>
      <w:r>
        <w:rPr>
          <w:rFonts w:hint="eastAsia" w:ascii="仿宋_GB2312" w:hAnsi="仿宋_GB2312" w:eastAsia="仿宋_GB2312" w:cs="仿宋_GB2312"/>
          <w:kern w:val="0"/>
          <w:sz w:val="32"/>
          <w:szCs w:val="32"/>
          <w:lang w:val="en-US" w:eastAsia="zh-CN"/>
        </w:rPr>
        <w:t>科技股权投资协议部分内容约定不够明晰。部分协议对投资项目建设、验收方案、管理及技术团队建设等关键内容约定较为笼统，导致不同项目股权投资协议相关条款表述口径不够明晰。</w:t>
      </w:r>
    </w:p>
    <w:p w14:paraId="7D097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3.政策效果</w:t>
      </w:r>
    </w:p>
    <w:p w14:paraId="7D6020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政策效果</w:t>
      </w:r>
      <w:r>
        <w:rPr>
          <w:rFonts w:hint="eastAsia" w:ascii="仿宋_GB2312" w:hAnsi="仿宋_GB2312" w:eastAsia="仿宋_GB2312" w:cs="仿宋_GB2312"/>
          <w:b w:val="0"/>
          <w:bCs w:val="0"/>
          <w:kern w:val="0"/>
          <w:sz w:val="32"/>
          <w:szCs w:val="32"/>
          <w:highlight w:val="none"/>
          <w:lang w:val="en-US" w:eastAsia="zh-CN"/>
        </w:rPr>
        <w:t>指标满分60分，得分50.5分，得分率为84.17</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w:t>
      </w:r>
      <w:r>
        <w:rPr>
          <w:rFonts w:hint="eastAsia" w:ascii="仿宋_GB2312" w:hAnsi="仿宋_GB2312" w:eastAsia="仿宋_GB2312" w:cs="仿宋_GB2312"/>
          <w:b w:val="0"/>
          <w:bCs w:val="0"/>
          <w:kern w:val="0"/>
          <w:sz w:val="32"/>
          <w:szCs w:val="32"/>
          <w:highlight w:val="none"/>
          <w:lang w:val="en-US" w:eastAsia="zh-CN"/>
        </w:rPr>
        <w:t>2025年度计划完成市级股权投资项目10个，截至2026年5月31日，财通集团完成4个项目出资。从资金量来看，2025年累计拨付至财通集团资金11656.7万元，</w:t>
      </w:r>
      <w:r>
        <w:rPr>
          <w:rFonts w:hint="eastAsia" w:ascii="仿宋_GB2312" w:hAnsi="仿宋_GB2312" w:eastAsia="仿宋_GB2312" w:cs="仿宋_GB2312"/>
          <w:color w:val="auto"/>
          <w:sz w:val="32"/>
          <w:szCs w:val="40"/>
          <w:lang w:val="en-US" w:eastAsia="zh-CN"/>
        </w:rPr>
        <w:t>截至2026年5月31日，财通集团实际出资7000万元，整体资金完成率60.05%</w:t>
      </w:r>
      <w:r>
        <w:rPr>
          <w:rFonts w:hint="eastAsia" w:ascii="仿宋_GB2312" w:hAnsi="仿宋_GB2312" w:eastAsia="仿宋_GB2312" w:cs="仿宋_GB2312"/>
          <w:b w:val="0"/>
          <w:bCs w:val="0"/>
          <w:kern w:val="0"/>
          <w:sz w:val="32"/>
          <w:szCs w:val="32"/>
          <w:highlight w:val="none"/>
          <w:lang w:val="en-US" w:eastAsia="zh-CN"/>
        </w:rPr>
        <w:t>。</w:t>
      </w:r>
      <w:r>
        <w:rPr>
          <w:rFonts w:hint="eastAsia" w:ascii="仿宋_GB2312" w:hAnsi="仿宋_GB2312" w:eastAsia="仿宋_GB2312" w:cs="仿宋_GB2312"/>
          <w:kern w:val="0"/>
          <w:sz w:val="32"/>
          <w:szCs w:val="32"/>
          <w:lang w:val="en-US" w:eastAsia="zh-CN"/>
        </w:rPr>
        <w:t>但存在以下问题：</w:t>
      </w:r>
      <w:r>
        <w:rPr>
          <w:rFonts w:hint="eastAsia" w:ascii="仿宋_GB2312" w:hAnsi="仿宋_GB2312" w:eastAsia="仿宋_GB2312" w:cs="仿宋_GB2312"/>
          <w:b/>
          <w:bCs/>
          <w:sz w:val="32"/>
          <w:szCs w:val="40"/>
          <w:lang w:val="en-US" w:eastAsia="zh-CN"/>
        </w:rPr>
        <w:t>一是</w:t>
      </w:r>
      <w:r>
        <w:rPr>
          <w:rFonts w:hint="eastAsia" w:ascii="仿宋_GB2312" w:hAnsi="仿宋_GB2312" w:eastAsia="仿宋_GB2312" w:cs="仿宋_GB2312"/>
          <w:sz w:val="32"/>
          <w:szCs w:val="40"/>
          <w:lang w:val="en-US" w:eastAsia="zh-CN"/>
        </w:rPr>
        <w:t>截至2026年5月31日，1家企业未及时完成工商变更、章程修改工作；</w:t>
      </w:r>
      <w:r>
        <w:rPr>
          <w:rFonts w:hint="eastAsia" w:ascii="仿宋_GB2312" w:hAnsi="仿宋_GB2312" w:eastAsia="仿宋_GB2312" w:cs="仿宋_GB2312"/>
          <w:b/>
          <w:bCs/>
          <w:sz w:val="32"/>
          <w:szCs w:val="40"/>
          <w:lang w:val="en-US" w:eastAsia="zh-CN"/>
        </w:rPr>
        <w:t>二是</w:t>
      </w:r>
      <w:r>
        <w:rPr>
          <w:rFonts w:hint="eastAsia" w:ascii="仿宋_GB2312" w:hAnsi="仿宋_GB2312" w:eastAsia="仿宋_GB2312" w:cs="仿宋_GB2312"/>
          <w:sz w:val="32"/>
          <w:szCs w:val="40"/>
          <w:lang w:val="en-US" w:eastAsia="zh-CN"/>
        </w:rPr>
        <w:t>未按要求建立容错容损管理制度。</w:t>
      </w:r>
    </w:p>
    <w:p w14:paraId="12B8182B">
      <w:pPr>
        <w:pStyle w:val="2"/>
        <w:spacing w:before="0" w:after="0" w:line="660" w:lineRule="exact"/>
        <w:ind w:firstLine="640" w:firstLineChars="200"/>
        <w:jc w:val="both"/>
        <w:rPr>
          <w:rFonts w:ascii="Calibri" w:hAnsi="Calibri" w:cs="Times New Roman"/>
          <w:sz w:val="32"/>
          <w:szCs w:val="32"/>
        </w:rPr>
      </w:pPr>
      <w:bookmarkStart w:id="33" w:name="_Toc259975236"/>
      <w:bookmarkStart w:id="34" w:name="_Toc1799085949"/>
      <w:r>
        <w:rPr>
          <w:rFonts w:hint="eastAsia" w:ascii="Calibri" w:hAnsi="Calibri" w:cs="Times New Roman"/>
          <w:sz w:val="32"/>
          <w:szCs w:val="32"/>
        </w:rPr>
        <w:t>四、政策实施成效</w:t>
      </w:r>
      <w:bookmarkEnd w:id="33"/>
      <w:bookmarkEnd w:id="34"/>
    </w:p>
    <w:p w14:paraId="03F05916">
      <w:pPr>
        <w:pStyle w:val="3"/>
        <w:ind w:firstLine="640"/>
        <w:rPr>
          <w:rFonts w:hint="eastAsia"/>
          <w:lang w:val="en-US" w:eastAsia="zh-CN"/>
        </w:rPr>
      </w:pPr>
      <w:bookmarkStart w:id="35" w:name="_Toc1422053454"/>
      <w:r>
        <w:rPr>
          <w:rFonts w:hint="eastAsia"/>
          <w:lang w:val="en-US" w:eastAsia="zh-CN"/>
        </w:rPr>
        <w:t>（一）发挥股权投资带动效应，赋能科创企业技术攻坚</w:t>
      </w:r>
      <w:bookmarkEnd w:id="35"/>
    </w:p>
    <w:p w14:paraId="2058F95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2025年度市级科技股权投资设立运营以来，先后完成青岛无疆技术有限公司、青岛未来移动医疗科技有限公司</w:t>
      </w:r>
      <w:r>
        <w:rPr>
          <w:rFonts w:hint="eastAsia" w:ascii="仿宋_GB2312" w:hAnsi="仿宋_GB2312" w:eastAsia="仿宋_GB2312" w:cs="仿宋_GB2312"/>
          <w:kern w:val="0"/>
          <w:sz w:val="32"/>
          <w:szCs w:val="32"/>
          <w:lang w:val="en-US" w:eastAsia="zh-CN"/>
        </w:rPr>
        <w:t>等</w:t>
      </w:r>
      <w:r>
        <w:rPr>
          <w:rFonts w:hint="eastAsia" w:ascii="仿宋_GB2312" w:hAnsi="仿宋_GB2312" w:eastAsia="仿宋_GB2312" w:cs="仿宋_GB2312"/>
          <w:kern w:val="0"/>
          <w:sz w:val="32"/>
          <w:szCs w:val="32"/>
        </w:rPr>
        <w:t>科创企业股权投资布局。充分发挥财政资金杠杆撬动作用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集聚中芯国际、上汽集团、国泰海通、中信金石等头部产业龙头、国有资本平台及市场化专业投资机构协同赋能，支撑被投企业深耕细分赛道、推进</w:t>
      </w:r>
      <w:r>
        <w:rPr>
          <w:rFonts w:hint="eastAsia" w:ascii="仿宋_GB2312" w:hAnsi="仿宋_GB2312" w:eastAsia="仿宋_GB2312" w:cs="仿宋_GB2312"/>
          <w:kern w:val="0"/>
          <w:sz w:val="32"/>
          <w:szCs w:val="32"/>
          <w:lang w:eastAsia="zh-CN"/>
        </w:rPr>
        <w:t>关键核心技术</w:t>
      </w:r>
      <w:r>
        <w:rPr>
          <w:rFonts w:hint="eastAsia" w:ascii="仿宋_GB2312" w:hAnsi="仿宋_GB2312" w:eastAsia="仿宋_GB2312" w:cs="仿宋_GB2312"/>
          <w:kern w:val="0"/>
          <w:sz w:val="32"/>
          <w:szCs w:val="32"/>
        </w:rPr>
        <w:t>研发攻关，加速产业技术创新迭代。</w:t>
      </w:r>
    </w:p>
    <w:p w14:paraId="61AE6206">
      <w:pPr>
        <w:pStyle w:val="3"/>
        <w:ind w:firstLine="640"/>
        <w:rPr>
          <w:rFonts w:hint="eastAsia" w:ascii="Times New Roman" w:hAnsi="Times New Roman" w:eastAsia="楷体_GB2312" w:cstheme="minorBidi"/>
          <w:bCs/>
          <w:color w:val="000000"/>
          <w:kern w:val="0"/>
          <w:sz w:val="32"/>
          <w:szCs w:val="26"/>
          <w:lang w:val="en-US" w:eastAsia="zh-CN" w:bidi="ar-SA"/>
        </w:rPr>
      </w:pPr>
      <w:bookmarkStart w:id="36" w:name="_Toc1106893915"/>
      <w:r>
        <w:rPr>
          <w:rFonts w:hint="eastAsia"/>
          <w:lang w:val="en-US" w:eastAsia="zh-CN"/>
        </w:rPr>
        <w:t>（二）创新财政投研赋能路径，拓宽科创企业融资渠道</w:t>
      </w:r>
      <w:bookmarkEnd w:id="36"/>
    </w:p>
    <w:p w14:paraId="558E727D">
      <w:pPr>
        <w:spacing w:line="56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持续探索财政科技资金服务企业科技创新多元化新模式，依托市级科技股权投资工具丰富企业多层次融资供给，有效拓宽科技型中小企业融资路径；精准聚焦重点产业领域关键核心技术攻关、前沿科技成果落地转化、优质科创企业梯度培育壮大，以市场化股权投资赋能产业创新发展，加速创新资源与实体经济深度融合，助力科技企业提质增效、做大做强。</w:t>
      </w:r>
    </w:p>
    <w:p w14:paraId="038638CC">
      <w:pPr>
        <w:pStyle w:val="3"/>
        <w:rPr>
          <w:rFonts w:hint="eastAsia" w:ascii="Times New Roman" w:hAnsi="Times New Roman" w:eastAsia="楷体_GB2312" w:cstheme="minorBidi"/>
          <w:kern w:val="0"/>
          <w:sz w:val="32"/>
          <w:szCs w:val="26"/>
        </w:rPr>
      </w:pPr>
      <w:r>
        <w:rPr>
          <w:rFonts w:hint="eastAsia" w:ascii="Times New Roman" w:hAnsi="Times New Roman" w:eastAsia="楷体_GB2312" w:cstheme="minorBidi"/>
          <w:kern w:val="0"/>
          <w:sz w:val="32"/>
          <w:szCs w:val="26"/>
        </w:rPr>
        <w:t>（三）聚焦城市重点产业，支持科创成果落地转化</w:t>
      </w:r>
    </w:p>
    <w:p w14:paraId="083E0F66">
      <w:pPr>
        <w:spacing w:line="56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市级科技股权投资紧扣青</w:t>
      </w:r>
      <w:r>
        <w:rPr>
          <w:rFonts w:hint="eastAsia" w:ascii="仿宋_GB2312" w:hAnsi="仿宋_GB2312" w:eastAsia="仿宋_GB2312" w:cs="仿宋_GB2312"/>
          <w:kern w:val="0"/>
          <w:sz w:val="32"/>
          <w:szCs w:val="32"/>
        </w:rPr>
        <w:t>岛市“10+1”创新型产</w:t>
      </w:r>
      <w:r>
        <w:rPr>
          <w:rFonts w:hint="eastAsia" w:ascii="Times New Roman" w:hAnsi="Times New Roman" w:eastAsia="仿宋_GB2312" w:cs="Times New Roman"/>
          <w:kern w:val="0"/>
          <w:sz w:val="32"/>
          <w:szCs w:val="32"/>
        </w:rPr>
        <w:t>业体系及现代海洋产业建设，围绕先进封装、新一代信息技术、生命健康等重点赛道精准发力，先后投向山东大学落地青岛国家重点实验室科研成果转化企业合碳创物，以及物元半导体企业，同时布局无疆技术等海洋监测设备、无人船艇海洋科技主体，以及高端雾化给药设备企业未来医疗。通过资本赋能推动高校实验室成果产业化，补强半导体产业链关键环节，壮大海洋特色产业创新主体，助力青岛市产业提质升级，推动创新资源向城市重点战略产业集聚。</w:t>
      </w:r>
    </w:p>
    <w:p w14:paraId="05D52244">
      <w:pPr>
        <w:pStyle w:val="2"/>
        <w:spacing w:before="0" w:after="0" w:line="660" w:lineRule="exact"/>
        <w:ind w:firstLine="640" w:firstLineChars="200"/>
        <w:jc w:val="both"/>
        <w:rPr>
          <w:rFonts w:hint="eastAsia" w:ascii="仿宋_GB2312" w:hAnsi="仿宋_GB2312" w:eastAsia="仿宋_GB2312" w:cs="仿宋_GB2312"/>
          <w:sz w:val="32"/>
          <w:szCs w:val="40"/>
          <w:lang w:val="en-US" w:eastAsia="zh-CN"/>
        </w:rPr>
      </w:pPr>
      <w:bookmarkStart w:id="37" w:name="_Toc2062679091"/>
      <w:bookmarkStart w:id="38" w:name="_Toc667795083"/>
      <w:r>
        <w:rPr>
          <w:rFonts w:hint="eastAsia" w:ascii="Calibri" w:hAnsi="Calibri" w:cs="Times New Roman"/>
          <w:sz w:val="32"/>
          <w:szCs w:val="32"/>
        </w:rPr>
        <w:t>五、发现的问题及原因分析</w:t>
      </w:r>
      <w:bookmarkEnd w:id="37"/>
      <w:bookmarkEnd w:id="38"/>
      <w:bookmarkStart w:id="39" w:name="_Toc882420759"/>
    </w:p>
    <w:bookmarkEnd w:id="39"/>
    <w:p w14:paraId="3C68DD8C">
      <w:pPr>
        <w:pStyle w:val="3"/>
        <w:ind w:firstLine="640"/>
        <w:rPr>
          <w:rFonts w:hint="default"/>
          <w:lang w:val="en-US" w:eastAsia="zh-CN"/>
        </w:rPr>
      </w:pPr>
      <w:bookmarkStart w:id="40" w:name="_Toc618968916"/>
      <w:bookmarkStart w:id="41" w:name="_Toc1752666034"/>
      <w:bookmarkStart w:id="42" w:name="_Toc1132454563"/>
      <w:bookmarkStart w:id="43" w:name="_Toc1882699335"/>
      <w:bookmarkStart w:id="44" w:name="_Toc974399729"/>
      <w:r>
        <w:rPr>
          <w:rFonts w:hint="eastAsia"/>
          <w:lang w:val="en-US" w:eastAsia="zh-CN"/>
        </w:rPr>
        <w:t>（一）政策尚处于实施初期，投资项目落地数量偏少</w:t>
      </w:r>
      <w:bookmarkEnd w:id="40"/>
      <w:bookmarkEnd w:id="41"/>
    </w:p>
    <w:p w14:paraId="6A792DCC">
      <w:pPr>
        <w:spacing w:line="560" w:lineRule="exact"/>
        <w:ind w:firstLine="640" w:firstLineChars="200"/>
        <w:jc w:val="both"/>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sz w:val="32"/>
          <w:szCs w:val="40"/>
          <w:lang w:val="en-US" w:eastAsia="zh-CN"/>
        </w:rPr>
        <w:t>《青岛市市级财政科技股权投资专项管理办法（试行）》（青科字〔2024〕15号）自2024年9月27日起实施，有效期至2028年12月31日，</w:t>
      </w:r>
      <w:r>
        <w:rPr>
          <w:rFonts w:hint="eastAsia" w:ascii="仿宋_GB2312" w:hAnsi="仿宋_GB2312" w:eastAsia="仿宋_GB2312" w:cs="仿宋_GB2312"/>
          <w:color w:val="auto"/>
          <w:sz w:val="32"/>
          <w:szCs w:val="40"/>
          <w:lang w:val="en-US" w:eastAsia="zh-CN"/>
        </w:rPr>
        <w:t>项目评价期间为投资初期。</w:t>
      </w:r>
      <w:r>
        <w:rPr>
          <w:rFonts w:hint="eastAsia" w:ascii="仿宋_GB2312" w:hAnsi="仿宋_GB2312" w:eastAsia="仿宋_GB2312" w:cs="仿宋_GB2312"/>
          <w:color w:val="auto"/>
          <w:sz w:val="32"/>
          <w:szCs w:val="40"/>
        </w:rPr>
        <w:t>2025年市科技局分两批累计向财通集团推送48个科技股权投资初选项目，年度计划完成市级股权投资项目10个，因核心投资环节具有刚性周期等原因，截至2026年5月31日，财通集团完成</w:t>
      </w:r>
      <w:r>
        <w:rPr>
          <w:rFonts w:hint="eastAsia" w:ascii="仿宋_GB2312" w:hAnsi="仿宋_GB2312" w:eastAsia="仿宋_GB2312" w:cs="仿宋_GB2312"/>
          <w:color w:val="auto"/>
          <w:sz w:val="32"/>
          <w:szCs w:val="40"/>
          <w:lang w:val="en-US" w:eastAsia="zh-CN"/>
        </w:rPr>
        <w:t>4个</w:t>
      </w:r>
      <w:r>
        <w:rPr>
          <w:rFonts w:hint="eastAsia" w:ascii="仿宋_GB2312" w:hAnsi="仿宋_GB2312" w:eastAsia="仿宋_GB2312" w:cs="仿宋_GB2312"/>
          <w:color w:val="auto"/>
          <w:sz w:val="32"/>
          <w:szCs w:val="40"/>
        </w:rPr>
        <w:t>项</w:t>
      </w:r>
      <w:r>
        <w:rPr>
          <w:rFonts w:hint="eastAsia" w:ascii="仿宋_GB2312" w:hAnsi="仿宋_GB2312" w:eastAsia="仿宋_GB2312" w:cs="仿宋_GB2312"/>
          <w:color w:val="auto"/>
          <w:sz w:val="32"/>
          <w:szCs w:val="40"/>
          <w:lang w:val="en-US" w:eastAsia="zh-CN"/>
        </w:rPr>
        <w:t>目出资</w:t>
      </w:r>
      <w:r>
        <w:rPr>
          <w:rFonts w:hint="eastAsia" w:ascii="仿宋_GB2312" w:hAnsi="仿宋_GB2312" w:eastAsia="仿宋_GB2312" w:cs="仿宋_GB2312"/>
          <w:color w:val="auto"/>
          <w:sz w:val="32"/>
          <w:szCs w:val="40"/>
        </w:rPr>
        <w:t>，仅占初选项目总量的</w:t>
      </w:r>
      <w:r>
        <w:rPr>
          <w:rFonts w:hint="eastAsia" w:ascii="仿宋_GB2312" w:hAnsi="仿宋_GB2312" w:eastAsia="仿宋_GB2312" w:cs="仿宋_GB2312"/>
          <w:color w:val="auto"/>
          <w:sz w:val="32"/>
          <w:szCs w:val="40"/>
          <w:lang w:val="en-US" w:eastAsia="zh-CN"/>
        </w:rPr>
        <w:t>8.33</w:t>
      </w:r>
      <w:r>
        <w:rPr>
          <w:rFonts w:hint="eastAsia" w:ascii="仿宋_GB2312" w:hAnsi="仿宋_GB2312" w:eastAsia="仿宋_GB2312" w:cs="仿宋_GB2312"/>
          <w:color w:val="auto"/>
          <w:sz w:val="32"/>
          <w:szCs w:val="40"/>
        </w:rPr>
        <w:t>%。从资金量来看，2025年初预算6000万元，另从科技专项资金调剂5656.7万元，市科技局在2025年11月11日、11月21日、12月23日累计拨付至财通集团资金11656.7万元，其中市级股权投资项目资金8656.7万元，省市联动项目资金3000万元，截至2026年5月31日，财通集团实际</w:t>
      </w:r>
      <w:r>
        <w:rPr>
          <w:rFonts w:hint="eastAsia" w:ascii="仿宋_GB2312" w:hAnsi="仿宋_GB2312" w:eastAsia="仿宋_GB2312" w:cs="仿宋_GB2312"/>
          <w:color w:val="auto"/>
          <w:sz w:val="32"/>
          <w:szCs w:val="40"/>
          <w:lang w:val="en-US" w:eastAsia="zh-CN"/>
        </w:rPr>
        <w:t>出资7</w:t>
      </w:r>
      <w:r>
        <w:rPr>
          <w:rFonts w:hint="eastAsia" w:ascii="仿宋_GB2312" w:hAnsi="仿宋_GB2312" w:eastAsia="仿宋_GB2312" w:cs="仿宋_GB2312"/>
          <w:color w:val="auto"/>
          <w:sz w:val="32"/>
          <w:szCs w:val="40"/>
        </w:rPr>
        <w:t>000万元，整体</w:t>
      </w:r>
      <w:r>
        <w:rPr>
          <w:rFonts w:hint="eastAsia" w:ascii="仿宋_GB2312" w:hAnsi="仿宋_GB2312" w:eastAsia="仿宋_GB2312" w:cs="仿宋_GB2312"/>
          <w:color w:val="auto"/>
          <w:sz w:val="32"/>
          <w:szCs w:val="40"/>
          <w:lang w:val="en-US" w:eastAsia="zh-CN"/>
        </w:rPr>
        <w:t>资金</w:t>
      </w:r>
      <w:r>
        <w:rPr>
          <w:rFonts w:hint="eastAsia" w:ascii="仿宋_GB2312" w:hAnsi="仿宋_GB2312" w:eastAsia="仿宋_GB2312" w:cs="仿宋_GB2312"/>
          <w:color w:val="auto"/>
          <w:sz w:val="32"/>
          <w:szCs w:val="40"/>
        </w:rPr>
        <w:t>完成率</w:t>
      </w:r>
      <w:r>
        <w:rPr>
          <w:rFonts w:hint="eastAsia" w:ascii="仿宋_GB2312" w:hAnsi="仿宋_GB2312" w:eastAsia="仿宋_GB2312" w:cs="仿宋_GB2312"/>
          <w:color w:val="auto"/>
          <w:sz w:val="32"/>
          <w:szCs w:val="40"/>
          <w:lang w:val="en-US" w:eastAsia="zh-CN"/>
        </w:rPr>
        <w:t>60.05</w:t>
      </w:r>
      <w:r>
        <w:rPr>
          <w:rFonts w:hint="eastAsia" w:ascii="仿宋_GB2312" w:hAnsi="仿宋_GB2312" w:eastAsia="仿宋_GB2312" w:cs="仿宋_GB2312"/>
          <w:color w:val="auto"/>
          <w:sz w:val="32"/>
          <w:szCs w:val="40"/>
        </w:rPr>
        <w:t>%。其中，省市联动项目</w:t>
      </w:r>
      <w:r>
        <w:rPr>
          <w:rFonts w:hint="eastAsia" w:ascii="仿宋_GB2312" w:hAnsi="仿宋_GB2312" w:eastAsia="仿宋_GB2312" w:cs="仿宋_GB2312"/>
          <w:color w:val="auto"/>
          <w:sz w:val="32"/>
          <w:szCs w:val="40"/>
          <w:lang w:val="en-US" w:eastAsia="zh-CN"/>
        </w:rPr>
        <w:t>出资</w:t>
      </w:r>
      <w:r>
        <w:rPr>
          <w:rFonts w:hint="eastAsia" w:ascii="仿宋_GB2312" w:hAnsi="仿宋_GB2312" w:eastAsia="仿宋_GB2312" w:cs="仿宋_GB2312"/>
          <w:color w:val="auto"/>
          <w:sz w:val="32"/>
          <w:szCs w:val="40"/>
        </w:rPr>
        <w:t>已完成，市级股权投资</w:t>
      </w:r>
      <w:r>
        <w:rPr>
          <w:rFonts w:hint="eastAsia" w:ascii="仿宋_GB2312" w:hAnsi="仿宋_GB2312" w:eastAsia="仿宋_GB2312" w:cs="仿宋_GB2312"/>
          <w:color w:val="auto"/>
          <w:sz w:val="32"/>
          <w:szCs w:val="40"/>
          <w:lang w:val="en-US" w:eastAsia="zh-CN"/>
        </w:rPr>
        <w:t>项目</w:t>
      </w:r>
      <w:r>
        <w:rPr>
          <w:rFonts w:hint="eastAsia" w:ascii="仿宋_GB2312" w:hAnsi="仿宋_GB2312" w:eastAsia="仿宋_GB2312" w:cs="仿宋_GB2312"/>
          <w:color w:val="auto"/>
          <w:sz w:val="32"/>
          <w:szCs w:val="40"/>
        </w:rPr>
        <w:t>完成</w:t>
      </w:r>
      <w:r>
        <w:rPr>
          <w:rFonts w:hint="eastAsia" w:ascii="仿宋_GB2312" w:hAnsi="仿宋_GB2312" w:eastAsia="仿宋_GB2312" w:cs="仿宋_GB2312"/>
          <w:color w:val="auto"/>
          <w:sz w:val="32"/>
          <w:szCs w:val="40"/>
          <w:lang w:val="en-US" w:eastAsia="zh-CN"/>
        </w:rPr>
        <w:t>46.2</w:t>
      </w:r>
      <w:r>
        <w:rPr>
          <w:rFonts w:hint="eastAsia" w:ascii="仿宋_GB2312" w:hAnsi="仿宋_GB2312" w:eastAsia="仿宋_GB2312" w:cs="仿宋_GB2312"/>
          <w:color w:val="auto"/>
          <w:sz w:val="32"/>
          <w:szCs w:val="40"/>
        </w:rPr>
        <w:t>%。另外1个项目因投资方较多、分批次交割尚未完成工商变更</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lang w:val="en-US" w:eastAsia="zh-CN"/>
        </w:rPr>
        <w:t>章程登记工作</w:t>
      </w:r>
      <w:r>
        <w:rPr>
          <w:rFonts w:hint="eastAsia" w:ascii="仿宋_GB2312" w:hAnsi="仿宋_GB2312" w:eastAsia="仿宋_GB2312" w:cs="仿宋_GB2312"/>
          <w:color w:val="auto"/>
          <w:sz w:val="32"/>
          <w:szCs w:val="40"/>
        </w:rPr>
        <w:t>。</w:t>
      </w:r>
    </w:p>
    <w:p w14:paraId="2210BAEF">
      <w:pPr>
        <w:pStyle w:val="3"/>
        <w:ind w:firstLine="640"/>
        <w:rPr>
          <w:rFonts w:hint="default"/>
          <w:lang w:val="en-US" w:eastAsia="zh-CN"/>
        </w:rPr>
      </w:pPr>
      <w:bookmarkStart w:id="45" w:name="_Toc599785144"/>
      <w:bookmarkStart w:id="46" w:name="_Toc24847539"/>
      <w:r>
        <w:rPr>
          <w:rFonts w:hint="eastAsia"/>
          <w:lang w:val="en-US" w:eastAsia="zh-CN"/>
        </w:rPr>
        <w:t>（二）</w:t>
      </w:r>
      <w:bookmarkEnd w:id="45"/>
      <w:r>
        <w:rPr>
          <w:rFonts w:hint="eastAsia"/>
          <w:lang w:val="en-US" w:eastAsia="zh-CN"/>
        </w:rPr>
        <w:t>项目实施规范性有待提升</w:t>
      </w:r>
    </w:p>
    <w:p w14:paraId="5C82DBD7">
      <w:pPr>
        <w:spacing w:line="560" w:lineRule="exact"/>
        <w:ind w:firstLine="640" w:firstLineChars="200"/>
        <w:jc w:val="both"/>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sz w:val="32"/>
          <w:szCs w:val="40"/>
        </w:rPr>
        <w:t>一是专项资金专户管理不完善</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b w:val="0"/>
          <w:bCs w:val="0"/>
          <w:sz w:val="32"/>
          <w:szCs w:val="40"/>
          <w:lang w:val="en-US" w:eastAsia="zh-CN"/>
        </w:rPr>
        <w:t>根据</w:t>
      </w:r>
      <w:r>
        <w:rPr>
          <w:rFonts w:hint="eastAsia" w:ascii="仿宋_GB2312" w:hAnsi="仿宋_GB2312" w:eastAsia="仿宋_GB2312" w:cs="仿宋_GB2312"/>
          <w:sz w:val="32"/>
          <w:szCs w:val="40"/>
          <w:lang w:val="en-US" w:eastAsia="zh-CN"/>
        </w:rPr>
        <w:t>《科技股权投资资金委托管理协议》，“第十三条 甲方向丙方拨付托管资金后，丙方（财通集团）将资金拨付至在托管银行开立的监管账户，由托管银行按照银行托管协议履行相应监管权力及义务”。2025年11月11日市科技局首次拨付5000万元</w:t>
      </w:r>
      <w:r>
        <w:rPr>
          <w:rFonts w:hint="eastAsia" w:ascii="仿宋_GB2312" w:hAnsi="仿宋_GB2312" w:eastAsia="仿宋_GB2312" w:cs="仿宋_GB2312"/>
          <w:b w:val="0"/>
          <w:bCs w:val="0"/>
          <w:sz w:val="32"/>
          <w:szCs w:val="40"/>
          <w:lang w:val="en-US" w:eastAsia="zh-CN"/>
        </w:rPr>
        <w:t>市级</w:t>
      </w:r>
      <w:r>
        <w:rPr>
          <w:rFonts w:hint="eastAsia" w:ascii="仿宋_GB2312" w:hAnsi="仿宋_GB2312" w:eastAsia="仿宋_GB2312" w:cs="仿宋_GB2312"/>
          <w:sz w:val="32"/>
          <w:szCs w:val="40"/>
          <w:lang w:val="en-US" w:eastAsia="zh-CN"/>
        </w:rPr>
        <w:t>股权投资资金，财通集团2025年12月5日完成托管专户开立，未在专户设立后及时全额划转至指定托管账户，而是在对外投资出资时再划入专户对外拨付相应款项。</w:t>
      </w:r>
    </w:p>
    <w:p w14:paraId="5C9324CB">
      <w:pPr>
        <w:spacing w:line="560" w:lineRule="exact"/>
        <w:ind w:firstLine="640" w:firstLineChars="200"/>
        <w:jc w:val="both"/>
        <w:rPr>
          <w:rFonts w:hint="eastAsia" w:ascii="仿宋_GB2312" w:hAnsi="仿宋_GB2312" w:eastAsia="仿宋_GB2312" w:cs="仿宋_GB2312"/>
          <w:b w:val="0"/>
          <w:bCs w:val="0"/>
          <w:i w:val="0"/>
          <w:iCs w:val="0"/>
          <w:sz w:val="32"/>
          <w:szCs w:val="40"/>
          <w:lang w:val="en-US" w:eastAsia="zh-CN"/>
        </w:rPr>
      </w:pPr>
      <w:r>
        <w:rPr>
          <w:rFonts w:hint="eastAsia" w:ascii="仿宋_GB2312" w:hAnsi="仿宋_GB2312" w:eastAsia="仿宋_GB2312" w:cs="仿宋_GB2312"/>
          <w:b w:val="0"/>
          <w:bCs w:val="0"/>
          <w:i w:val="0"/>
          <w:iCs w:val="0"/>
          <w:sz w:val="32"/>
          <w:szCs w:val="40"/>
          <w:lang w:val="en-US" w:eastAsia="zh-CN"/>
        </w:rPr>
        <w:t>二是年度财务报告、业务报告未报送</w:t>
      </w:r>
      <w:r>
        <w:rPr>
          <w:rFonts w:hint="eastAsia" w:ascii="仿宋_GB2312" w:eastAsia="仿宋_GB2312"/>
          <w:b w:val="0"/>
          <w:bCs w:val="0"/>
          <w:sz w:val="32"/>
          <w:szCs w:val="32"/>
          <w:lang w:val="en-US" w:eastAsia="zh-CN"/>
        </w:rPr>
        <w:t>。</w:t>
      </w:r>
      <w:r>
        <w:rPr>
          <w:rFonts w:hint="eastAsia" w:ascii="仿宋_GB2312" w:hAnsi="仿宋_GB2312" w:eastAsia="仿宋_GB2312" w:cs="仿宋_GB2312"/>
          <w:b w:val="0"/>
          <w:bCs w:val="0"/>
          <w:i w:val="0"/>
          <w:iCs w:val="0"/>
          <w:sz w:val="32"/>
          <w:szCs w:val="40"/>
          <w:lang w:val="en-US" w:eastAsia="zh-CN"/>
        </w:rPr>
        <w:t>青科字〔2024〕15号文件要求，“财通集团</w:t>
      </w:r>
      <w:r>
        <w:rPr>
          <w:rFonts w:hint="eastAsia" w:ascii="仿宋_GB2312" w:eastAsia="仿宋_GB2312"/>
          <w:sz w:val="32"/>
          <w:szCs w:val="32"/>
        </w:rPr>
        <w:t>每半年须向市科技局、市财政局报告股权投资清单及整体运作情况，并在每年4月30日前提交受托管理的财政资金年度财务报告和年度业务报告</w:t>
      </w:r>
      <w:r>
        <w:rPr>
          <w:rFonts w:hint="eastAsia" w:ascii="仿宋_GB2312" w:hAnsi="仿宋_GB2312" w:eastAsia="仿宋_GB2312" w:cs="仿宋_GB2312"/>
          <w:b w:val="0"/>
          <w:bCs w:val="0"/>
          <w:i w:val="0"/>
          <w:iCs w:val="0"/>
          <w:sz w:val="32"/>
          <w:szCs w:val="40"/>
          <w:lang w:val="en-US" w:eastAsia="zh-CN"/>
        </w:rPr>
        <w:t>”。财通集团未在</w:t>
      </w:r>
      <w:r>
        <w:rPr>
          <w:rFonts w:hint="eastAsia" w:ascii="仿宋_GB2312" w:hAnsi="仿宋_GB2312" w:eastAsia="仿宋_GB2312" w:cs="仿宋_GB2312"/>
          <w:sz w:val="32"/>
          <w:szCs w:val="40"/>
        </w:rPr>
        <w:t>2</w:t>
      </w:r>
      <w:r>
        <w:rPr>
          <w:rFonts w:ascii="仿宋_GB2312" w:hAnsi="仿宋_GB2312" w:eastAsia="仿宋_GB2312" w:cs="仿宋_GB2312"/>
          <w:sz w:val="32"/>
          <w:szCs w:val="40"/>
        </w:rPr>
        <w:t>026</w:t>
      </w:r>
      <w:r>
        <w:rPr>
          <w:rFonts w:hint="eastAsia" w:ascii="仿宋_GB2312" w:hAnsi="仿宋_GB2312" w:eastAsia="仿宋_GB2312" w:cs="仿宋_GB2312"/>
          <w:sz w:val="32"/>
          <w:szCs w:val="40"/>
        </w:rPr>
        <w:t>年</w:t>
      </w:r>
      <w:r>
        <w:rPr>
          <w:rFonts w:ascii="仿宋_GB2312" w:hAnsi="仿宋_GB2312" w:eastAsia="仿宋_GB2312" w:cs="仿宋_GB2312"/>
          <w:sz w:val="32"/>
          <w:szCs w:val="40"/>
        </w:rPr>
        <w:t>4</w:t>
      </w:r>
      <w:r>
        <w:rPr>
          <w:rFonts w:hint="eastAsia" w:ascii="仿宋_GB2312" w:hAnsi="仿宋_GB2312" w:eastAsia="仿宋_GB2312" w:cs="仿宋_GB2312"/>
          <w:sz w:val="32"/>
          <w:szCs w:val="40"/>
        </w:rPr>
        <w:t>月3</w:t>
      </w:r>
      <w:r>
        <w:rPr>
          <w:rFonts w:ascii="仿宋_GB2312" w:hAnsi="仿宋_GB2312" w:eastAsia="仿宋_GB2312" w:cs="仿宋_GB2312"/>
          <w:sz w:val="32"/>
          <w:szCs w:val="40"/>
        </w:rPr>
        <w:t>0</w:t>
      </w:r>
      <w:r>
        <w:rPr>
          <w:rFonts w:hint="eastAsia" w:ascii="仿宋_GB2312" w:hAnsi="仿宋_GB2312" w:eastAsia="仿宋_GB2312" w:cs="仿宋_GB2312"/>
          <w:sz w:val="32"/>
          <w:szCs w:val="40"/>
        </w:rPr>
        <w:t>日前</w:t>
      </w:r>
      <w:r>
        <w:rPr>
          <w:rFonts w:hint="eastAsia" w:ascii="仿宋_GB2312" w:hAnsi="仿宋_GB2312" w:eastAsia="仿宋_GB2312" w:cs="仿宋_GB2312"/>
          <w:b w:val="0"/>
          <w:bCs w:val="0"/>
          <w:i w:val="0"/>
          <w:iCs w:val="0"/>
          <w:sz w:val="32"/>
          <w:szCs w:val="40"/>
          <w:lang w:val="en-US" w:eastAsia="zh-CN"/>
        </w:rPr>
        <w:t>完成财务、业务报告报送工作。</w:t>
      </w:r>
    </w:p>
    <w:p w14:paraId="62D77169">
      <w:pPr>
        <w:spacing w:line="560" w:lineRule="exact"/>
        <w:ind w:firstLine="640" w:firstLineChars="200"/>
        <w:jc w:val="both"/>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三是一家企业未及时完成工</w:t>
      </w:r>
      <w:r>
        <w:rPr>
          <w:rFonts w:hint="eastAsia" w:ascii="仿宋_GB2312" w:hAnsi="仿宋_GB2312" w:eastAsia="仿宋_GB2312" w:cs="仿宋_GB2312"/>
          <w:sz w:val="32"/>
          <w:szCs w:val="40"/>
          <w:lang w:val="en-US" w:eastAsia="zh-CN"/>
        </w:rPr>
        <w:t>商变更登记、章程修改工作</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i w:val="0"/>
          <w:iCs w:val="0"/>
          <w:sz w:val="32"/>
          <w:szCs w:val="40"/>
          <w:lang w:val="en-US" w:eastAsia="zh-CN"/>
        </w:rPr>
        <w:t>青科字〔2024〕15号文件规定，“受托管理机构督促被投资企业原则上须在投资完成之日起30日内完成章程修改、企业登记变更等工作”以及根据青岛合碳创物科技有限公司投资协议约定，截至2026年5月31日，青岛合碳创物科技有限公司尚未完成</w:t>
      </w:r>
      <w:r>
        <w:rPr>
          <w:rFonts w:hint="eastAsia" w:ascii="仿宋_GB2312" w:hAnsi="仿宋_GB2312" w:eastAsia="仿宋_GB2312" w:cs="仿宋_GB2312"/>
          <w:b w:val="0"/>
          <w:bCs w:val="0"/>
          <w:sz w:val="32"/>
          <w:szCs w:val="32"/>
          <w:lang w:val="en-US" w:eastAsia="zh-CN"/>
        </w:rPr>
        <w:t>工</w:t>
      </w:r>
      <w:r>
        <w:rPr>
          <w:rFonts w:hint="eastAsia" w:ascii="仿宋_GB2312" w:hAnsi="仿宋_GB2312" w:eastAsia="仿宋_GB2312" w:cs="仿宋_GB2312"/>
          <w:sz w:val="32"/>
          <w:szCs w:val="40"/>
          <w:lang w:val="en-US" w:eastAsia="zh-CN"/>
        </w:rPr>
        <w:t>商变更登记、章程修改工作</w:t>
      </w:r>
      <w:r>
        <w:rPr>
          <w:rFonts w:hint="eastAsia" w:ascii="仿宋_GB2312" w:hAnsi="仿宋_GB2312" w:eastAsia="仿宋_GB2312" w:cs="仿宋_GB2312"/>
          <w:b w:val="0"/>
          <w:bCs w:val="0"/>
          <w:sz w:val="32"/>
          <w:szCs w:val="32"/>
          <w:lang w:val="en-US" w:eastAsia="zh-CN"/>
        </w:rPr>
        <w:t>。</w:t>
      </w:r>
    </w:p>
    <w:p w14:paraId="26F6287F">
      <w:pPr>
        <w:spacing w:line="560" w:lineRule="exact"/>
        <w:ind w:firstLine="640" w:firstLineChars="200"/>
        <w:jc w:val="both"/>
        <w:rPr>
          <w:rFonts w:hint="default" w:ascii="仿宋_GB2312" w:hAnsi="仿宋_GB2312" w:eastAsia="仿宋_GB2312" w:cs="仿宋_GB2312"/>
          <w:b w:val="0"/>
          <w:bCs w:val="0"/>
          <w:i w:val="0"/>
          <w:iCs w:val="0"/>
          <w:sz w:val="32"/>
          <w:szCs w:val="40"/>
          <w:lang w:val="en-US" w:eastAsia="zh-CN"/>
        </w:rPr>
      </w:pPr>
      <w:r>
        <w:rPr>
          <w:rFonts w:hint="eastAsia" w:ascii="仿宋_GB2312" w:hAnsi="仿宋_GB2312" w:eastAsia="仿宋_GB2312" w:cs="仿宋_GB2312"/>
          <w:b w:val="0"/>
          <w:bCs w:val="0"/>
          <w:sz w:val="32"/>
          <w:szCs w:val="32"/>
          <w:lang w:val="en-US" w:eastAsia="zh-CN"/>
        </w:rPr>
        <w:t>四是资金拨付主体为入库项目母公司。</w:t>
      </w:r>
      <w:r>
        <w:rPr>
          <w:rFonts w:hint="eastAsia" w:ascii="仿宋_GB2312" w:hAnsi="仿宋_GB2312" w:eastAsia="仿宋_GB2312" w:cs="仿宋_GB2312"/>
          <w:b w:val="0"/>
          <w:bCs w:val="0"/>
          <w:sz w:val="32"/>
          <w:szCs w:val="32"/>
          <w:highlight w:val="none"/>
          <w:lang w:val="en-US" w:eastAsia="zh-CN"/>
        </w:rPr>
        <w:t>青科字〔2024〕15号文件规定，</w:t>
      </w:r>
      <w:r>
        <w:rPr>
          <w:rFonts w:hint="eastAsia" w:ascii="仿宋_GB2312" w:hAnsi="仿宋_GB2312" w:eastAsia="仿宋_GB2312" w:cs="仿宋_GB2312"/>
          <w:b w:val="0"/>
          <w:bCs w:val="0"/>
          <w:i w:val="0"/>
          <w:iCs w:val="0"/>
          <w:sz w:val="32"/>
          <w:szCs w:val="40"/>
          <w:highlight w:val="none"/>
          <w:lang w:val="en-US" w:eastAsia="zh-CN"/>
        </w:rPr>
        <w:t>“</w:t>
      </w:r>
      <w:r>
        <w:rPr>
          <w:rFonts w:hint="eastAsia" w:ascii="仿宋_GB2312" w:eastAsia="仿宋_GB2312"/>
          <w:sz w:val="32"/>
          <w:szCs w:val="32"/>
          <w:highlight w:val="none"/>
        </w:rPr>
        <w:t>受托管理机构按照投资决策与被投资企业签订股权投资协议</w:t>
      </w:r>
      <w:r>
        <w:rPr>
          <w:rFonts w:hint="eastAsia" w:ascii="仿宋_GB2312" w:hAnsi="仿宋_GB2312" w:eastAsia="仿宋_GB2312" w:cs="仿宋_GB2312"/>
          <w:b w:val="0"/>
          <w:bCs w:val="0"/>
          <w:i w:val="0"/>
          <w:iCs w:val="0"/>
          <w:sz w:val="32"/>
          <w:szCs w:val="40"/>
          <w:highlight w:val="none"/>
          <w:lang w:val="en-US" w:eastAsia="zh-CN"/>
        </w:rPr>
        <w:t>”，“</w:t>
      </w:r>
      <w:r>
        <w:rPr>
          <w:rFonts w:hint="eastAsia" w:ascii="仿宋_GB2312" w:eastAsia="仿宋_GB2312"/>
          <w:sz w:val="32"/>
          <w:szCs w:val="32"/>
          <w:highlight w:val="none"/>
        </w:rPr>
        <w:t>受托管理机构按照股权投资协议，将股权投资资金划入被投资企业银行账户。</w:t>
      </w:r>
      <w:r>
        <w:rPr>
          <w:rFonts w:hint="eastAsia" w:ascii="仿宋_GB2312" w:hAnsi="仿宋_GB2312" w:eastAsia="仿宋_GB2312" w:cs="仿宋_GB2312"/>
          <w:b w:val="0"/>
          <w:bCs w:val="0"/>
          <w:i w:val="0"/>
          <w:iCs w:val="0"/>
          <w:sz w:val="32"/>
          <w:szCs w:val="40"/>
          <w:highlight w:val="none"/>
          <w:lang w:val="en-US" w:eastAsia="zh-CN"/>
        </w:rPr>
        <w:t>”</w:t>
      </w:r>
      <w:r>
        <w:rPr>
          <w:rFonts w:hint="eastAsia" w:ascii="仿宋_GB2312" w:hAnsi="仿宋_GB2312" w:eastAsia="仿宋_GB2312" w:cs="仿宋_GB2312"/>
          <w:sz w:val="32"/>
          <w:szCs w:val="40"/>
          <w:lang w:val="en-US" w:eastAsia="zh-CN"/>
        </w:rPr>
        <w:t>市科技局推送入库企业为青岛合碳创物科技有限公司，财通集团基于商业谈判与该企业母公司杭州合碳创物科技有限公司签订股权投资协议，并约定投资资金全部用于青岛合碳，投资后杭州合碳于2026年4月24日将资金全额汇至青岛合碳用于其业务开展。</w:t>
      </w:r>
    </w:p>
    <w:p w14:paraId="533DAB11">
      <w:pPr>
        <w:pStyle w:val="3"/>
        <w:ind w:firstLine="640"/>
        <w:rPr>
          <w:rFonts w:hint="default"/>
          <w:highlight w:val="none"/>
          <w:lang w:val="en-US" w:eastAsia="zh-CN"/>
        </w:rPr>
      </w:pPr>
      <w:bookmarkStart w:id="47" w:name="_Toc300676190"/>
      <w:r>
        <w:rPr>
          <w:rFonts w:hint="eastAsia"/>
          <w:highlight w:val="none"/>
          <w:lang w:val="en-US" w:eastAsia="zh-CN"/>
        </w:rPr>
        <w:t>（三）</w:t>
      </w:r>
      <w:bookmarkEnd w:id="46"/>
      <w:r>
        <w:rPr>
          <w:rFonts w:hint="eastAsia"/>
          <w:highlight w:val="none"/>
          <w:lang w:val="en-US" w:eastAsia="zh-CN"/>
        </w:rPr>
        <w:t>容错容损制度建设有待加强</w:t>
      </w:r>
      <w:bookmarkEnd w:id="47"/>
      <w:r>
        <w:rPr>
          <w:rFonts w:hint="eastAsia"/>
          <w:highlight w:val="none"/>
          <w:lang w:val="en-US" w:eastAsia="zh-CN"/>
        </w:rPr>
        <w:t>，科技股权协议部分内容不够明晰</w:t>
      </w:r>
    </w:p>
    <w:p w14:paraId="0B1C688E">
      <w:pPr>
        <w:spacing w:line="560" w:lineRule="exact"/>
        <w:ind w:firstLine="640" w:firstLineChars="200"/>
        <w:jc w:val="both"/>
        <w:rPr>
          <w:rFonts w:hint="eastAsia" w:ascii="仿宋_GB2312" w:hAnsi="仿宋_GB2312" w:eastAsia="仿宋_GB2312" w:cs="仿宋_GB2312"/>
          <w:b w:val="0"/>
          <w:bCs w:val="0"/>
          <w:i w:val="0"/>
          <w:iCs w:val="0"/>
          <w:sz w:val="32"/>
          <w:szCs w:val="40"/>
          <w:lang w:val="en-US" w:eastAsia="zh-CN"/>
        </w:rPr>
      </w:pPr>
      <w:r>
        <w:rPr>
          <w:rFonts w:hint="eastAsia" w:ascii="仿宋_GB2312" w:hAnsi="仿宋_GB2312" w:eastAsia="仿宋_GB2312" w:cs="仿宋_GB2312"/>
          <w:b w:val="0"/>
          <w:bCs w:val="0"/>
          <w:sz w:val="32"/>
          <w:szCs w:val="40"/>
          <w:lang w:val="en-US" w:eastAsia="zh-CN"/>
        </w:rPr>
        <w:t>一是未制定容错容损工作制度。</w:t>
      </w:r>
      <w:r>
        <w:rPr>
          <w:rFonts w:hint="eastAsia" w:ascii="仿宋_GB2312" w:hAnsi="仿宋_GB2312" w:eastAsia="仿宋_GB2312" w:cs="仿宋_GB2312"/>
          <w:b w:val="0"/>
          <w:bCs w:val="0"/>
          <w:i w:val="0"/>
          <w:iCs w:val="0"/>
          <w:sz w:val="32"/>
          <w:szCs w:val="40"/>
          <w:lang w:val="en-US" w:eastAsia="zh-CN"/>
        </w:rPr>
        <w:t>青科字〔2024〕15号文件规定，“</w:t>
      </w:r>
      <w:r>
        <w:rPr>
          <w:rFonts w:hint="eastAsia" w:ascii="仿宋_GB2312" w:hAnsi="仿宋_GB2312" w:eastAsia="仿宋_GB2312" w:cs="仿宋_GB2312"/>
          <w:bCs/>
          <w:sz w:val="32"/>
          <w:szCs w:val="32"/>
        </w:rPr>
        <w:t>受托管理机构应制定</w:t>
      </w:r>
      <w:r>
        <w:rPr>
          <w:rFonts w:ascii="仿宋_GB2312" w:hAnsi="仿宋_GB2312" w:eastAsia="仿宋_GB2312" w:cs="仿宋_GB2312"/>
          <w:bCs/>
          <w:sz w:val="32"/>
          <w:szCs w:val="32"/>
        </w:rPr>
        <w:t>容错容损办法，明确尽职免责范围、情形及程序，</w:t>
      </w:r>
      <w:r>
        <w:rPr>
          <w:rFonts w:hint="eastAsia" w:ascii="仿宋_GB2312" w:hAnsi="仿宋_GB2312" w:eastAsia="仿宋_GB2312" w:cs="仿宋_GB2312"/>
          <w:bCs/>
          <w:sz w:val="32"/>
          <w:szCs w:val="32"/>
        </w:rPr>
        <w:t>对因不可预测</w:t>
      </w:r>
      <w:r>
        <w:rPr>
          <w:rFonts w:ascii="仿宋_GB2312" w:hAnsi="仿宋_GB2312" w:eastAsia="仿宋_GB2312" w:cs="仿宋_GB2312"/>
          <w:bCs/>
          <w:sz w:val="32"/>
          <w:szCs w:val="32"/>
        </w:rPr>
        <w:t>市场波动等客观因素导致的</w:t>
      </w:r>
      <w:r>
        <w:rPr>
          <w:rFonts w:hint="eastAsia" w:ascii="仿宋_GB2312" w:hAnsi="仿宋_GB2312" w:eastAsia="仿宋_GB2312" w:cs="仿宋_GB2312"/>
          <w:bCs/>
          <w:sz w:val="32"/>
          <w:szCs w:val="32"/>
        </w:rPr>
        <w:t>投资损失，免予追责。</w:t>
      </w:r>
      <w:r>
        <w:rPr>
          <w:rFonts w:hint="eastAsia" w:ascii="仿宋_GB2312" w:hAnsi="仿宋_GB2312" w:eastAsia="仿宋_GB2312" w:cs="仿宋_GB2312"/>
          <w:b w:val="0"/>
          <w:bCs w:val="0"/>
          <w:i w:val="0"/>
          <w:iCs w:val="0"/>
          <w:sz w:val="32"/>
          <w:szCs w:val="40"/>
          <w:lang w:val="en-US" w:eastAsia="zh-CN"/>
        </w:rPr>
        <w:t>”财通集团尚未按规定制定配套容错容损相关制度。</w:t>
      </w:r>
    </w:p>
    <w:p w14:paraId="0144ED21">
      <w:pPr>
        <w:spacing w:line="560" w:lineRule="exact"/>
        <w:ind w:firstLine="640" w:firstLineChars="200"/>
        <w:jc w:val="both"/>
        <w:rPr>
          <w:rFonts w:hint="default" w:ascii="仿宋_GB2312" w:hAnsi="仿宋_GB2312" w:eastAsia="仿宋_GB2312" w:cs="仿宋_GB2312"/>
          <w:b w:val="0"/>
          <w:bCs w:val="0"/>
          <w:i w:val="0"/>
          <w:iCs w:val="0"/>
          <w:sz w:val="32"/>
          <w:szCs w:val="40"/>
          <w:lang w:val="en-US" w:eastAsia="zh-CN"/>
        </w:rPr>
      </w:pPr>
      <w:r>
        <w:rPr>
          <w:rFonts w:hint="eastAsia" w:ascii="仿宋_GB2312" w:hAnsi="仿宋_GB2312" w:eastAsia="仿宋_GB2312" w:cs="仿宋_GB2312"/>
          <w:b w:val="0"/>
          <w:bCs w:val="0"/>
          <w:sz w:val="32"/>
          <w:szCs w:val="32"/>
          <w:lang w:val="en-US" w:eastAsia="zh-CN"/>
        </w:rPr>
        <w:t>二是科技股权投资协议部分内容约定不够明晰。在实际执行中，部分协议对投资项目建设、验收方案、管理及技术团队建设等关键内容约定较为笼统，导致不同项目股权投资协议相关条款表述口径不够明晰。</w:t>
      </w:r>
    </w:p>
    <w:p w14:paraId="314C4953">
      <w:pPr>
        <w:pStyle w:val="2"/>
        <w:spacing w:before="0" w:after="0" w:line="660" w:lineRule="exact"/>
        <w:ind w:firstLine="640" w:firstLineChars="200"/>
        <w:jc w:val="both"/>
        <w:rPr>
          <w:rFonts w:ascii="Calibri" w:hAnsi="Calibri" w:cs="Times New Roman"/>
          <w:sz w:val="32"/>
          <w:szCs w:val="32"/>
        </w:rPr>
      </w:pPr>
      <w:bookmarkStart w:id="48" w:name="_Toc435703939"/>
      <w:r>
        <w:rPr>
          <w:rFonts w:hint="eastAsia" w:ascii="Calibri" w:hAnsi="Calibri" w:cs="Times New Roman"/>
          <w:sz w:val="32"/>
          <w:szCs w:val="32"/>
        </w:rPr>
        <w:t>六、相关建议</w:t>
      </w:r>
      <w:bookmarkEnd w:id="42"/>
      <w:bookmarkEnd w:id="48"/>
    </w:p>
    <w:p w14:paraId="1DA3E23E">
      <w:pPr>
        <w:pStyle w:val="3"/>
        <w:ind w:firstLine="640"/>
        <w:rPr>
          <w:rFonts w:hint="eastAsia" w:ascii="Times New Roman Regular" w:hAnsi="Times New Roman Regular" w:eastAsia="仿宋_GB2312" w:cs="Times New Roman Regular"/>
          <w:b w:val="0"/>
          <w:bCs w:val="0"/>
          <w:sz w:val="32"/>
          <w:szCs w:val="40"/>
          <w:lang w:val="en-US" w:eastAsia="zh-CN"/>
        </w:rPr>
      </w:pPr>
      <w:bookmarkStart w:id="49" w:name="_Toc2104350150"/>
      <w:r>
        <w:rPr>
          <w:rFonts w:hint="eastAsia"/>
          <w:lang w:val="en-US" w:eastAsia="zh-CN"/>
        </w:rPr>
        <w:t>（一）</w:t>
      </w:r>
      <w:bookmarkEnd w:id="49"/>
      <w:r>
        <w:rPr>
          <w:rFonts w:hint="eastAsia"/>
          <w:lang w:val="en-US" w:eastAsia="zh-CN"/>
        </w:rPr>
        <w:t>加快储备项目落地转化，切实提高财政资金使用效益</w:t>
      </w:r>
    </w:p>
    <w:p w14:paraId="29EF3C90">
      <w:pPr>
        <w:spacing w:line="560" w:lineRule="exact"/>
        <w:ind w:firstLine="640" w:firstLineChars="200"/>
        <w:rPr>
          <w:rFonts w:hint="default" w:ascii="Times New Roman Regular" w:hAnsi="Times New Roman Regular" w:eastAsia="仿宋_GB2312" w:cs="Times New Roman Regular"/>
          <w:b w:val="0"/>
          <w:bCs w:val="0"/>
          <w:sz w:val="32"/>
          <w:szCs w:val="40"/>
          <w:lang w:val="en-US" w:eastAsia="zh-CN"/>
        </w:rPr>
      </w:pPr>
      <w:r>
        <w:rPr>
          <w:rFonts w:hint="eastAsia" w:ascii="Times New Roman Regular" w:hAnsi="Times New Roman Regular" w:eastAsia="仿宋_GB2312" w:cs="Times New Roman Regular"/>
          <w:b w:val="0"/>
          <w:bCs w:val="0"/>
          <w:sz w:val="32"/>
          <w:szCs w:val="40"/>
          <w:lang w:val="en-US" w:eastAsia="zh-CN"/>
        </w:rPr>
        <w:t>一是规范项目实施管理。进一步完善例外事项事前沟通汇报机制。建议财通集团建立项目推进调度台账，在严守投资风控底线的基础上最大限度压缩项目落地周期，加快资金投放进度，提升资金使用效率。</w:t>
      </w:r>
      <w:r>
        <w:rPr>
          <w:rFonts w:hint="eastAsia" w:ascii="Times New Roman Regular" w:hAnsi="Times New Roman Regular" w:eastAsia="仿宋_GB2312" w:cs="Times New Roman Regular"/>
          <w:sz w:val="32"/>
          <w:szCs w:val="40"/>
        </w:rPr>
        <w:t>二是拓宽优质项目储备来源。加强各区市科技主管部门、产业园区联动，对具备融资需求、符合股权投资准入标准的优质科技企业，持续充实项目储备。同时</w:t>
      </w:r>
      <w:r>
        <w:rPr>
          <w:rFonts w:hint="eastAsia" w:ascii="Times New Roman Regular" w:hAnsi="Times New Roman Regular" w:eastAsia="仿宋_GB2312" w:cs="Times New Roman Regular"/>
          <w:sz w:val="32"/>
          <w:szCs w:val="40"/>
          <w:lang w:val="en-US" w:eastAsia="zh-CN"/>
        </w:rPr>
        <w:t>加强与</w:t>
      </w:r>
      <w:r>
        <w:rPr>
          <w:rFonts w:hint="eastAsia" w:ascii="Times New Roman Regular" w:hAnsi="Times New Roman Regular" w:eastAsia="仿宋_GB2312" w:cs="Times New Roman Regular"/>
          <w:sz w:val="32"/>
          <w:szCs w:val="40"/>
        </w:rPr>
        <w:t>有发展潜力的科技企业对接融资需求，增加可落地投资项目供给。</w:t>
      </w:r>
    </w:p>
    <w:p w14:paraId="71B8281A">
      <w:pPr>
        <w:pStyle w:val="3"/>
        <w:ind w:firstLine="640"/>
        <w:rPr>
          <w:rFonts w:hint="default"/>
          <w:highlight w:val="none"/>
          <w:lang w:val="en-US" w:eastAsia="zh-CN"/>
        </w:rPr>
      </w:pPr>
      <w:bookmarkStart w:id="50" w:name="_Toc904788607"/>
      <w:r>
        <w:rPr>
          <w:rFonts w:hint="eastAsia"/>
          <w:lang w:val="en-US" w:eastAsia="zh-CN"/>
        </w:rPr>
        <w:t>（二）落实政策制度规定</w:t>
      </w:r>
      <w:r>
        <w:rPr>
          <w:rFonts w:hint="eastAsia"/>
          <w:highlight w:val="none"/>
          <w:lang w:val="en-US" w:eastAsia="zh-CN"/>
        </w:rPr>
        <w:t>，</w:t>
      </w:r>
      <w:bookmarkEnd w:id="50"/>
      <w:r>
        <w:rPr>
          <w:rFonts w:hint="eastAsia"/>
          <w:highlight w:val="none"/>
          <w:lang w:val="en-US" w:eastAsia="zh-CN"/>
        </w:rPr>
        <w:t>进一步提升业务操作水平</w:t>
      </w:r>
    </w:p>
    <w:p w14:paraId="7A04EA24">
      <w:pPr>
        <w:spacing w:line="560" w:lineRule="exact"/>
        <w:ind w:firstLine="640" w:firstLineChars="200"/>
        <w:rPr>
          <w:rFonts w:hint="default" w:ascii="Times New Roman Regular" w:hAnsi="Times New Roman Regular" w:eastAsia="仿宋_GB2312" w:cs="Times New Roman Regular"/>
          <w:sz w:val="32"/>
          <w:szCs w:val="40"/>
          <w:lang w:val="en-US" w:eastAsia="zh-CN"/>
        </w:rPr>
      </w:pPr>
      <w:r>
        <w:rPr>
          <w:rFonts w:hint="eastAsia" w:ascii="仿宋_GB2312" w:hAnsi="仿宋_GB2312" w:eastAsia="仿宋_GB2312" w:cs="仿宋_GB2312"/>
          <w:sz w:val="32"/>
          <w:szCs w:val="40"/>
          <w:lang w:val="en-US" w:eastAsia="zh-CN"/>
        </w:rPr>
        <w:t>一是</w:t>
      </w:r>
      <w:r>
        <w:rPr>
          <w:rFonts w:hint="eastAsia" w:ascii="仿宋_GB2312" w:hAnsi="仿宋_GB2312" w:eastAsia="仿宋_GB2312" w:cs="仿宋_GB2312"/>
          <w:sz w:val="32"/>
          <w:szCs w:val="40"/>
        </w:rPr>
        <w:t>落实资金专户托管要求</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厘清专户管理工作思路，对专户管理方式进行明确。按照《科技股权投资资金委托管理协议》条款，应收到拨付资金后及时全额划转至指定托管账户，所有股权投资支出统一通过指定托管账户办理。二是</w:t>
      </w:r>
      <w:r>
        <w:rPr>
          <w:rFonts w:hint="eastAsia" w:ascii="仿宋_GB2312" w:hAnsi="仿宋_GB2312" w:eastAsia="仿宋_GB2312" w:cs="仿宋_GB2312"/>
          <w:sz w:val="32"/>
          <w:szCs w:val="40"/>
          <w:lang w:val="en-US" w:eastAsia="zh-CN"/>
        </w:rPr>
        <w:t>落实</w:t>
      </w:r>
      <w:r>
        <w:rPr>
          <w:rFonts w:hint="eastAsia" w:ascii="仿宋_GB2312" w:hAnsi="仿宋_GB2312" w:eastAsia="仿宋_GB2312" w:cs="仿宋_GB2312"/>
          <w:sz w:val="32"/>
          <w:szCs w:val="40"/>
        </w:rPr>
        <w:t>青科字〔2024〕15号</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文件</w:t>
      </w:r>
      <w:r>
        <w:rPr>
          <w:rFonts w:hint="eastAsia" w:ascii="仿宋_GB2312" w:hAnsi="仿宋_GB2312" w:eastAsia="仿宋_GB2312" w:cs="仿宋_GB2312"/>
          <w:sz w:val="32"/>
          <w:szCs w:val="40"/>
          <w:lang w:val="en-US" w:eastAsia="zh-CN"/>
        </w:rPr>
        <w:t>相关</w:t>
      </w:r>
      <w:r>
        <w:rPr>
          <w:rFonts w:hint="eastAsia" w:ascii="仿宋_GB2312" w:hAnsi="仿宋_GB2312" w:eastAsia="仿宋_GB2312" w:cs="仿宋_GB2312"/>
          <w:sz w:val="32"/>
          <w:szCs w:val="40"/>
        </w:rPr>
        <w:t>要求</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财通集团应按时报送</w:t>
      </w:r>
      <w:r>
        <w:rPr>
          <w:rFonts w:hint="eastAsia" w:ascii="仿宋_GB2312" w:hAnsi="仿宋_GB2312" w:eastAsia="仿宋_GB2312" w:cs="仿宋_GB2312"/>
          <w:sz w:val="32"/>
          <w:szCs w:val="40"/>
        </w:rPr>
        <w:t>财务</w:t>
      </w:r>
      <w:r>
        <w:rPr>
          <w:rFonts w:hint="eastAsia" w:ascii="仿宋_GB2312" w:hAnsi="仿宋_GB2312" w:eastAsia="仿宋_GB2312" w:cs="仿宋_GB2312"/>
          <w:sz w:val="32"/>
          <w:szCs w:val="40"/>
          <w:lang w:val="en-US" w:eastAsia="zh-CN"/>
        </w:rPr>
        <w:t>报告</w:t>
      </w:r>
      <w:r>
        <w:rPr>
          <w:rFonts w:hint="eastAsia" w:ascii="仿宋_GB2312" w:hAnsi="仿宋_GB2312" w:eastAsia="仿宋_GB2312" w:cs="仿宋_GB2312"/>
          <w:sz w:val="32"/>
          <w:szCs w:val="40"/>
        </w:rPr>
        <w:t>、业务报告</w:t>
      </w:r>
      <w:r>
        <w:rPr>
          <w:rFonts w:hint="eastAsia" w:ascii="仿宋_GB2312" w:hAnsi="仿宋_GB2312" w:eastAsia="仿宋_GB2312" w:cs="仿宋_GB2312"/>
          <w:sz w:val="32"/>
          <w:szCs w:val="40"/>
          <w:lang w:val="en-US" w:eastAsia="zh-CN"/>
        </w:rPr>
        <w:t>等相关工作，进一步提升业务操作水平。</w:t>
      </w:r>
    </w:p>
    <w:p w14:paraId="6B7168EE">
      <w:pPr>
        <w:pStyle w:val="3"/>
        <w:ind w:firstLine="640"/>
        <w:rPr>
          <w:rFonts w:hint="default"/>
          <w:lang w:val="en-US" w:eastAsia="zh-CN"/>
        </w:rPr>
      </w:pPr>
      <w:bookmarkStart w:id="51" w:name="_Toc450413442"/>
      <w:r>
        <w:rPr>
          <w:rFonts w:hint="eastAsia"/>
          <w:highlight w:val="none"/>
          <w:lang w:val="en-US" w:eastAsia="zh-CN"/>
        </w:rPr>
        <w:t>（三）</w:t>
      </w:r>
      <w:bookmarkEnd w:id="51"/>
      <w:r>
        <w:rPr>
          <w:rFonts w:hint="eastAsia"/>
          <w:highlight w:val="none"/>
          <w:lang w:val="en-US" w:eastAsia="zh-CN"/>
        </w:rPr>
        <w:t>加强激励容</w:t>
      </w:r>
      <w:r>
        <w:rPr>
          <w:rFonts w:hint="eastAsia"/>
          <w:lang w:val="en-US" w:eastAsia="zh-CN"/>
        </w:rPr>
        <w:t>错机制建设，优化股权投资协议条款管理</w:t>
      </w:r>
    </w:p>
    <w:p w14:paraId="502A2448">
      <w:pPr>
        <w:spacing w:line="560" w:lineRule="exact"/>
        <w:ind w:firstLine="640" w:firstLineChars="200"/>
        <w:rPr>
          <w:rFonts w:hint="eastAsia" w:ascii="Times New Roman Regular" w:hAnsi="Times New Roman Regular" w:eastAsia="仿宋_GB2312" w:cs="Times New Roman Regular"/>
          <w:sz w:val="32"/>
          <w:szCs w:val="40"/>
          <w:lang w:eastAsia="zh-CN"/>
        </w:rPr>
      </w:pPr>
      <w:r>
        <w:rPr>
          <w:rFonts w:hint="eastAsia" w:ascii="Times New Roman Regular" w:hAnsi="Times New Roman Regular" w:eastAsia="仿宋_GB2312" w:cs="Times New Roman Regular"/>
          <w:sz w:val="32"/>
          <w:szCs w:val="40"/>
        </w:rPr>
        <w:t>一是完善配套管理制度体系</w:t>
      </w:r>
      <w:r>
        <w:rPr>
          <w:rFonts w:hint="eastAsia" w:ascii="Times New Roman Regular" w:hAnsi="Times New Roman Regular" w:eastAsia="仿宋_GB2312" w:cs="Times New Roman Regular"/>
          <w:sz w:val="32"/>
          <w:szCs w:val="40"/>
          <w:lang w:eastAsia="zh-CN"/>
        </w:rPr>
        <w:t>。</w:t>
      </w:r>
      <w:r>
        <w:rPr>
          <w:rFonts w:hint="eastAsia" w:ascii="Times New Roman Regular" w:hAnsi="Times New Roman Regular" w:eastAsia="仿宋_GB2312" w:cs="Times New Roman Regular"/>
          <w:sz w:val="32"/>
          <w:szCs w:val="40"/>
          <w:lang w:val="en-US" w:eastAsia="zh-CN"/>
        </w:rPr>
        <w:t>落实</w:t>
      </w:r>
      <w:r>
        <w:rPr>
          <w:rFonts w:hint="eastAsia" w:ascii="仿宋_GB2312" w:hAnsi="仿宋_GB2312" w:eastAsia="仿宋_GB2312" w:cs="仿宋_GB2312"/>
          <w:sz w:val="32"/>
          <w:szCs w:val="40"/>
        </w:rPr>
        <w:t>青科字〔2024〕15号相关</w:t>
      </w:r>
      <w:r>
        <w:rPr>
          <w:rFonts w:hint="eastAsia" w:ascii="仿宋_GB2312" w:hAnsi="仿宋_GB2312" w:eastAsia="仿宋_GB2312" w:cs="仿宋_GB2312"/>
          <w:sz w:val="32"/>
          <w:szCs w:val="40"/>
          <w:lang w:val="en-US" w:eastAsia="zh-CN"/>
        </w:rPr>
        <w:t>要求</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制定</w:t>
      </w:r>
      <w:r>
        <w:rPr>
          <w:rFonts w:hint="eastAsia" w:ascii="仿宋_GB2312" w:hAnsi="仿宋_GB2312" w:eastAsia="仿宋_GB2312" w:cs="仿宋_GB2312"/>
          <w:sz w:val="32"/>
          <w:szCs w:val="40"/>
        </w:rPr>
        <w:t>容错容损管理</w:t>
      </w:r>
      <w:r>
        <w:rPr>
          <w:rFonts w:hint="eastAsia" w:ascii="仿宋_GB2312" w:hAnsi="仿宋_GB2312" w:eastAsia="仿宋_GB2312" w:cs="仿宋_GB2312"/>
          <w:sz w:val="32"/>
          <w:szCs w:val="40"/>
          <w:lang w:val="en-US" w:eastAsia="zh-CN"/>
        </w:rPr>
        <w:t>相关制度</w:t>
      </w:r>
      <w:r>
        <w:rPr>
          <w:rFonts w:hint="eastAsia" w:ascii="仿宋_GB2312" w:hAnsi="仿宋_GB2312" w:eastAsia="仿宋_GB2312" w:cs="仿宋_GB2312"/>
          <w:sz w:val="32"/>
          <w:szCs w:val="40"/>
        </w:rPr>
        <w:t>，清晰界定尽职免责适用情形、认定标准与办理流程，厘清投资履职边界</w:t>
      </w:r>
      <w:r>
        <w:rPr>
          <w:rFonts w:hint="eastAsia" w:ascii="仿宋_GB2312" w:hAnsi="仿宋_GB2312" w:eastAsia="仿宋_GB2312" w:cs="仿宋_GB2312"/>
          <w:sz w:val="32"/>
          <w:szCs w:val="40"/>
          <w:lang w:eastAsia="zh-CN"/>
        </w:rPr>
        <w:t>。</w:t>
      </w:r>
      <w:bookmarkEnd w:id="43"/>
      <w:bookmarkEnd w:id="44"/>
      <w:r>
        <w:rPr>
          <w:rFonts w:hint="eastAsia" w:ascii="Times New Roman Regular" w:hAnsi="Times New Roman Regular" w:eastAsia="仿宋_GB2312" w:cs="Times New Roman Regular"/>
          <w:sz w:val="32"/>
          <w:szCs w:val="40"/>
        </w:rPr>
        <w:t>二是优化股权投资协议条款管理。建议财通集团对外投资时，应进一步明晰协议关键信息，减少不同项目间协议表述差异。</w:t>
      </w:r>
    </w:p>
    <w:p w14:paraId="3549CD36">
      <w:pPr>
        <w:spacing w:line="560" w:lineRule="exact"/>
        <w:ind w:firstLine="640" w:firstLineChars="200"/>
        <w:rPr>
          <w:rFonts w:hint="eastAsia" w:ascii="Times New Roman Regular" w:hAnsi="Times New Roman Regular" w:eastAsia="仿宋_GB2312" w:cs="Times New Roman Regular"/>
          <w:sz w:val="32"/>
          <w:szCs w:val="40"/>
        </w:rPr>
      </w:pPr>
    </w:p>
    <w:p w14:paraId="3F4966DF">
      <w:pPr>
        <w:spacing w:line="560" w:lineRule="exact"/>
        <w:ind w:firstLine="640" w:firstLineChars="200"/>
        <w:rPr>
          <w:rFonts w:hint="eastAsia" w:ascii="Times New Roman Regular" w:hAnsi="Times New Roman Regular" w:eastAsia="仿宋_GB2312" w:cs="Times New Roman Regular"/>
          <w:sz w:val="32"/>
          <w:szCs w:val="40"/>
        </w:rPr>
      </w:pPr>
    </w:p>
    <w:p w14:paraId="0CE2BF45">
      <w:pPr>
        <w:spacing w:line="560" w:lineRule="exact"/>
        <w:ind w:firstLine="640" w:firstLineChars="200"/>
        <w:rPr>
          <w:rFonts w:hint="eastAsia" w:ascii="Times New Roman Regular" w:hAnsi="Times New Roman Regular" w:eastAsia="仿宋_GB2312" w:cs="Times New Roman Regular"/>
          <w:sz w:val="32"/>
          <w:szCs w:val="40"/>
        </w:rPr>
      </w:pPr>
    </w:p>
    <w:p w14:paraId="5B5389B3">
      <w:pPr>
        <w:spacing w:line="560" w:lineRule="exact"/>
        <w:ind w:firstLine="640" w:firstLineChars="200"/>
        <w:rPr>
          <w:rFonts w:hint="eastAsia" w:ascii="Times New Roman Regular" w:hAnsi="Times New Roman Regular" w:eastAsia="仿宋_GB2312" w:cs="Times New Roman Regular"/>
          <w:sz w:val="32"/>
          <w:szCs w:val="40"/>
        </w:rPr>
      </w:pPr>
    </w:p>
    <w:p w14:paraId="5E389BA6">
      <w:pPr>
        <w:spacing w:line="560" w:lineRule="exact"/>
        <w:ind w:firstLine="640" w:firstLineChars="200"/>
        <w:rPr>
          <w:rFonts w:hint="eastAsia" w:ascii="Times New Roman Regular" w:hAnsi="Times New Roman Regular" w:eastAsia="仿宋_GB2312" w:cs="Times New Roman Regular"/>
          <w:sz w:val="32"/>
          <w:szCs w:val="40"/>
        </w:rPr>
      </w:pPr>
    </w:p>
    <w:p w14:paraId="306DB043">
      <w:pPr>
        <w:spacing w:line="560" w:lineRule="exact"/>
        <w:ind w:firstLine="640" w:firstLineChars="200"/>
        <w:rPr>
          <w:rFonts w:hint="eastAsia" w:ascii="仿宋_GB2312" w:hAnsi="仿宋_GB2312" w:eastAsia="仿宋_GB2312" w:cs="仿宋_GB2312"/>
          <w:sz w:val="32"/>
          <w:szCs w:val="40"/>
        </w:rPr>
      </w:pPr>
      <w:r>
        <w:rPr>
          <w:rFonts w:ascii="Times New Roman Regular" w:hAnsi="Times New Roman Regular" w:eastAsia="仿宋_GB2312" w:cs="Times New Roman Regular"/>
          <w:sz w:val="32"/>
          <w:szCs w:val="40"/>
        </w:rPr>
        <w:t>附件：</w:t>
      </w:r>
      <w:r>
        <w:rPr>
          <w:rFonts w:hint="eastAsia" w:ascii="仿宋_GB2312" w:hAnsi="仿宋_GB2312" w:eastAsia="仿宋_GB2312" w:cs="仿宋_GB2312"/>
          <w:sz w:val="32"/>
          <w:szCs w:val="40"/>
        </w:rPr>
        <w:t>1.政策绩效评价指标体系</w:t>
      </w:r>
    </w:p>
    <w:p w14:paraId="10C88941">
      <w:pPr>
        <w:spacing w:line="600" w:lineRule="exact"/>
        <w:ind w:left="16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2.政策绩效评价得分表</w:t>
      </w:r>
    </w:p>
    <w:p w14:paraId="608EFF2E">
      <w:pPr>
        <w:spacing w:line="600" w:lineRule="exact"/>
        <w:ind w:left="16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3.问题清单</w:t>
      </w:r>
    </w:p>
    <w:p w14:paraId="6C544C9D">
      <w:pPr>
        <w:spacing w:line="600" w:lineRule="exact"/>
        <w:ind w:left="1600"/>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highlight w:val="none"/>
          <w:lang w:eastAsia="zh-CN"/>
        </w:rPr>
        <w:t>核心绩效指标</w:t>
      </w:r>
    </w:p>
    <w:p w14:paraId="514614D7">
      <w:pPr>
        <w:spacing w:line="600" w:lineRule="exact"/>
        <w:ind w:left="1600"/>
        <w:rPr>
          <w:rFonts w:hint="eastAsia" w:ascii="仿宋_GB2312" w:hAnsi="仿宋_GB2312" w:eastAsia="仿宋_GB2312" w:cs="仿宋_GB2312"/>
          <w:sz w:val="32"/>
          <w:szCs w:val="40"/>
          <w:lang w:val="en-US" w:eastAsia="zh-CN"/>
        </w:rPr>
        <w:sectPr>
          <w:footerReference r:id="rId12" w:type="default"/>
          <w:pgSz w:w="11906" w:h="16838"/>
          <w:pgMar w:top="1800" w:right="1440" w:bottom="1800" w:left="1440" w:header="851" w:footer="1361" w:gutter="0"/>
          <w:pgNumType w:fmt="decimal" w:start="1"/>
          <w:cols w:space="0" w:num="1"/>
          <w:docGrid w:linePitch="312" w:charSpace="0"/>
        </w:sectPr>
      </w:pPr>
      <w:r>
        <w:rPr>
          <w:rFonts w:hint="eastAsia" w:ascii="仿宋_GB2312" w:hAnsi="仿宋_GB2312" w:eastAsia="仿宋_GB2312" w:cs="仿宋_GB2312"/>
          <w:sz w:val="32"/>
          <w:szCs w:val="40"/>
          <w:lang w:val="en-US" w:eastAsia="zh-CN"/>
        </w:rPr>
        <w:t>5.人员分工表</w:t>
      </w:r>
    </w:p>
    <w:p w14:paraId="668C4145">
      <w:pPr>
        <w:rPr>
          <w:rFonts w:hint="eastAsia" w:ascii="黑体" w:hAnsi="黑体" w:eastAsia="黑体" w:cs="黑体"/>
          <w:sz w:val="32"/>
          <w:szCs w:val="40"/>
        </w:rPr>
      </w:pPr>
      <w:r>
        <w:rPr>
          <w:rFonts w:ascii="Times New Roman Regular" w:hAnsi="Times New Roman Regular" w:eastAsia="黑体" w:cs="Times New Roman Regular"/>
          <w:sz w:val="32"/>
          <w:szCs w:val="40"/>
        </w:rPr>
        <w:t>附</w:t>
      </w:r>
      <w:r>
        <w:rPr>
          <w:rFonts w:hint="eastAsia" w:ascii="黑体" w:hAnsi="黑体" w:eastAsia="黑体" w:cs="黑体"/>
          <w:sz w:val="32"/>
          <w:szCs w:val="40"/>
        </w:rPr>
        <w:t>件1：</w:t>
      </w:r>
    </w:p>
    <w:p w14:paraId="40270AB9">
      <w:pPr>
        <w:spacing w:line="600" w:lineRule="exact"/>
        <w:jc w:val="center"/>
        <w:outlineLvl w:val="0"/>
        <w:rPr>
          <w:rFonts w:hint="eastAsia" w:ascii="方正小标宋简体" w:hAnsi="方正小标宋简体" w:eastAsia="方正小标宋简体" w:cs="方正小标宋简体"/>
          <w:sz w:val="36"/>
          <w:szCs w:val="44"/>
        </w:rPr>
      </w:pPr>
      <w:bookmarkStart w:id="52" w:name="_Toc5226"/>
      <w:bookmarkStart w:id="53" w:name="_Toc1503668447"/>
      <w:bookmarkStart w:id="54" w:name="_Toc52216807"/>
      <w:bookmarkStart w:id="55" w:name="_Toc397096905"/>
      <w:bookmarkStart w:id="56" w:name="_Toc25953281"/>
      <w:r>
        <w:rPr>
          <w:rFonts w:hint="eastAsia" w:ascii="方正小标宋简体" w:hAnsi="方正小标宋简体" w:eastAsia="方正小标宋简体" w:cs="方正小标宋简体"/>
          <w:sz w:val="36"/>
          <w:szCs w:val="44"/>
        </w:rPr>
        <w:t>科技股权投资专项（含省市股权联动）政策绩效评价指标体系</w:t>
      </w:r>
      <w:bookmarkEnd w:id="52"/>
      <w:bookmarkEnd w:id="53"/>
      <w:bookmarkEnd w:id="54"/>
      <w:bookmarkEnd w:id="55"/>
      <w:bookmarkEnd w:id="56"/>
    </w:p>
    <w:tbl>
      <w:tblPr>
        <w:tblStyle w:val="14"/>
        <w:tblW w:w="1379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6"/>
        <w:gridCol w:w="806"/>
        <w:gridCol w:w="1104"/>
        <w:gridCol w:w="1202"/>
        <w:gridCol w:w="3172"/>
        <w:gridCol w:w="5184"/>
        <w:gridCol w:w="1518"/>
      </w:tblGrid>
      <w:tr w14:paraId="4275D845">
        <w:trPr>
          <w:trHeight w:val="334" w:hRule="atLeast"/>
          <w:tblHeader/>
        </w:trPr>
        <w:tc>
          <w:tcPr>
            <w:tcW w:w="80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4AB855C3">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一级指标</w:t>
            </w:r>
          </w:p>
        </w:tc>
        <w:tc>
          <w:tcPr>
            <w:tcW w:w="80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A1DB316">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二级指标</w:t>
            </w:r>
          </w:p>
        </w:tc>
        <w:tc>
          <w:tcPr>
            <w:tcW w:w="11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3629650">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三级指标</w:t>
            </w:r>
          </w:p>
        </w:tc>
        <w:tc>
          <w:tcPr>
            <w:tcW w:w="120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72259352">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四级指标</w:t>
            </w:r>
          </w:p>
        </w:tc>
        <w:tc>
          <w:tcPr>
            <w:tcW w:w="317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B094007">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指标解释</w:t>
            </w:r>
          </w:p>
        </w:tc>
        <w:tc>
          <w:tcPr>
            <w:tcW w:w="518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75B009F0">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评价要点</w:t>
            </w:r>
          </w:p>
        </w:tc>
        <w:tc>
          <w:tcPr>
            <w:tcW w:w="151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B7C1C87">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指标来源（指标设置依据）</w:t>
            </w:r>
          </w:p>
        </w:tc>
      </w:tr>
      <w:tr w14:paraId="0516A850">
        <w:trPr>
          <w:trHeight w:val="3592"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7342">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政策制定（10分）</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405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政策制定（10分）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567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政策制定科学性（10分）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869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8AC1">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反映政策从立项依据、设立程序、目标设定到资金安排全流程的合规性、科学性与合理性，重点考核政策制定是否符合法律法规、相关规划及部门职责，程序是否规范，目标与资金配置是否匹配，是否能为政策有效实施奠定合规基础。</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2673">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①政策制定是否符合国家法律法规、国民经济发展规划、行业政策及部门职责范围，属于公共财政支持范畴，且不与相关部门同类政策重复，符合中央、地方事权支出责任划分原则；</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②政策设立是否按规定程序申请，审批文件材料齐全合规，事前经过可行性研究、专家论证、风险评估、绩效评估、集体决策等必要环节；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③是否明确绩效目标，目标与实际工作内容相关，预期产出效益和效果符合正常业绩水平，且与预算投资额或资金量相匹配；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④政策支出标准经过科学论证，与政策目标、现实需求、经济发展情况相适应，支出标准依据充分、程序规范，已合理测算资金需求；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⑤是否已制定相关资金管理办法并明确资金分配办法，资金分配因素全面合理，与地方实际相适应，能保障政策目标或绩效目标达成。</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评分规则：每发现1处不符合上述评价要点的扣1分，扣完为止。</w:t>
            </w:r>
            <w:r>
              <w:rPr>
                <w:rFonts w:hint="eastAsia" w:ascii="宋体" w:hAnsi="宋体" w:eastAsia="宋体" w:cs="宋体"/>
                <w:i w:val="0"/>
                <w:iCs w:val="0"/>
                <w:color w:val="000000"/>
                <w:kern w:val="0"/>
                <w:sz w:val="21"/>
                <w:szCs w:val="21"/>
                <w:u w:val="none"/>
                <w:lang w:val="en-US" w:eastAsia="zh-CN" w:bidi="ar"/>
              </w:rPr>
              <w:t>​</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C6EA">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政策绩效评价指标体系框架</w:t>
            </w:r>
          </w:p>
        </w:tc>
      </w:tr>
      <w:tr w14:paraId="6C77D77E">
        <w:trPr>
          <w:trHeight w:val="940" w:hRule="atLeast"/>
        </w:trPr>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F628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政策实施（30分）</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412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资金管理（6分）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DE5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预算拨付率（2分）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E03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0BDB">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项目预算资金是否按照计划执行，用以反映或考核项目预算执行情况。</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2669">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预算拨付率=（实际拨付资金/预算安排资金）×100%。</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实际拨付资金：一定时期内项目实际拨付的资金。评分规则：当预算拨付率≤100%时，得分=预算拨付率×权重分。</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0B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政策绩效评价指标体系框架</w:t>
            </w:r>
          </w:p>
        </w:tc>
      </w:tr>
      <w:tr w14:paraId="2EF585D1">
        <w:trPr>
          <w:trHeight w:val="156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ACEE">
            <w:pPr>
              <w:jc w:val="center"/>
              <w:rPr>
                <w:rFonts w:hint="eastAsia" w:ascii="仿宋_GB2312" w:hAnsi="宋体" w:eastAsia="仿宋_GB2312" w:cs="仿宋_GB2312"/>
                <w:i w:val="0"/>
                <w:iCs w:val="0"/>
                <w:color w:val="000000"/>
                <w:sz w:val="21"/>
                <w:szCs w:val="21"/>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402EB">
            <w:pPr>
              <w:jc w:val="center"/>
              <w:rPr>
                <w:rFonts w:hint="eastAsia" w:ascii="仿宋_GB2312" w:hAnsi="宋体"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B45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资金使用规范性（4分）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89A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19B2">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项目资金使用是否符合相关的财务管理制度规定，用以反映和考核项目资金的规范运行情况。</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0EE1">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①是否符合国家财经法规和财务管理制度以及有关专项资金管理办法的规定；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②资金的拨付是否有完整的审批程序和手续；</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③是否符合项目预算批复或合同规定的用途；</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④是否存在截留、挤占、挪用、虚列支出等情况。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评分规则：每发现1处不符合上述评价要点的扣0.5分，扣完为止。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EEF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政策绩效评价指标体系框架</w:t>
            </w:r>
          </w:p>
        </w:tc>
      </w:tr>
      <w:tr w14:paraId="72ECBF3F">
        <w:trPr>
          <w:trHeight w:val="179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CED43">
            <w:pPr>
              <w:jc w:val="center"/>
              <w:rPr>
                <w:rFonts w:hint="eastAsia" w:ascii="仿宋_GB2312" w:hAnsi="宋体" w:eastAsia="仿宋_GB2312" w:cs="仿宋_GB2312"/>
                <w:i w:val="0"/>
                <w:iCs w:val="0"/>
                <w:color w:val="000000"/>
                <w:sz w:val="21"/>
                <w:szCs w:val="21"/>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1F5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保障机制（24分）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F8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政策管理制度健全性及执行有效性（24分）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0A9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4A57">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政策实施单位的财务和业务管理制度是否健全，政策实施是否符合相关管理规定，用以反映和考核财务和业务管理制度对项目顺利实施的保障情况，以及相关管理制度的有效执行情况。</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D5E1">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①是否遵守相关法律法规和《青岛市市级财政科技股权投资专项管理办法（试行）》（青科字〔2024〕15号）规定；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②项目调整及支出调整手续是否完备；</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③项目合同书、验收报告、技术鉴定等资料是否齐全并及时归档；</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④项目实施的人员条件、场地设备、信息支撑等是否落实到位。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⑤是按照投资协议、科技股权投资资金委托管理协议要求执行。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评分规则：每发现1处不符合上述评价要点的扣1.5分，扣完为止。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798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政策绩效评价指标体系框架、《青岛市市级财政科技股权投资专项管理办法（试行）》（青科字〔2024〕15号）</w:t>
            </w:r>
          </w:p>
        </w:tc>
      </w:tr>
      <w:tr w14:paraId="370E0539">
        <w:trPr>
          <w:trHeight w:val="2200" w:hRule="atLeast"/>
        </w:trPr>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17BA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政策效果（60分）</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0A6F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政策产出（40分）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A4B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数量指标（20分）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B2B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股权投资完成数（20分）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47F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政策实施的实际产出数与计划产出数的比率，用以反映和考核项目产出数量目标的实现程度。</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65D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①投资项目数量10项；</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②股权投资完成额11656.7万元；</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③省市股权联动项目1项（海洋抗肿瘤I类新药BG136省市股权联动试点项目）。</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评分规则：①②各8分，③4分，三项全部完成得满分；①按照完成比例得分，扣完为止；②资金未足额拨付投放按比例得分，扣完为止；③未完成不得分。</w:t>
            </w:r>
          </w:p>
        </w:tc>
        <w:tc>
          <w:tcPr>
            <w:tcW w:w="15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1ED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单位绩效目标表</w:t>
            </w:r>
          </w:p>
        </w:tc>
      </w:tr>
      <w:tr w14:paraId="28BE5879">
        <w:trPr>
          <w:trHeight w:val="188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9020B">
            <w:pPr>
              <w:jc w:val="center"/>
              <w:rPr>
                <w:rFonts w:hint="eastAsia" w:ascii="仿宋_GB2312" w:hAnsi="宋体" w:eastAsia="仿宋_GB2312" w:cs="仿宋_GB2312"/>
                <w:i w:val="0"/>
                <w:iCs w:val="0"/>
                <w:color w:val="000000"/>
                <w:sz w:val="21"/>
                <w:szCs w:val="21"/>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0A5A">
            <w:pPr>
              <w:jc w:val="center"/>
              <w:rPr>
                <w:rFonts w:hint="eastAsia" w:ascii="仿宋_GB2312" w:hAnsi="宋体"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163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质量指标（16分）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888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股权投资企业标准符合率（16分）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974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政策完成的质量达标产出数与实际产出数的比率，用以反映和考核项目产出质量目标的实现程度。</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3DB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①投资企业是否符合《青岛市市级财政科技股权投资专项管理办法（试行）》（青科字〔2024〕15号）规定；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②投资企业是否符合《科技股权投资资金委托管理协议》要求。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评分规则：每发现1处不符合上述评价要点的扣2分，扣完为止。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B242">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388958E3">
        <w:trPr>
          <w:trHeight w:val="250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1CA13">
            <w:pPr>
              <w:jc w:val="center"/>
              <w:rPr>
                <w:rFonts w:hint="eastAsia" w:ascii="仿宋_GB2312" w:hAnsi="宋体" w:eastAsia="仿宋_GB2312" w:cs="仿宋_GB2312"/>
                <w:i w:val="0"/>
                <w:iCs w:val="0"/>
                <w:color w:val="000000"/>
                <w:sz w:val="21"/>
                <w:szCs w:val="21"/>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2160">
            <w:pPr>
              <w:jc w:val="center"/>
              <w:rPr>
                <w:rFonts w:hint="eastAsia" w:ascii="仿宋_GB2312" w:hAnsi="宋体"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958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时效指标（2分）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985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股权投资工作完成及时率（2分）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AFE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政策实际完成时间与计划完成时间的比较，用以反映和考核项目产出时效目标的实现程度。</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754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①股权投资工作时间是否按照《青岛市市级财政科技股权投资专项管理办法（试行）》（青科字〔2024〕15号）规定执行；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②股权投资工作时间是否按照《股权投资协议》要求执行；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③股权投资工作时间是否按照《科技股权投资资金委托管理协议》要求执行。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评分规则：每发现1处不符合上述评价要点的扣0.5分，扣完为止。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D9C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2AD27FB3">
        <w:trPr>
          <w:trHeight w:val="188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80B19">
            <w:pPr>
              <w:jc w:val="center"/>
              <w:rPr>
                <w:rFonts w:hint="eastAsia" w:ascii="仿宋_GB2312" w:hAnsi="宋体" w:eastAsia="仿宋_GB2312" w:cs="仿宋_GB2312"/>
                <w:i w:val="0"/>
                <w:iCs w:val="0"/>
                <w:color w:val="000000"/>
                <w:sz w:val="21"/>
                <w:szCs w:val="21"/>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1CF43">
            <w:pPr>
              <w:jc w:val="center"/>
              <w:rPr>
                <w:rFonts w:hint="eastAsia" w:ascii="仿宋_GB2312" w:hAnsi="宋体"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D36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成本指标（2分）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78B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股权投资成本控制情况（2分）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D86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完成政策计划工作目标的实际节约成本与计划成本的比率，用以反映和考核项目的成本节约程度。</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62D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①单个项目股权投资金额最高不超过1000万元，无超额度投资情况；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②受托机构管理费用按规定比例列支，无超标准、超范围支出；</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③资金投放、运作成本管控规范高效。评分规则：</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每发现1处不符合上述评价要点的扣1分，扣完为止。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623D">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w:t>
            </w:r>
          </w:p>
        </w:tc>
      </w:tr>
      <w:tr w14:paraId="115001DE">
        <w:trPr>
          <w:trHeight w:val="9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C21E7">
            <w:pPr>
              <w:jc w:val="center"/>
              <w:rPr>
                <w:rFonts w:hint="eastAsia" w:ascii="仿宋_GB2312" w:hAnsi="宋体" w:eastAsia="仿宋_GB2312" w:cs="仿宋_GB2312"/>
                <w:i w:val="0"/>
                <w:iCs w:val="0"/>
                <w:color w:val="000000"/>
                <w:sz w:val="21"/>
                <w:szCs w:val="21"/>
                <w:u w:val="none"/>
              </w:rPr>
            </w:pP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9C9E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政策效益（20分）</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6C9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社会效益（10分）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A09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投资项目实施推进效益（10分）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B3F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考核资金到位后项目实质性开展及目标推进情况。</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CBF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①投资款足额到位满6个月，项目已全面开展实质性经营、研发、产业化等业务，各项既定绩效目标、建设任务按期推进，无滞后情形，配套工作资料完整可佐证，得10分；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②投资款足额到位满6个月，项目已启动部分实质性业务，核心既定目标小幅滞后，存在短期进度偏差，但已制定整改推进计划，未出现停滞搁置情况，得8分；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③投资款足额到位满6个月，仅开展少量筹备类前置工作，未落地核心实质性业务，项目整体推进缓慢，多项既定目标明显滞后，无明确落地推进方案，得5分；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④投资款足额到位满6个月，未开展任何实质性业务，项目长期停滞，既定目标完全未启动推进，无有效实施举措，得0分。</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730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739821A3">
        <w:trPr>
          <w:trHeight w:val="2820" w:hRule="atLeast"/>
        </w:trPr>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959B2">
            <w:pPr>
              <w:jc w:val="center"/>
              <w:rPr>
                <w:rFonts w:hint="eastAsia" w:ascii="仿宋_GB2312" w:hAnsi="宋体" w:eastAsia="仿宋_GB2312" w:cs="仿宋_GB2312"/>
                <w:i w:val="0"/>
                <w:iCs w:val="0"/>
                <w:color w:val="000000"/>
                <w:sz w:val="21"/>
                <w:szCs w:val="21"/>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8C317">
            <w:pPr>
              <w:jc w:val="center"/>
              <w:rPr>
                <w:rFonts w:hint="eastAsia" w:ascii="仿宋_GB2312" w:hAnsi="宋体" w:eastAsia="仿宋_GB2312" w:cs="仿宋_GB2312"/>
                <w:i w:val="0"/>
                <w:iCs w:val="0"/>
                <w:color w:val="000000"/>
                <w:sz w:val="21"/>
                <w:szCs w:val="21"/>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5B3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可持续影响（10分）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BF1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监管及循环机制健全性（10分）</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E60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考核项目风险防控、止损处置、容错免责、投后管理等长效机制建设及运行成效，评价政策可持续性。</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8AE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①受托管理机构应制定容错容损办法，明确尽职免责范围、情形及程序；</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②建立项目监督管理、风险防控全流程机制；</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③是否按照《科技股权投资资金委托管理协议》约定进行投后管理等投资完成后的工作；</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④是否按照《股权协议》约定进行投后管理等投资完成后的工作。</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评分规则：每发现1处不符合上述评价要点的扣1分，扣完为止。</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2D8A">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720B3295">
        <w:trPr>
          <w:trHeight w:val="336" w:hRule="atLeast"/>
        </w:trPr>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6C4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合计</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BB9F">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0465">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4E41">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100</w:t>
            </w:r>
          </w:p>
        </w:tc>
        <w:tc>
          <w:tcPr>
            <w:tcW w:w="3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9186">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5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12C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15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29EC">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r>
    </w:tbl>
    <w:p w14:paraId="647E2177">
      <w:pPr>
        <w:spacing w:line="600" w:lineRule="exact"/>
        <w:jc w:val="center"/>
        <w:outlineLvl w:val="0"/>
        <w:rPr>
          <w:rFonts w:hint="eastAsia" w:ascii="方正小标宋简体" w:hAnsi="方正小标宋简体" w:eastAsia="方正小标宋简体" w:cs="方正小标宋简体"/>
          <w:sz w:val="36"/>
          <w:szCs w:val="44"/>
        </w:rPr>
        <w:sectPr>
          <w:pgSz w:w="16838" w:h="11906" w:orient="landscape"/>
          <w:pgMar w:top="1440" w:right="1800" w:bottom="1440" w:left="1800" w:header="851" w:footer="1361" w:gutter="0"/>
          <w:pgNumType w:fmt="decimal"/>
          <w:cols w:space="0" w:num="1"/>
          <w:docGrid w:linePitch="312" w:charSpace="0"/>
        </w:sectPr>
      </w:pPr>
    </w:p>
    <w:p w14:paraId="2D8E8A97">
      <w:pPr>
        <w:rPr>
          <w:rFonts w:hint="eastAsia" w:ascii="方正小标宋简体" w:hAnsi="方正小标宋简体" w:eastAsia="方正小标宋简体" w:cs="方正小标宋简体"/>
          <w:sz w:val="36"/>
          <w:szCs w:val="44"/>
        </w:rPr>
      </w:pPr>
      <w:r>
        <w:rPr>
          <w:rFonts w:ascii="Times New Roman Regular" w:hAnsi="Times New Roman Regular" w:eastAsia="黑体" w:cs="Times New Roman Regular"/>
          <w:sz w:val="32"/>
          <w:szCs w:val="40"/>
        </w:rPr>
        <w:t>附</w:t>
      </w:r>
      <w:r>
        <w:rPr>
          <w:rFonts w:hint="eastAsia" w:ascii="黑体" w:hAnsi="黑体" w:eastAsia="黑体" w:cs="黑体"/>
          <w:sz w:val="32"/>
          <w:szCs w:val="40"/>
        </w:rPr>
        <w:t>件2</w:t>
      </w:r>
      <w:r>
        <w:rPr>
          <w:rFonts w:ascii="Times New Roman Regular" w:hAnsi="Times New Roman Regular" w:eastAsia="黑体" w:cs="Times New Roman Regular"/>
          <w:sz w:val="32"/>
          <w:szCs w:val="40"/>
        </w:rPr>
        <w:t>：</w:t>
      </w:r>
    </w:p>
    <w:p w14:paraId="381D307A">
      <w:pPr>
        <w:spacing w:line="600" w:lineRule="exact"/>
        <w:jc w:val="center"/>
        <w:outlineLvl w:val="0"/>
        <w:rPr>
          <w:rFonts w:hint="eastAsia" w:ascii="方正小标宋简体" w:hAnsi="方正小标宋简体" w:eastAsia="方正小标宋简体" w:cs="方正小标宋简体"/>
          <w:sz w:val="36"/>
          <w:szCs w:val="44"/>
        </w:rPr>
      </w:pPr>
      <w:bookmarkStart w:id="57" w:name="_Toc1775991106"/>
      <w:bookmarkStart w:id="58" w:name="_Toc568030833"/>
      <w:bookmarkStart w:id="59" w:name="_Toc1434547273"/>
      <w:bookmarkStart w:id="60" w:name="_Toc27940"/>
      <w:bookmarkStart w:id="61" w:name="_Toc257613426"/>
      <w:r>
        <w:rPr>
          <w:rFonts w:hint="eastAsia" w:ascii="方正小标宋简体" w:hAnsi="方正小标宋简体" w:eastAsia="方正小标宋简体" w:cs="方正小标宋简体"/>
          <w:sz w:val="36"/>
          <w:szCs w:val="44"/>
        </w:rPr>
        <w:t>科技股权投资专项（含省市股权联动）政策绩效评价得分表</w:t>
      </w:r>
      <w:bookmarkEnd w:id="57"/>
      <w:bookmarkEnd w:id="58"/>
      <w:bookmarkEnd w:id="59"/>
      <w:bookmarkEnd w:id="60"/>
      <w:bookmarkEnd w:id="61"/>
    </w:p>
    <w:tbl>
      <w:tblPr>
        <w:tblStyle w:val="14"/>
        <w:tblW w:w="1382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2"/>
        <w:gridCol w:w="762"/>
        <w:gridCol w:w="827"/>
        <w:gridCol w:w="1073"/>
        <w:gridCol w:w="1969"/>
        <w:gridCol w:w="3313"/>
        <w:gridCol w:w="4438"/>
        <w:gridCol w:w="685"/>
      </w:tblGrid>
      <w:tr w14:paraId="7910B285">
        <w:trPr>
          <w:trHeight w:val="334" w:hRule="atLeast"/>
          <w:tblHeader/>
        </w:trPr>
        <w:tc>
          <w:tcPr>
            <w:tcW w:w="76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407EF28F">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一级指标</w:t>
            </w:r>
          </w:p>
        </w:tc>
        <w:tc>
          <w:tcPr>
            <w:tcW w:w="76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6812D96">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二级指标</w:t>
            </w:r>
          </w:p>
        </w:tc>
        <w:tc>
          <w:tcPr>
            <w:tcW w:w="82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2C26217">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三级指标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7EAA944">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四级指标</w:t>
            </w:r>
          </w:p>
        </w:tc>
        <w:tc>
          <w:tcPr>
            <w:tcW w:w="1969"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C89C3EF">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指标解释</w:t>
            </w:r>
          </w:p>
        </w:tc>
        <w:tc>
          <w:tcPr>
            <w:tcW w:w="331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7B1707FE">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评价要点</w:t>
            </w:r>
          </w:p>
        </w:tc>
        <w:tc>
          <w:tcPr>
            <w:tcW w:w="443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415896A0">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评分依据及测算过程</w:t>
            </w:r>
          </w:p>
        </w:tc>
        <w:tc>
          <w:tcPr>
            <w:tcW w:w="68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F954CA0">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得分</w:t>
            </w:r>
          </w:p>
        </w:tc>
      </w:tr>
      <w:tr w14:paraId="45319A57">
        <w:trPr>
          <w:trHeight w:val="9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4F93">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政策制定（10分）</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78E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D60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政策制定科学性（10分）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F9C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4EBD">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反映政策从立项依据、设立程序、目标设定到资金安排全流程的合规性、科学性与合理性，重点考核政策制定是否符合法律法规、相关规划及部门职责，程序是否规范，目标与资金配置是否匹配，是否能为政策有效实施奠定合规基础。</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F44B">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①政策制定是否符合国家法律法规、国民经济发展规划、行业政策及部门职责范围，属于公共财政支持范畴，且不与相关部门同类政策重复，符合中央、地方事权支出责任划分原则；</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②政策设立是否按规定程序申请，审批文件材料齐全合规，事前经过可行性研究、专家论证、风险评估、绩效评估、集体决策等必要环节；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③是否明确绩效目标，目标与实际工作内容相关，预期产出效益和效果符合正常业绩水平，且与预算投资额或资金量相匹配；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④政策支出标准经过科学论证，与政策目标、现实需求、经济发展情况相适应，支出标准依据充分、程序规范，已合理测算资金需求；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⑤是否已制定相关资金管理办法并明确资金分配办法，资金分配因素全面合理，与地方实际相适应，能保障政策目标或绩效目标达成。</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评分规则：每发现1处不符合上述评价要点的扣1分，扣完为止。</w:t>
            </w:r>
            <w:r>
              <w:rPr>
                <w:rFonts w:hint="eastAsia" w:ascii="宋体" w:hAnsi="宋体" w:eastAsia="宋体" w:cs="宋体"/>
                <w:i w:val="0"/>
                <w:iCs w:val="0"/>
                <w:color w:val="000000"/>
                <w:kern w:val="0"/>
                <w:sz w:val="21"/>
                <w:szCs w:val="21"/>
                <w:u w:val="none"/>
                <w:lang w:val="en-US" w:eastAsia="zh-CN" w:bidi="ar"/>
              </w:rPr>
              <w:t>​</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FC0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政策制定符合国家法律法规、国民经济发展规划和相关政策，符合行业发展规划和政策要求；与部门职责范围相符，属于部门履职所需，属于公共财政支持范围，符合中央、地方事权支出责任划分原则；部门无同类政策重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②政策按照规定的程序申请设立；审批文件、材料符合相关要求，事前经过集体决策；</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③市科技局设置了绩效目标，目标与实际工作内容相关，预期产出效益和效果符合正常业绩水平，且与资金量相匹配；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④政策支出标准经过科学论证，与政策目标、现实需求、经济发展情况相适应，支出标准依据充分、程序规范；</w:t>
            </w:r>
            <w:r>
              <w:rPr>
                <w:rStyle w:val="34"/>
                <w:rFonts w:eastAsia="仿宋_GB2312"/>
                <w:sz w:val="21"/>
                <w:szCs w:val="21"/>
                <w:lang w:val="en-US" w:eastAsia="zh-CN" w:bidi="ar"/>
              </w:rPr>
              <w:t>​</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⑤青科字〔2024〕15号规定，单个项目的投资强度根据企业的申请额度、资产总额及专家评审意见和受托管理机构的尽职调查情况确定，最高1000万元。资金分配因素合理。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根据评分要点，得10分。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B0C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w:t>
            </w:r>
          </w:p>
        </w:tc>
      </w:tr>
      <w:tr w14:paraId="2DDB2BA7">
        <w:trPr>
          <w:trHeight w:val="1260" w:hRule="atLeast"/>
        </w:trPr>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04A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政策实施（30分）</w:t>
            </w:r>
          </w:p>
        </w:tc>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9348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资金管理（6分）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D9E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预算拨付率（2分）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0CE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75C9">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项目预算资金是否按照计划执行，用以反映或考核项目预算执行情况。</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39B8">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预算拨付率=（实际拨付资金/预算安排资金）×100%。</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实际拨付资金：一定时期内项目实际拨付的资金。评分规则：当预算拨付率≤100%时，得分=预算拨付率×权重分。</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DB26">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2025年科技股权投资专项（含省市股权联动）预算11656.7万元，其中，年初预算6000万元，调剂5656.7万元。截至2025年12月31日已全部拨付至青岛财通集团有限公司。根据评分要点，得2分。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6C6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r>
      <w:tr w14:paraId="3C9AD3A7">
        <w:trPr>
          <w:trHeight w:val="220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8265F">
            <w:pPr>
              <w:jc w:val="center"/>
              <w:rPr>
                <w:rFonts w:hint="eastAsia" w:ascii="仿宋_GB2312" w:hAnsi="宋体" w:eastAsia="仿宋_GB2312" w:cs="仿宋_GB2312"/>
                <w:i w:val="0"/>
                <w:iCs w:val="0"/>
                <w:color w:val="000000"/>
                <w:sz w:val="21"/>
                <w:szCs w:val="21"/>
                <w:u w:val="none"/>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82065">
            <w:pPr>
              <w:jc w:val="center"/>
              <w:rPr>
                <w:rFonts w:hint="eastAsia" w:ascii="仿宋_GB2312" w:hAnsi="宋体" w:eastAsia="仿宋_GB2312" w:cs="仿宋_GB2312"/>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001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资金使用规范性（4分）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CCB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11AC">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项目资金使用是否符合相关的财务管理制度规定，用以反映和考核项目资金的规范运行情况。</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2873">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①是否符合国家财经法规和财务管理制度以及有关专项资金管理办法的规定；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②资金的拨付是否有完整的审批程序和手续；</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③是否符合项目预算批复或合同规定的用途；</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④是否存在截留、挤占、挪用、虚列支出等情况。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评分规则：每发现1处不符合上述评价要点的扣0.5分，扣完为止。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D7B8">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①符合国家财经法规和财务管理制度以及有关专项资金管理办法的规定；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②资金的拨付有完整的审批程序和手续；</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③符合项目预算批复或合同规定的用途；</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④不存在截留、挤占、挪用、虚列支出等情况。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根据评分要点，得4分。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DE2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r>
      <w:tr w14:paraId="2AC11AA8">
        <w:trPr>
          <w:trHeight w:val="9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2F6A">
            <w:pPr>
              <w:jc w:val="center"/>
              <w:rPr>
                <w:rFonts w:hint="eastAsia" w:ascii="仿宋_GB2312" w:hAnsi="宋体" w:eastAsia="仿宋_GB2312" w:cs="仿宋_GB2312"/>
                <w:i w:val="0"/>
                <w:iCs w:val="0"/>
                <w:color w:val="000000"/>
                <w:sz w:val="21"/>
                <w:szCs w:val="21"/>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33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保障机制（24分）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44D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政策管理制度健全性及执行有效性（24分）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0D9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3D83">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政策实施单位的财务和业务管理制度是否健全，政策实施是否符合相关管理规定，用以反映和考核财务和业务管理制度对项目顺利实施的保障情况，以及相关管理制度的有效执行情况。</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C0A5">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①是否遵守相关法律法规和《青岛市市级财政科技股权投资专项管理办法（试行）》（青科字〔2024〕15号）规定；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②项目调整及支出调整手续是否完备；</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③项目合同书、验收报告、技术鉴定等资料是否齐全并及时归档；</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④项目实施的人员条件、场地设备、信息支撑等是否落实到位。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⑤是按照投资协议、科技股权投资资金委托管理协议要求执行。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评分规则：每发现1处不符合上述评价要点的扣1.5分，扣完为止。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094C">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①一是专项资金专户管理不完善。根据《科技股权投资资金委托管理协议》，“第十三条 甲方向丙方拨付托管资金后，丙方（财通集团）将资金拨付至在托管银行开立的监管账户，由托管银行按照银行托管协议履行相应监管权力及义务”。2025年11月11日市科技局首次拨付5000万元市级股权投资资金，财通集团2025年12月5日完成托管专户开立，未在专户设立后及时全额划转至指定托管账户，而是在对外投资出资时再划入专户对外拨付相应款项。</w:t>
            </w:r>
          </w:p>
          <w:p w14:paraId="6715E1B8">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②年度财务报告、业务报告未报送。青科字〔2024〕15号文件要求，“财通集团每半年须向市科技局、市财政局报告股权投资清单及整体运作情况，并在每年4月30日前提交受托管理的财政资金年度财务报告和年度业务报告”。财通集团未在2026年4月30日前完成财务、业务报告报送工作。</w:t>
            </w:r>
          </w:p>
          <w:p w14:paraId="7225E025">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③资金拨付主体为入库项目母公司。青科字〔2024〕15号文件规定，“受托管理机构按照投资决策与被投资企业签订股权投资协议”，“受托管理机构按照股权投资协议，将股权投资资金划入被投资企业银行账户。”市科技局推送入库企业为青岛合碳创物科技有限公司，财通集团基于商业谈判与该企业母公司杭州合碳创物科技有限公司签订股权投资协议，并约定投资资金全部用于青岛合碳，投资后杭州合碳于2026年4月24日将资金全额汇至青岛合碳用于其业务开展。</w:t>
            </w:r>
          </w:p>
          <w:p w14:paraId="48EF843A">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④科技股权投资协议部分内容约定不够明晰。在实际执行中，部分协议对投资项目建设、验收方案、管理及技术团队建设等关键内容约定较为笼统，导致不同项目股权投资协议相关条款表述口径不够明晰。</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根据评分要点，得18分。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6E9">
            <w:pPr>
              <w:keepNext w:val="0"/>
              <w:keepLines w:val="0"/>
              <w:widowControl/>
              <w:suppressLineNumbers w:val="0"/>
              <w:jc w:val="center"/>
              <w:textAlignment w:val="center"/>
              <w:rPr>
                <w:rFonts w:hint="default" w:ascii="仿宋_GB2312" w:hAnsi="宋体" w:eastAsia="仿宋_GB2312" w:cs="仿宋_GB2312"/>
                <w:i w:val="0"/>
                <w:iCs w:val="0"/>
                <w:color w:val="000000"/>
                <w:sz w:val="21"/>
                <w:szCs w:val="21"/>
                <w:u w:val="none"/>
                <w:lang w:val="en-US"/>
              </w:rPr>
            </w:pPr>
            <w:r>
              <w:rPr>
                <w:rFonts w:hint="eastAsia" w:ascii="仿宋_GB2312" w:hAnsi="宋体" w:eastAsia="仿宋_GB2312" w:cs="仿宋_GB2312"/>
                <w:i w:val="0"/>
                <w:iCs w:val="0"/>
                <w:color w:val="000000"/>
                <w:kern w:val="0"/>
                <w:sz w:val="21"/>
                <w:szCs w:val="21"/>
                <w:u w:val="none"/>
                <w:lang w:val="en-US" w:eastAsia="zh-CN" w:bidi="ar"/>
              </w:rPr>
              <w:t>18</w:t>
            </w:r>
          </w:p>
        </w:tc>
      </w:tr>
      <w:tr w14:paraId="7574DD2B">
        <w:trPr>
          <w:trHeight w:val="90" w:hRule="atLeast"/>
        </w:trPr>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EE56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政策效果（60分）</w:t>
            </w:r>
          </w:p>
        </w:tc>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156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政策产出（40分）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A2A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数量指标（20分）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3EB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股权投资完成数（20分）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2F4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政策实施的实际产出数与计划产出数的比率，用以反映和考核项目产出数量目标的实现程度。</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1E9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①投资项目数量10项；</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②股权投资完成额11656.7万元；</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③省市股权联动项目1项（海洋抗肿瘤I类新药BG136省市股权联动试点项目）。</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评分规则：①②各8分，③4分，三项全部完成得满分；①按照完成比例得分，扣完为止；②资金未足额拨付投放按比例得分，扣完为止；③未完成不得分。</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85D0">
            <w:pPr>
              <w:keepNext w:val="0"/>
              <w:keepLines w:val="0"/>
              <w:widowControl/>
              <w:suppressLineNumbers w:val="0"/>
              <w:jc w:val="both"/>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①截至2026年5月31日，累计完成青岛无疆技术有限公司、青岛未来移动医疗科技有限公司、物元半导体技术（青岛）有限公司4个市级项目出资，扣4.8分；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②2025年累计拨付至财通集团资金11656.7万元，截至2026年5月31日，财通集团实际出资7000万元，整体资金完成率60.05%。扣3.2分。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③2025年12月24日完成省市股权联动项目1项（海洋抗肿瘤I类新药BG136省市股权联动试点项目），不扣分。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根据评分要点，得12分。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43C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12</w:t>
            </w:r>
          </w:p>
        </w:tc>
      </w:tr>
      <w:tr w14:paraId="38D28926">
        <w:trPr>
          <w:trHeight w:val="31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9E5A7">
            <w:pPr>
              <w:jc w:val="center"/>
              <w:rPr>
                <w:rFonts w:hint="eastAsia" w:ascii="仿宋_GB2312" w:hAnsi="宋体" w:eastAsia="仿宋_GB2312" w:cs="仿宋_GB2312"/>
                <w:i w:val="0"/>
                <w:iCs w:val="0"/>
                <w:color w:val="000000"/>
                <w:sz w:val="21"/>
                <w:szCs w:val="21"/>
                <w:u w:val="none"/>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10FCE">
            <w:pPr>
              <w:jc w:val="center"/>
              <w:rPr>
                <w:rFonts w:hint="eastAsia" w:ascii="仿宋_GB2312" w:hAnsi="宋体" w:eastAsia="仿宋_GB2312" w:cs="仿宋_GB2312"/>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A30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质量指标（16分）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985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股权投资企业标准符合率（16分）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22B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政策完成的质量达标产出数与实际产出数的比率，用以反映和考核项目产出质量目标的实现程度。</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B54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①投资企业是否符合《青岛市市级财政科技股权投资专项管理办法（试行）》（青科字〔2024〕15号）规定；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②投资企业是否符合《科技股权投资资金委托管理协议》要求。</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评分规则：每发现1处不符合上述评价要点的扣2分，扣完为止。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304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投资企业符合《青岛市市级财政科技股权投资专项管理办法（试行）》（青科字〔2024〕15号）、《科技股权投资资金委托管理协议》规定。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根据评分要点，得16分。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FD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16</w:t>
            </w:r>
          </w:p>
        </w:tc>
      </w:tr>
      <w:tr w14:paraId="6C62450E">
        <w:trPr>
          <w:trHeight w:val="9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D6D1">
            <w:pPr>
              <w:jc w:val="center"/>
              <w:rPr>
                <w:rFonts w:hint="eastAsia" w:ascii="仿宋_GB2312" w:hAnsi="宋体" w:eastAsia="仿宋_GB2312" w:cs="仿宋_GB2312"/>
                <w:i w:val="0"/>
                <w:iCs w:val="0"/>
                <w:color w:val="000000"/>
                <w:sz w:val="21"/>
                <w:szCs w:val="21"/>
                <w:u w:val="none"/>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90D45">
            <w:pPr>
              <w:jc w:val="center"/>
              <w:rPr>
                <w:rFonts w:hint="eastAsia" w:ascii="仿宋_GB2312" w:hAnsi="宋体" w:eastAsia="仿宋_GB2312" w:cs="仿宋_GB2312"/>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4F2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时效指标（2分）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F40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股权投资工作完成及时率（2分）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0F1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政策实际完成时间与计划完成时间的比较，用以反映和考核项目产出时效目标的实现程度。</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A31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①股权投资工作时间是否按照《青岛市市级财政科技股权投资专项管理办法（试行）》（青科字〔2024〕15号）规定执行；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②股权投资工作时间是否按照《股权投资协议》要求执行；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③股权投资工作时间是否按照《科技股权投资资金委托管理协议》要求执行。</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评分规则：每发现1处不符合上述评价要点的扣0.5分，扣完为止。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041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合碳创物科技有限公司投资协议约定，“在收到投资方的增资款后三个工作日内，应向投资方出具增资款收据，并在十个工作日内完成本次增资的工商变更登记手续”；按照上述规定，青岛合碳创物科技有限公司截至2026年5月31日未及时完成工商变更登记、章程修改工作。扣0.5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根据评分要点，得1.5分。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C24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w:t>
            </w:r>
          </w:p>
        </w:tc>
      </w:tr>
      <w:tr w14:paraId="36D4F337">
        <w:trPr>
          <w:trHeight w:val="90"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3B84">
            <w:pPr>
              <w:jc w:val="center"/>
              <w:rPr>
                <w:rFonts w:hint="eastAsia" w:ascii="仿宋_GB2312" w:hAnsi="宋体" w:eastAsia="仿宋_GB2312" w:cs="仿宋_GB2312"/>
                <w:i w:val="0"/>
                <w:iCs w:val="0"/>
                <w:color w:val="000000"/>
                <w:sz w:val="21"/>
                <w:szCs w:val="21"/>
                <w:u w:val="none"/>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64EC5">
            <w:pPr>
              <w:jc w:val="center"/>
              <w:rPr>
                <w:rFonts w:hint="eastAsia" w:ascii="仿宋_GB2312" w:hAnsi="宋体" w:eastAsia="仿宋_GB2312" w:cs="仿宋_GB2312"/>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6AF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成本指标（2分）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4BE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股权投资成本控制情况（2分）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2E7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完成政策计划工作目标的实际节约成本与计划成本的比率，用以反映和考核项目的成本节约程度。</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600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①单个项目股权投资金额最高不超过1000万元，无超额度投资情况；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②受托机构管理费用按规定比例列支，无超标准、超范围支出；</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③资金投放、运作成本管控规范高效。评分规则：</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每发现1处不符合上述评价要点的扣1分，扣完为止。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F2B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①市级单个项目股权投资金额最高均不超过1000万元，无超额度投资情况；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②截至目前财通集团尚未计提管理费用，不存在不按照规定比例列支，超标准、超范围支出的情况；</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③资金投放、运作成本管控规范高效。</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根据评分要点，得2分。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BB2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r>
      <w:tr w14:paraId="1D95DB70">
        <w:trPr>
          <w:trHeight w:val="2037"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2D891">
            <w:pPr>
              <w:jc w:val="center"/>
              <w:rPr>
                <w:rFonts w:hint="eastAsia" w:ascii="仿宋_GB2312" w:hAnsi="宋体" w:eastAsia="仿宋_GB2312" w:cs="仿宋_GB2312"/>
                <w:i w:val="0"/>
                <w:iCs w:val="0"/>
                <w:color w:val="000000"/>
                <w:sz w:val="21"/>
                <w:szCs w:val="21"/>
                <w:u w:val="none"/>
              </w:rPr>
            </w:pPr>
          </w:p>
        </w:tc>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2DAF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政策效益（20分）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090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社会效益（10分）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46C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投资项目实施推进效益（10分）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085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考核资金到位后项目实质性开展及目标推进情况。</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EF45">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①投资款足额到位满6个月，项目已全面开展实质性经营、研发、产业化等业务，各项既定绩效目标、建设任务按期推进，无滞后情形，配套工作资料完整可佐证，得10分；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②投资款足额到位满6个月，项目已启动部分实质性业务，核心既定目标小幅滞后，存在短期进度偏差，但已制定整改推进计划，未出现停滞搁置情况，得8分；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③投资款足额到位满6个月，仅开展少量筹备类前置工作，未落地核心实质性业务，项目整体推进缓慢，多项既定目标明显滞后，无明确落地推进方案，得5分；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④投资款足额到位满6个月，未开展任何实质性业务，项目长期停滞，既定目标完全未启动推进，无有效实施举措，得0分。</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7C4C">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青岛合碳创物科技有限公司：联合“合碳创物-山东大学研究院”实现快速发展，新增8个海洋相关新产品立项，其中2个新品完成小试，神经酸项目实现产量突破，基数脂肪酸产品实现落地，预计2027年一季度中试落地。裂殖壶藻粉产品顺利交付，赋能饲料客户产品升级，小球藻粉产品排产规划中，有望2026年三季度落地交付。截至2026年6月，青岛分公司新申请专利4项，申报青岛科技创新项目1项；</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②青岛未来移动医疗科技有限公司：绿色抗氧化剂L-AP新签订单5吨，实现销售额近50万元。创新小型雾化器产品H6，2025年获得美国FDA注册证；VHC全球高端罐式雾化器F6系列，2026年获得NMPA/FDA和CEMDR；</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青岛无疆技术有限公司：J工整船智能系统方案有新的大客户（DF15）突破，新能源船艇方面新开发福建省大客户并签署长期战略合作协议及销售合同，新能源智能海钓艇业务布局已建设青岛崂山区销售展示中心；</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④物元半导体技术（青岛）有限公司企业核心经营目标是2026年三季度达到2万片/月产能，截至4月底，企业月产能已达到1万片，预计三季度能达到满产；</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⑤青岛国信制药有限公司：BG136核心创新管线取得进展。BG136完成单用I期临床数据总结，安全性达标并满足联用PD-1要求；联用PD-1在肺癌模型中最优方案抑瘤效果较PD-1单药提升31.1%，获临床专家高度认可。甘糖酯片完成临床前药效、药理及药学研究，核心靶点抑制率超93%，正有序推动临床CR0筛选。LY104完成立项评估，启动药学研究与临床CR0招标，近期完成与海药院合作协议签订。研发进程方面，4月底完成在研管线进度梳理与计划重排，上半年BG136完成PD-1联用Pre-IND申报；LY104完成协议签订并启动临床前工作；甘糖酯片提交IND申报。至少完成1个新项目的立项调研及审批。</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根据评分要点，得10分。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018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w:t>
            </w:r>
          </w:p>
        </w:tc>
      </w:tr>
      <w:tr w14:paraId="3526DF8B">
        <w:trPr>
          <w:trHeight w:val="2922"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A37E4">
            <w:pPr>
              <w:jc w:val="center"/>
              <w:rPr>
                <w:rFonts w:hint="eastAsia" w:ascii="仿宋_GB2312" w:hAnsi="宋体" w:eastAsia="仿宋_GB2312" w:cs="仿宋_GB2312"/>
                <w:i w:val="0"/>
                <w:iCs w:val="0"/>
                <w:color w:val="000000"/>
                <w:sz w:val="21"/>
                <w:szCs w:val="21"/>
                <w:u w:val="none"/>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9A521">
            <w:pPr>
              <w:jc w:val="center"/>
              <w:rPr>
                <w:rFonts w:hint="eastAsia" w:ascii="仿宋_GB2312" w:hAnsi="宋体" w:eastAsia="仿宋_GB2312" w:cs="仿宋_GB2312"/>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1A3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可持续影响（10分）</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649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监管及循环机制健全性（10分）</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F94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考核项目风险防控、止损处置、容错免责、投后管理等长效机制建设及运行成效，评价政策可持续性。</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599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①受托管理机构应制定容错容损办法，明确尽职免责范围、情形及程序；</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②建立项目监督管理、风险防控全流程机制；</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③是否按照《科技股权投资资金委托管理协议》约定进行投后管理等投资完成后的工作；</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④是否按照《股权协议》约定进行投后管理等投资完成后的工作。</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评分规则：每发现1处不符合上述评价要点的扣1分，扣完为止。</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2030">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未制定容错容损工作制度。青科字〔2024〕15号文件规定，“受托管理机构应制定容错容损办法，明确尽职免责范围、情形及程序，对因不可预测市场波动等客观因素导致的投资损失，免予追责。”财通集团尚未按规定制定配套容错容损相关制度；扣1分。</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根据评分要点，得9分。</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806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w:t>
            </w:r>
          </w:p>
        </w:tc>
      </w:tr>
      <w:tr w14:paraId="50835D0A">
        <w:trPr>
          <w:trHeight w:val="336"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65E8">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合计</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4DD0">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633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9AD0">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100</w:t>
            </w:r>
          </w:p>
        </w:tc>
        <w:tc>
          <w:tcPr>
            <w:tcW w:w="1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5EF3">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3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0307">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4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6FC9">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DE38">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u w:val="none"/>
              </w:rPr>
            </w:pPr>
            <w:r>
              <w:rPr>
                <w:rFonts w:hint="eastAsia" w:ascii="仿宋_GB2312" w:hAnsi="宋体" w:eastAsia="仿宋_GB2312" w:cs="仿宋_GB2312"/>
                <w:b/>
                <w:bCs/>
                <w:i w:val="0"/>
                <w:iCs w:val="0"/>
                <w:color w:val="000000"/>
                <w:kern w:val="0"/>
                <w:sz w:val="21"/>
                <w:szCs w:val="21"/>
                <w:u w:val="none"/>
                <w:lang w:val="en-US" w:eastAsia="zh-CN" w:bidi="ar"/>
              </w:rPr>
              <w:t>84.5</w:t>
            </w:r>
          </w:p>
        </w:tc>
      </w:tr>
    </w:tbl>
    <w:p w14:paraId="48DBD659">
      <w:pPr>
        <w:spacing w:line="600" w:lineRule="exact"/>
        <w:jc w:val="center"/>
        <w:outlineLvl w:val="0"/>
        <w:rPr>
          <w:rFonts w:hint="eastAsia" w:ascii="方正小标宋简体" w:hAnsi="方正小标宋简体" w:eastAsia="方正小标宋简体" w:cs="方正小标宋简体"/>
          <w:sz w:val="36"/>
          <w:szCs w:val="44"/>
        </w:rPr>
        <w:sectPr>
          <w:pgSz w:w="16838" w:h="11906" w:orient="landscape"/>
          <w:pgMar w:top="1440" w:right="1800" w:bottom="1440" w:left="1800" w:header="851" w:footer="1361" w:gutter="0"/>
          <w:pgNumType w:fmt="decimal"/>
          <w:cols w:space="0" w:num="1"/>
          <w:docGrid w:linePitch="312" w:charSpace="0"/>
        </w:sectPr>
      </w:pPr>
    </w:p>
    <w:p w14:paraId="62682D87">
      <w:pPr>
        <w:rPr>
          <w:rFonts w:hint="eastAsia" w:ascii="黑体" w:hAnsi="黑体" w:eastAsia="黑体" w:cs="黑体"/>
          <w:sz w:val="32"/>
          <w:szCs w:val="40"/>
        </w:rPr>
      </w:pPr>
      <w:r>
        <w:rPr>
          <w:rFonts w:ascii="Times New Roman Regular" w:hAnsi="Times New Roman Regular" w:eastAsia="黑体" w:cs="Times New Roman Regular"/>
          <w:sz w:val="32"/>
          <w:szCs w:val="40"/>
        </w:rPr>
        <w:t>附</w:t>
      </w:r>
      <w:r>
        <w:rPr>
          <w:rFonts w:hint="eastAsia" w:ascii="黑体" w:hAnsi="黑体" w:eastAsia="黑体" w:cs="黑体"/>
          <w:sz w:val="32"/>
          <w:szCs w:val="40"/>
        </w:rPr>
        <w:t>件3：</w:t>
      </w:r>
    </w:p>
    <w:p w14:paraId="7792DFAB">
      <w:pPr>
        <w:spacing w:line="600" w:lineRule="exact"/>
        <w:jc w:val="center"/>
        <w:outlineLvl w:val="0"/>
        <w:rPr>
          <w:rFonts w:hint="eastAsia" w:ascii="方正小标宋简体" w:hAnsi="方正小标宋简体" w:eastAsia="方正小标宋简体" w:cs="方正小标宋简体"/>
          <w:sz w:val="44"/>
          <w:szCs w:val="44"/>
        </w:rPr>
      </w:pPr>
      <w:bookmarkStart w:id="62" w:name="_Toc381818430"/>
      <w:bookmarkStart w:id="63" w:name="_Toc637112442"/>
      <w:bookmarkStart w:id="64" w:name="_Toc12577"/>
      <w:bookmarkStart w:id="65" w:name="_Toc1329399316"/>
      <w:bookmarkStart w:id="66" w:name="_Toc1207308889"/>
      <w:r>
        <w:rPr>
          <w:rFonts w:hint="eastAsia" w:ascii="方正小标宋简体" w:hAnsi="方正小标宋简体" w:eastAsia="方正小标宋简体" w:cs="方正小标宋简体"/>
          <w:sz w:val="44"/>
          <w:szCs w:val="44"/>
        </w:rPr>
        <w:t>科技股权投资专项（含省市股权联动）政策问题清单</w:t>
      </w:r>
      <w:bookmarkEnd w:id="62"/>
      <w:bookmarkEnd w:id="63"/>
      <w:bookmarkEnd w:id="64"/>
      <w:bookmarkEnd w:id="65"/>
      <w:bookmarkEnd w:id="66"/>
    </w:p>
    <w:tbl>
      <w:tblPr>
        <w:tblStyle w:val="14"/>
        <w:tblW w:w="13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9"/>
        <w:gridCol w:w="775"/>
        <w:gridCol w:w="9913"/>
        <w:gridCol w:w="1800"/>
      </w:tblGrid>
      <w:tr w14:paraId="159C2D2B">
        <w:trPr>
          <w:trHeight w:val="363" w:hRule="atLeast"/>
          <w:tblHeader/>
          <w:jc w:val="center"/>
        </w:trPr>
        <w:tc>
          <w:tcPr>
            <w:tcW w:w="1299"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63FA122">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default" w:ascii="黑体" w:hAnsi="宋体" w:eastAsia="黑体" w:cs="黑体"/>
                <w:i w:val="0"/>
                <w:iCs w:val="0"/>
                <w:color w:val="000000"/>
                <w:kern w:val="0"/>
                <w:sz w:val="24"/>
                <w:szCs w:val="24"/>
                <w:u w:val="none"/>
                <w:lang w:val="en-US" w:eastAsia="zh-CN" w:bidi="ar"/>
              </w:rPr>
              <w:t>问题分类</w:t>
            </w:r>
          </w:p>
        </w:tc>
        <w:tc>
          <w:tcPr>
            <w:tcW w:w="77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8B426D5">
            <w:pPr>
              <w:keepNext w:val="0"/>
              <w:keepLines w:val="0"/>
              <w:widowControl/>
              <w:suppressLineNumbers w:val="0"/>
              <w:jc w:val="center"/>
              <w:textAlignment w:val="center"/>
              <w:rPr>
                <w:rFonts w:hint="default" w:ascii="黑体" w:hAnsi="宋体" w:eastAsia="黑体" w:cs="黑体"/>
                <w:i w:val="0"/>
                <w:iCs w:val="0"/>
                <w:color w:val="000000"/>
                <w:sz w:val="24"/>
                <w:szCs w:val="24"/>
                <w:u w:val="none"/>
              </w:rPr>
            </w:pPr>
            <w:r>
              <w:rPr>
                <w:rFonts w:hint="default" w:ascii="黑体" w:hAnsi="宋体" w:eastAsia="黑体" w:cs="黑体"/>
                <w:i w:val="0"/>
                <w:iCs w:val="0"/>
                <w:color w:val="000000"/>
                <w:kern w:val="0"/>
                <w:sz w:val="24"/>
                <w:szCs w:val="24"/>
                <w:u w:val="none"/>
                <w:lang w:val="en-US" w:eastAsia="zh-CN" w:bidi="ar"/>
              </w:rPr>
              <w:t>序号</w:t>
            </w:r>
          </w:p>
        </w:tc>
        <w:tc>
          <w:tcPr>
            <w:tcW w:w="991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55FC18F5">
            <w:pPr>
              <w:keepNext w:val="0"/>
              <w:keepLines w:val="0"/>
              <w:widowControl/>
              <w:suppressLineNumbers w:val="0"/>
              <w:jc w:val="center"/>
              <w:textAlignment w:val="top"/>
              <w:rPr>
                <w:rFonts w:hint="default" w:ascii="黑体" w:hAnsi="宋体" w:eastAsia="黑体" w:cs="黑体"/>
                <w:i w:val="0"/>
                <w:iCs w:val="0"/>
                <w:color w:val="000000"/>
                <w:sz w:val="24"/>
                <w:szCs w:val="24"/>
                <w:u w:val="none"/>
              </w:rPr>
            </w:pPr>
            <w:r>
              <w:rPr>
                <w:rFonts w:hint="default" w:ascii="黑体" w:hAnsi="宋体" w:eastAsia="黑体" w:cs="黑体"/>
                <w:i w:val="0"/>
                <w:iCs w:val="0"/>
                <w:color w:val="000000"/>
                <w:kern w:val="0"/>
                <w:sz w:val="24"/>
                <w:szCs w:val="24"/>
                <w:u w:val="none"/>
                <w:lang w:val="en-US" w:eastAsia="zh-CN" w:bidi="ar"/>
              </w:rPr>
              <w:t>问题描述</w:t>
            </w:r>
          </w:p>
        </w:tc>
        <w:tc>
          <w:tcPr>
            <w:tcW w:w="180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A41AF03">
            <w:pPr>
              <w:keepNext w:val="0"/>
              <w:keepLines w:val="0"/>
              <w:widowControl/>
              <w:suppressLineNumbers w:val="0"/>
              <w:jc w:val="center"/>
              <w:textAlignment w:val="center"/>
              <w:rPr>
                <w:rFonts w:hint="default" w:ascii="黑体" w:hAnsi="宋体" w:eastAsia="黑体" w:cs="黑体"/>
                <w:i w:val="0"/>
                <w:iCs w:val="0"/>
                <w:color w:val="000000"/>
                <w:sz w:val="24"/>
                <w:szCs w:val="24"/>
                <w:u w:val="none"/>
              </w:rPr>
            </w:pPr>
            <w:r>
              <w:rPr>
                <w:rFonts w:hint="default" w:ascii="黑体" w:hAnsi="宋体" w:eastAsia="黑体" w:cs="黑体"/>
                <w:i w:val="0"/>
                <w:iCs w:val="0"/>
                <w:color w:val="000000"/>
                <w:kern w:val="0"/>
                <w:sz w:val="24"/>
                <w:szCs w:val="24"/>
                <w:u w:val="none"/>
                <w:lang w:val="en-US" w:eastAsia="zh-CN" w:bidi="ar"/>
              </w:rPr>
              <w:t>项目责任单位</w:t>
            </w:r>
          </w:p>
        </w:tc>
      </w:tr>
      <w:tr w14:paraId="3348CDA6">
        <w:trPr>
          <w:trHeight w:val="1313" w:hRule="atLeast"/>
          <w:jc w:val="center"/>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45132">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8CD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EB91">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color w:val="000000"/>
                <w:kern w:val="0"/>
                <w:szCs w:val="21"/>
                <w:u w:val="none"/>
                <w:lang w:bidi="ar"/>
              </w:rPr>
              <w:t>专项资金专户管理不完善。根据《科技股权投资资金委托管理协议》，“第十三条 甲方向丙方拨付托管资金后，丙方（财通集团）将资金拨付至在托管银行开立的监管账户，由托管银行按照银行托管协议履行相应监管权力及义务”。2025年11月11日市科技局首次拨付5000万元市级股权投资资金，财通集团2025年12月5日完成托管专户开立，未在专户设立后及时全额划转至指定托管账户，而是在对外投资出资时再划入专户对外拨付相应款项。</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62F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青岛财通集团有限公司</w:t>
            </w:r>
          </w:p>
        </w:tc>
      </w:tr>
      <w:tr w14:paraId="5FF99FCE">
        <w:trPr>
          <w:trHeight w:val="940" w:hRule="atLeast"/>
          <w:jc w:val="center"/>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0FB6">
            <w:pPr>
              <w:jc w:val="center"/>
              <w:rPr>
                <w:rFonts w:hint="eastAsia" w:ascii="仿宋_GB2312" w:hAnsi="宋体" w:eastAsia="仿宋_GB2312" w:cs="仿宋_GB2312"/>
                <w:i w:val="0"/>
                <w:iCs w:val="0"/>
                <w:color w:val="000000"/>
                <w:sz w:val="21"/>
                <w:szCs w:val="21"/>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4AC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2F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color w:val="000000"/>
                <w:kern w:val="0"/>
                <w:szCs w:val="21"/>
                <w:u w:val="none"/>
                <w:lang w:bidi="ar"/>
              </w:rPr>
              <w:t>年度财务报告、业务报告未报送。青科字〔2024〕15号文件要求，“财通集团每半年须向市科技局、市财政局报告股权投资清单及整体运作情况，并在每年4月30日前提交受托管理的财政资金年度财务报告和年度业务报告”。财通集团未在2026年4月30日前完成财务、业务报告报送工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BB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青岛市科技局/青岛财通集团有限公司</w:t>
            </w:r>
          </w:p>
        </w:tc>
      </w:tr>
      <w:tr w14:paraId="32898EDA">
        <w:trPr>
          <w:trHeight w:val="810" w:hRule="atLeast"/>
          <w:jc w:val="center"/>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A9BE6">
            <w:pPr>
              <w:jc w:val="center"/>
              <w:rPr>
                <w:rFonts w:hint="eastAsia" w:ascii="仿宋_GB2312" w:hAnsi="宋体" w:eastAsia="仿宋_GB2312" w:cs="仿宋_GB2312"/>
                <w:i w:val="0"/>
                <w:iCs w:val="0"/>
                <w:color w:val="000000"/>
                <w:sz w:val="21"/>
                <w:szCs w:val="21"/>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570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FB2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color w:val="000000"/>
                <w:kern w:val="0"/>
                <w:szCs w:val="21"/>
                <w:u w:val="none"/>
                <w:lang w:bidi="ar"/>
              </w:rPr>
              <w:t>资金拨付主体为入库项目母公司。青科字〔2024〕15号文件规定，“受托管理机构按照投资决策与被投资企业签订股权投资协议”，“受托管理机构按照股权投资协议，将股权投资资金划入被投资企业银行账户。”市科技局推送入库企业为青岛合碳创物科技有限公司，财通集团基于商业谈判与该企业母公司杭州合碳创物科技有限公司签订股权投资协议，并约定投资资金全部用于青岛合碳，投资后杭州合碳于2026年4月24日将资金全额汇至青岛合碳用于其业务开展。</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602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青岛财通集团有限公司</w:t>
            </w:r>
          </w:p>
        </w:tc>
      </w:tr>
      <w:tr w14:paraId="3273F92C">
        <w:trPr>
          <w:trHeight w:val="634" w:hRule="atLeast"/>
          <w:jc w:val="center"/>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D768">
            <w:pPr>
              <w:jc w:val="center"/>
              <w:rPr>
                <w:rFonts w:hint="eastAsia" w:ascii="仿宋_GB2312" w:hAnsi="宋体" w:eastAsia="仿宋_GB2312" w:cs="仿宋_GB2312"/>
                <w:i w:val="0"/>
                <w:iCs w:val="0"/>
                <w:color w:val="000000"/>
                <w:sz w:val="21"/>
                <w:szCs w:val="21"/>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3B4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373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sz w:val="21"/>
                <w:szCs w:val="21"/>
                <w:u w:val="none"/>
              </w:rPr>
              <w:t>科技股权投资协议部分</w:t>
            </w:r>
            <w:r>
              <w:rPr>
                <w:rFonts w:hint="eastAsia" w:ascii="仿宋_GB2312" w:hAnsi="宋体" w:eastAsia="仿宋_GB2312" w:cs="仿宋_GB2312"/>
                <w:i w:val="0"/>
                <w:iCs w:val="0"/>
                <w:color w:val="000000"/>
                <w:sz w:val="21"/>
                <w:szCs w:val="21"/>
                <w:u w:val="none"/>
                <w:lang w:val="en-US" w:eastAsia="zh-CN"/>
              </w:rPr>
              <w:t>内容</w:t>
            </w:r>
            <w:r>
              <w:rPr>
                <w:rFonts w:hint="eastAsia" w:ascii="仿宋_GB2312" w:hAnsi="宋体" w:eastAsia="仿宋_GB2312" w:cs="仿宋_GB2312"/>
                <w:i w:val="0"/>
                <w:iCs w:val="0"/>
                <w:color w:val="000000"/>
                <w:sz w:val="21"/>
                <w:szCs w:val="21"/>
                <w:u w:val="none"/>
              </w:rPr>
              <w:t>约定不够明晰。</w:t>
            </w:r>
            <w:r>
              <w:rPr>
                <w:rFonts w:hint="eastAsia" w:ascii="仿宋_GB2312" w:hAnsi="宋体" w:eastAsia="仿宋_GB2312" w:cs="仿宋_GB2312"/>
                <w:i w:val="0"/>
                <w:iCs w:val="0"/>
                <w:color w:val="000000"/>
                <w:sz w:val="21"/>
                <w:szCs w:val="21"/>
                <w:u w:val="none"/>
                <w:lang w:val="en-US" w:eastAsia="zh-CN"/>
              </w:rPr>
              <w:t>财通集团</w:t>
            </w:r>
            <w:r>
              <w:rPr>
                <w:rFonts w:hint="eastAsia" w:ascii="仿宋_GB2312" w:hAnsi="宋体" w:eastAsia="仿宋_GB2312" w:cs="仿宋_GB2312"/>
                <w:i w:val="0"/>
                <w:iCs w:val="0"/>
                <w:color w:val="000000"/>
                <w:sz w:val="21"/>
                <w:szCs w:val="21"/>
                <w:u w:val="none"/>
              </w:rPr>
              <w:t>在实际执行中，部分协议对投资项目建设、验收方案、管理及技术团队建设等关键内容约定较为笼统，导致不同项目股权投资协议相关条款表述口径不够明晰。</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D40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青岛财通集团有限公司</w:t>
            </w:r>
          </w:p>
        </w:tc>
      </w:tr>
      <w:tr w14:paraId="18B8BF94">
        <w:trPr>
          <w:trHeight w:val="90" w:hRule="atLeast"/>
          <w:jc w:val="center"/>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A42C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政策效果</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300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3CF5">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color w:val="000000"/>
                <w:kern w:val="0"/>
                <w:szCs w:val="21"/>
                <w:u w:val="none"/>
                <w:lang w:bidi="ar"/>
              </w:rPr>
              <w:t>2025年市科技局分两批累计向财通集团推送48个科技股权投资初选项目，年度计划完成市级股权投资项目10个，因核心投资环节具有刚性周期等原因，截至2026年5月31日，财通集团完成4个项目出资，仅占初选项目总量的8.33%。从资金量来看，2025年初预算6000万元，另从科技专项资金调剂5656.7万元，市科技局在2025年11月11日、11月21日、12月23日累计拨付至财通集团资金11656.7万元，其中市级股权投资项目资金8656.7万元，省市联动项目资金3000万元，截至2026年5月31日，财通集团实际出资7000万元，整体资金完成率60.05%。其中，省市联动项目出资已完成，市级股权投资项目完成46.2%。另外1个项目因投资方较多、分批次交割尚未完成工商变更、章程登记工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5236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青岛市科技局/青岛财通集团有限公司</w:t>
            </w:r>
          </w:p>
        </w:tc>
      </w:tr>
      <w:tr w14:paraId="6F226B08">
        <w:trPr>
          <w:trHeight w:val="729" w:hRule="atLeast"/>
          <w:jc w:val="center"/>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8F735">
            <w:pPr>
              <w:jc w:val="center"/>
              <w:rPr>
                <w:rFonts w:hint="eastAsia" w:ascii="仿宋_GB2312" w:hAnsi="宋体" w:eastAsia="仿宋_GB2312" w:cs="仿宋_GB2312"/>
                <w:i w:val="0"/>
                <w:iCs w:val="0"/>
                <w:color w:val="000000"/>
                <w:sz w:val="21"/>
                <w:szCs w:val="21"/>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13B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55FD">
            <w:pPr>
              <w:keepNext w:val="0"/>
              <w:keepLines w:val="0"/>
              <w:widowControl/>
              <w:suppressLineNumbers w:val="0"/>
              <w:jc w:val="both"/>
              <w:textAlignment w:val="top"/>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未制定容错容损工作制度。青科字〔2024〕15号文件规定，“受托管理机构应制定容错容损办法，明确尽职免责范围、情形及程序，对因不可预测市场波动等客观因素导致的投资损失，免予追责。”财通集团未按规定制定配套容错容损相关制度。</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DED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青岛市科技局/青岛财通集团有限公司</w:t>
            </w:r>
          </w:p>
        </w:tc>
      </w:tr>
      <w:tr w14:paraId="444A3B44">
        <w:trPr>
          <w:trHeight w:val="1165" w:hRule="atLeast"/>
          <w:jc w:val="center"/>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AE32">
            <w:pPr>
              <w:jc w:val="center"/>
              <w:rPr>
                <w:rFonts w:hint="eastAsia" w:ascii="仿宋_GB2312" w:hAnsi="宋体" w:eastAsia="仿宋_GB2312" w:cs="仿宋_GB2312"/>
                <w:i w:val="0"/>
                <w:iCs w:val="0"/>
                <w:color w:val="000000"/>
                <w:sz w:val="21"/>
                <w:szCs w:val="21"/>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260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ACCB">
            <w:pPr>
              <w:keepNext w:val="0"/>
              <w:keepLines w:val="0"/>
              <w:widowControl/>
              <w:suppressLineNumbers w:val="0"/>
              <w:jc w:val="both"/>
              <w:textAlignment w:val="top"/>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color w:val="000000"/>
                <w:kern w:val="0"/>
                <w:szCs w:val="21"/>
                <w:u w:val="none"/>
                <w:lang w:bidi="ar"/>
              </w:rPr>
              <w:t>一家企业未</w:t>
            </w:r>
            <w:r>
              <w:rPr>
                <w:rFonts w:hint="eastAsia" w:ascii="仿宋_GB2312" w:hAnsi="宋体" w:eastAsia="仿宋_GB2312" w:cs="仿宋_GB2312"/>
                <w:color w:val="000000"/>
                <w:kern w:val="0"/>
                <w:szCs w:val="21"/>
                <w:u w:val="none"/>
                <w:lang w:val="en-US" w:eastAsia="zh-CN" w:bidi="ar"/>
              </w:rPr>
              <w:t>及时</w:t>
            </w:r>
            <w:r>
              <w:rPr>
                <w:rFonts w:hint="eastAsia" w:ascii="仿宋_GB2312" w:hAnsi="宋体" w:eastAsia="仿宋_GB2312" w:cs="仿宋_GB2312"/>
                <w:color w:val="000000"/>
                <w:kern w:val="0"/>
                <w:szCs w:val="21"/>
                <w:u w:val="none"/>
                <w:lang w:bidi="ar"/>
              </w:rPr>
              <w:t>完成工商变更登记、章程修改工作。青科字〔2024〕15号文件规定，“受托管理机构督促被投资企业原则上须在投资完成之日起30日内完成章程修改、企业登记变更等工作”以及根据青岛合碳创物科技有限公司投资协议约定，截至2026年5月31日，青岛合碳创物科技有限公司尚未完成工商变更登记、章程修改工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E80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青岛财通集团有限公司</w:t>
            </w:r>
          </w:p>
        </w:tc>
      </w:tr>
      <w:tr w14:paraId="2AAFE76D">
        <w:trPr>
          <w:trHeight w:val="336" w:hRule="atLeast"/>
          <w:jc w:val="center"/>
        </w:trPr>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C08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备注：</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F85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05D5">
            <w:pPr>
              <w:keepNext w:val="0"/>
              <w:keepLines w:val="0"/>
              <w:widowControl/>
              <w:suppressLineNumbers w:val="0"/>
              <w:jc w:val="center"/>
              <w:textAlignment w:val="top"/>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B0A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r>
    </w:tbl>
    <w:p w14:paraId="516E6D7C">
      <w:pPr>
        <w:spacing w:line="600" w:lineRule="exact"/>
        <w:jc w:val="center"/>
        <w:outlineLvl w:val="0"/>
        <w:rPr>
          <w:rFonts w:hint="eastAsia" w:ascii="方正小标宋简体" w:hAnsi="方正小标宋简体" w:eastAsia="方正小标宋简体" w:cs="方正小标宋简体"/>
          <w:sz w:val="44"/>
          <w:szCs w:val="44"/>
        </w:rPr>
        <w:sectPr>
          <w:pgSz w:w="16838" w:h="11906" w:orient="landscape"/>
          <w:pgMar w:top="1440" w:right="1800" w:bottom="1440" w:left="1800" w:header="851" w:footer="1361" w:gutter="0"/>
          <w:pgNumType w:fmt="decimal"/>
          <w:cols w:space="0" w:num="1"/>
          <w:docGrid w:linePitch="312" w:charSpace="0"/>
        </w:sectPr>
      </w:pPr>
    </w:p>
    <w:p w14:paraId="3B0C1541">
      <w:pPr>
        <w:rPr>
          <w:rFonts w:hint="eastAsia" w:ascii="黑体" w:hAnsi="黑体" w:eastAsia="黑体" w:cs="黑体"/>
          <w:b w:val="0"/>
          <w:bCs w:val="0"/>
          <w:sz w:val="32"/>
          <w:szCs w:val="40"/>
          <w:lang w:val="en-US" w:eastAsia="zh-CN"/>
        </w:rPr>
      </w:pPr>
      <w:r>
        <w:rPr>
          <w:rFonts w:hint="default" w:ascii="Times New Roman Regular" w:hAnsi="Times New Roman Regular" w:eastAsia="黑体" w:cs="Times New Roman Regular"/>
          <w:b w:val="0"/>
          <w:bCs w:val="0"/>
          <w:sz w:val="32"/>
          <w:szCs w:val="40"/>
        </w:rPr>
        <w:t>附</w:t>
      </w:r>
      <w:r>
        <w:rPr>
          <w:rFonts w:hint="eastAsia" w:ascii="黑体" w:hAnsi="黑体" w:eastAsia="黑体" w:cs="黑体"/>
          <w:b w:val="0"/>
          <w:bCs w:val="0"/>
          <w:sz w:val="32"/>
          <w:szCs w:val="40"/>
        </w:rPr>
        <w:t>件</w:t>
      </w:r>
      <w:r>
        <w:rPr>
          <w:rFonts w:hint="eastAsia" w:ascii="黑体" w:hAnsi="黑体" w:eastAsia="黑体" w:cs="黑体"/>
          <w:b w:val="0"/>
          <w:bCs w:val="0"/>
          <w:sz w:val="32"/>
          <w:szCs w:val="40"/>
          <w:lang w:val="en-US" w:eastAsia="zh-CN"/>
        </w:rPr>
        <w:t>4：</w:t>
      </w:r>
    </w:p>
    <w:p w14:paraId="4058E834">
      <w:pPr>
        <w:spacing w:line="600" w:lineRule="exact"/>
        <w:jc w:val="center"/>
        <w:outlineLvl w:val="0"/>
        <w:rPr>
          <w:rFonts w:hint="eastAsia" w:ascii="Times New Roman Regular" w:hAnsi="Times New Roman Regular" w:eastAsia="方正小标宋简体" w:cs="Times New Roman Regular"/>
          <w:sz w:val="36"/>
          <w:szCs w:val="36"/>
          <w:lang w:val="en-US" w:eastAsia="zh-CN"/>
        </w:rPr>
      </w:pPr>
      <w:bookmarkStart w:id="67" w:name="_Toc1815000567"/>
      <w:r>
        <w:rPr>
          <w:rFonts w:hint="eastAsia" w:ascii="Times New Roman Regular" w:hAnsi="Times New Roman Regular" w:eastAsia="方正小标宋简体" w:cs="Times New Roman Regular"/>
          <w:sz w:val="36"/>
          <w:szCs w:val="36"/>
          <w:lang w:val="en-US" w:eastAsia="zh-CN"/>
        </w:rPr>
        <w:t>科技股权投资专项（含省市股权联动）核心绩效指标</w:t>
      </w:r>
      <w:bookmarkEnd w:id="67"/>
    </w:p>
    <w:tbl>
      <w:tblPr>
        <w:tblStyle w:val="14"/>
        <w:tblW w:w="944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8"/>
        <w:gridCol w:w="1463"/>
        <w:gridCol w:w="1563"/>
        <w:gridCol w:w="2112"/>
        <w:gridCol w:w="3344"/>
      </w:tblGrid>
      <w:tr w14:paraId="6EEF6C47">
        <w:trPr>
          <w:trHeight w:val="336" w:hRule="atLeast"/>
        </w:trPr>
        <w:tc>
          <w:tcPr>
            <w:tcW w:w="96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570D9AB">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一级指标</w:t>
            </w:r>
          </w:p>
        </w:tc>
        <w:tc>
          <w:tcPr>
            <w:tcW w:w="146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562685FE">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二级指标</w:t>
            </w:r>
          </w:p>
        </w:tc>
        <w:tc>
          <w:tcPr>
            <w:tcW w:w="156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E01583F">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三级指标</w:t>
            </w:r>
          </w:p>
        </w:tc>
        <w:tc>
          <w:tcPr>
            <w:tcW w:w="211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3D78693">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指标解释</w:t>
            </w:r>
          </w:p>
        </w:tc>
        <w:tc>
          <w:tcPr>
            <w:tcW w:w="335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871529E">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指标来源（指标设置依据）</w:t>
            </w:r>
          </w:p>
        </w:tc>
      </w:tr>
      <w:tr w14:paraId="22A681E0">
        <w:trPr>
          <w:trHeight w:val="15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C54C3">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产出指标</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963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数量指标</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971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股权投资完成数</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BA47">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政策实施的实际产出数与计划产出数的比率，用以反映和考核项目产出数量目标的实现程度。</w:t>
            </w:r>
          </w:p>
        </w:tc>
        <w:tc>
          <w:tcPr>
            <w:tcW w:w="3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F3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单位绩效目标表</w:t>
            </w:r>
          </w:p>
        </w:tc>
      </w:tr>
      <w:tr w14:paraId="6B79851C">
        <w:trPr>
          <w:trHeight w:val="1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EB04B">
            <w:pPr>
              <w:jc w:val="center"/>
              <w:rPr>
                <w:rFonts w:hint="eastAsia" w:ascii="仿宋_GB2312" w:hAnsi="宋体" w:eastAsia="仿宋_GB2312" w:cs="仿宋_GB2312"/>
                <w:i w:val="0"/>
                <w:iCs w:val="0"/>
                <w:color w:val="000000"/>
                <w:sz w:val="21"/>
                <w:szCs w:val="21"/>
                <w:u w:val="none"/>
              </w:rPr>
            </w:pP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192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质量指标</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DDD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股权投资企业标准符合率</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B6C2">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政策完成的质量达标产出数与实际产出数的比率，用以反映和考核项目产出质量目标的实现程度。</w:t>
            </w:r>
          </w:p>
        </w:tc>
        <w:tc>
          <w:tcPr>
            <w:tcW w:w="3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D24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046ABD11">
        <w:trPr>
          <w:trHeight w:val="1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BCF91">
            <w:pPr>
              <w:jc w:val="center"/>
              <w:rPr>
                <w:rFonts w:hint="eastAsia" w:ascii="仿宋_GB2312" w:hAnsi="宋体" w:eastAsia="仿宋_GB2312" w:cs="仿宋_GB2312"/>
                <w:i w:val="0"/>
                <w:iCs w:val="0"/>
                <w:color w:val="000000"/>
                <w:sz w:val="21"/>
                <w:szCs w:val="21"/>
                <w:u w:val="none"/>
              </w:rPr>
            </w:pP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1D8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时效指标</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43F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股权投资工作完成及时率</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1D3E">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政策实际完成时间与计划完成时间的比较，用以反映和考核项目产出时效目标的实现程度。</w:t>
            </w:r>
          </w:p>
        </w:tc>
        <w:tc>
          <w:tcPr>
            <w:tcW w:w="3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818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19E336C9">
        <w:trPr>
          <w:trHeight w:val="156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D438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效益指标</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4A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社会效益指标</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B44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投资项目实施推进效益</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497F">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考核资金到位后项目实质性开展及目标推进情况。</w:t>
            </w:r>
          </w:p>
        </w:tc>
        <w:tc>
          <w:tcPr>
            <w:tcW w:w="3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7D5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r w14:paraId="664A2D6D">
        <w:trPr>
          <w:trHeight w:val="15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BDAE2">
            <w:pPr>
              <w:jc w:val="center"/>
              <w:rPr>
                <w:rFonts w:hint="eastAsia" w:ascii="仿宋_GB2312" w:hAnsi="宋体" w:eastAsia="仿宋_GB2312" w:cs="仿宋_GB2312"/>
                <w:i w:val="0"/>
                <w:iCs w:val="0"/>
                <w:color w:val="000000"/>
                <w:sz w:val="21"/>
                <w:szCs w:val="21"/>
                <w:u w:val="none"/>
              </w:rPr>
            </w:pP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769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可持续影响指标</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B7A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监管及循环机制健全性</w:t>
            </w:r>
          </w:p>
        </w:tc>
        <w:tc>
          <w:tcPr>
            <w:tcW w:w="2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032F">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考核项目风险防控、止损处置、容错免责、投后管理等长效机制建设及运行成效，评价政策可持续性。</w:t>
            </w:r>
          </w:p>
        </w:tc>
        <w:tc>
          <w:tcPr>
            <w:tcW w:w="3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BC7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《青岛市市级财政科技股权投资专项管理办法（试行）》（青科字〔2024〕15号）、《股权投资协议》《科技股权投资资金委托管理协议》</w:t>
            </w:r>
          </w:p>
        </w:tc>
      </w:tr>
    </w:tbl>
    <w:p w14:paraId="1491C80B">
      <w:pPr>
        <w:rPr>
          <w:rFonts w:hint="eastAsia" w:ascii="Times New Roman Regular" w:hAnsi="Times New Roman Regular" w:eastAsia="方正小标宋简体" w:cs="Times New Roman Regular"/>
          <w:sz w:val="36"/>
          <w:szCs w:val="36"/>
          <w:lang w:val="en-US" w:eastAsia="zh-CN"/>
        </w:rPr>
      </w:pPr>
    </w:p>
    <w:p w14:paraId="7F4F4962">
      <w:pPr>
        <w:spacing w:line="600" w:lineRule="exact"/>
        <w:jc w:val="center"/>
        <w:outlineLvl w:val="0"/>
        <w:rPr>
          <w:rFonts w:hint="eastAsia" w:ascii="Times New Roman Regular" w:hAnsi="Times New Roman Regular" w:eastAsia="方正小标宋简体" w:cs="Times New Roman Regular"/>
          <w:sz w:val="36"/>
          <w:szCs w:val="36"/>
          <w:lang w:val="en-US" w:eastAsia="zh-CN"/>
        </w:rPr>
        <w:sectPr>
          <w:pgSz w:w="11906" w:h="16838"/>
          <w:pgMar w:top="1800" w:right="1440" w:bottom="1800" w:left="1440" w:header="851" w:footer="1361" w:gutter="0"/>
          <w:pgNumType w:fmt="decimal"/>
          <w:cols w:space="0" w:num="1"/>
          <w:docGrid w:linePitch="312" w:charSpace="0"/>
        </w:sectPr>
      </w:pPr>
    </w:p>
    <w:p w14:paraId="217BDA99">
      <w:pPr>
        <w:rPr>
          <w:rFonts w:ascii="Times New Roman Regular" w:hAnsi="Times New Roman Regular" w:eastAsia="黑体" w:cs="Times New Roman Regular"/>
          <w:sz w:val="32"/>
          <w:szCs w:val="40"/>
        </w:rPr>
      </w:pPr>
      <w:r>
        <w:rPr>
          <w:rFonts w:hint="default" w:ascii="Times New Roman Regular" w:hAnsi="Times New Roman Regular" w:eastAsia="黑体" w:cs="Times New Roman Regular"/>
          <w:b w:val="0"/>
          <w:bCs w:val="0"/>
          <w:sz w:val="32"/>
          <w:szCs w:val="40"/>
        </w:rPr>
        <w:t>附</w:t>
      </w:r>
      <w:r>
        <w:rPr>
          <w:rFonts w:hint="eastAsia" w:ascii="黑体" w:hAnsi="黑体" w:eastAsia="黑体" w:cs="黑体"/>
          <w:b w:val="0"/>
          <w:bCs w:val="0"/>
          <w:sz w:val="32"/>
          <w:szCs w:val="40"/>
        </w:rPr>
        <w:t>件</w:t>
      </w:r>
      <w:r>
        <w:rPr>
          <w:rFonts w:hint="eastAsia" w:ascii="黑体" w:hAnsi="黑体" w:eastAsia="黑体" w:cs="黑体"/>
          <w:b w:val="0"/>
          <w:bCs w:val="0"/>
          <w:sz w:val="32"/>
          <w:szCs w:val="40"/>
          <w:lang w:val="en-US" w:eastAsia="zh-CN"/>
        </w:rPr>
        <w:t>5</w:t>
      </w:r>
      <w:r>
        <w:rPr>
          <w:rFonts w:hint="eastAsia" w:ascii="黑体" w:hAnsi="黑体" w:eastAsia="黑体" w:cs="黑体"/>
          <w:b w:val="0"/>
          <w:bCs w:val="0"/>
          <w:sz w:val="32"/>
          <w:szCs w:val="40"/>
        </w:rPr>
        <w:t>：</w:t>
      </w:r>
    </w:p>
    <w:p w14:paraId="60D9E7E5">
      <w:pPr>
        <w:spacing w:line="600" w:lineRule="exact"/>
        <w:jc w:val="center"/>
        <w:outlineLvl w:val="0"/>
        <w:rPr>
          <w:rFonts w:hint="eastAsia" w:ascii="Times New Roman Regular" w:hAnsi="Times New Roman Regular" w:eastAsia="方正小标宋简体" w:cs="Times New Roman Regular"/>
          <w:sz w:val="36"/>
          <w:szCs w:val="36"/>
          <w:lang w:val="en-US" w:eastAsia="zh-CN"/>
        </w:rPr>
      </w:pPr>
      <w:bookmarkStart w:id="68" w:name="_Toc1856807581"/>
      <w:r>
        <w:rPr>
          <w:rFonts w:hint="eastAsia" w:ascii="Times New Roman Regular" w:hAnsi="Times New Roman Regular" w:eastAsia="方正小标宋简体" w:cs="Times New Roman Regular"/>
          <w:sz w:val="36"/>
          <w:szCs w:val="36"/>
          <w:lang w:val="en-US" w:eastAsia="zh-CN"/>
        </w:rPr>
        <w:t>评价</w:t>
      </w:r>
      <w:r>
        <w:rPr>
          <w:rFonts w:hint="eastAsia" w:ascii="Times New Roman Regular" w:hAnsi="Times New Roman Regular" w:eastAsia="方正小标宋简体" w:cs="Times New Roman Regular"/>
          <w:sz w:val="36"/>
          <w:szCs w:val="36"/>
        </w:rPr>
        <w:t>人员分工表</w:t>
      </w:r>
      <w:bookmarkEnd w:id="68"/>
    </w:p>
    <w:tbl>
      <w:tblPr>
        <w:tblStyle w:val="14"/>
        <w:tblW w:w="0" w:type="auto"/>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6"/>
        <w:gridCol w:w="2252"/>
        <w:gridCol w:w="2378"/>
        <w:gridCol w:w="2928"/>
      </w:tblGrid>
      <w:tr w14:paraId="77FF0C54">
        <w:trPr>
          <w:trHeight w:val="441" w:hRule="atLeast"/>
        </w:trPr>
        <w:tc>
          <w:tcPr>
            <w:tcW w:w="1596"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2B09E8D">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姓名</w:t>
            </w:r>
          </w:p>
        </w:tc>
        <w:tc>
          <w:tcPr>
            <w:tcW w:w="225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FBDDA7F">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职称</w:t>
            </w:r>
          </w:p>
        </w:tc>
        <w:tc>
          <w:tcPr>
            <w:tcW w:w="23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C40B014">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项目角色</w:t>
            </w:r>
          </w:p>
        </w:tc>
        <w:tc>
          <w:tcPr>
            <w:tcW w:w="292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28193820">
            <w:pPr>
              <w:keepNext w:val="0"/>
              <w:keepLines w:val="0"/>
              <w:widowControl/>
              <w:suppressLineNumbers w:val="0"/>
              <w:jc w:val="center"/>
              <w:textAlignment w:val="center"/>
              <w:rPr>
                <w:rFonts w:hint="default" w:ascii="黑体" w:hAnsi="宋体" w:eastAsia="黑体" w:cs="黑体"/>
                <w:i w:val="0"/>
                <w:iCs w:val="0"/>
                <w:color w:val="000000"/>
                <w:sz w:val="21"/>
                <w:szCs w:val="21"/>
                <w:u w:val="none"/>
              </w:rPr>
            </w:pPr>
            <w:r>
              <w:rPr>
                <w:rFonts w:hint="default" w:ascii="黑体" w:hAnsi="宋体" w:eastAsia="黑体" w:cs="黑体"/>
                <w:i w:val="0"/>
                <w:iCs w:val="0"/>
                <w:color w:val="000000"/>
                <w:kern w:val="0"/>
                <w:sz w:val="21"/>
                <w:szCs w:val="21"/>
                <w:u w:val="none"/>
                <w:lang w:val="en-US" w:eastAsia="zh-CN" w:bidi="ar"/>
              </w:rPr>
              <w:t>工作职责　</w:t>
            </w:r>
          </w:p>
        </w:tc>
      </w:tr>
      <w:tr w14:paraId="0049C9C4">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4FC1">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秦婷</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931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注册会计师</w:t>
            </w:r>
          </w:p>
          <w:p w14:paraId="012F302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高级会计师</w:t>
            </w:r>
          </w:p>
          <w:p w14:paraId="00DC533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税务师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78D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项目主评人</w:t>
            </w:r>
          </w:p>
        </w:tc>
        <w:tc>
          <w:tcPr>
            <w:tcW w:w="2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53C23">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负责制定实施方案；协调评价小组工作，组织实施评价活动；分析评价数据，撰写绩效评价报告，负责评价工作前期准备、实施阶段及报告撰写各个阶段统筹安排。</w:t>
            </w:r>
          </w:p>
        </w:tc>
      </w:tr>
      <w:tr w14:paraId="6C1DEE3D">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C2A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李言言</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14BC">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注册会计师</w:t>
            </w:r>
          </w:p>
          <w:p w14:paraId="4927C0B0">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税务师</w:t>
            </w:r>
          </w:p>
          <w:p w14:paraId="00D8CC6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6EA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项目经理</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A2C9B">
            <w:pPr>
              <w:jc w:val="center"/>
              <w:rPr>
                <w:rFonts w:hint="eastAsia" w:ascii="仿宋_GB2312" w:hAnsi="宋体" w:eastAsia="仿宋_GB2312" w:cs="仿宋_GB2312"/>
                <w:i w:val="0"/>
                <w:iCs w:val="0"/>
                <w:color w:val="000000"/>
                <w:sz w:val="21"/>
                <w:szCs w:val="21"/>
                <w:u w:val="none"/>
              </w:rPr>
            </w:pPr>
          </w:p>
        </w:tc>
      </w:tr>
      <w:tr w14:paraId="3127FDFC">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E59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王凯仟</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564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注册会计师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5A7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0E477">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协助资料整理、社会调研、数据统计工作。</w:t>
            </w:r>
          </w:p>
        </w:tc>
      </w:tr>
      <w:tr w14:paraId="05113EB3">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C0F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王本杰</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E20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FD2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3A664">
            <w:pPr>
              <w:jc w:val="center"/>
              <w:rPr>
                <w:rFonts w:hint="eastAsia" w:ascii="仿宋_GB2312" w:hAnsi="宋体" w:eastAsia="仿宋_GB2312" w:cs="仿宋_GB2312"/>
                <w:i w:val="0"/>
                <w:iCs w:val="0"/>
                <w:color w:val="000000"/>
                <w:sz w:val="21"/>
                <w:szCs w:val="21"/>
                <w:u w:val="none"/>
              </w:rPr>
            </w:pPr>
          </w:p>
        </w:tc>
      </w:tr>
      <w:tr w14:paraId="53EC1540">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3C2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程含笑</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F96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中级经济师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44C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4FCCF">
            <w:pPr>
              <w:jc w:val="center"/>
              <w:rPr>
                <w:rFonts w:hint="eastAsia" w:ascii="仿宋_GB2312" w:hAnsi="宋体" w:eastAsia="仿宋_GB2312" w:cs="仿宋_GB2312"/>
                <w:i w:val="0"/>
                <w:iCs w:val="0"/>
                <w:color w:val="000000"/>
                <w:sz w:val="21"/>
                <w:szCs w:val="21"/>
                <w:u w:val="none"/>
              </w:rPr>
            </w:pPr>
          </w:p>
        </w:tc>
      </w:tr>
      <w:tr w14:paraId="62948810">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33C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田洪玲</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E47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高级会计师</w:t>
            </w:r>
          </w:p>
          <w:p w14:paraId="65F8239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税务师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093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A998">
            <w:pPr>
              <w:jc w:val="center"/>
              <w:rPr>
                <w:rFonts w:hint="eastAsia" w:ascii="仿宋_GB2312" w:hAnsi="宋体" w:eastAsia="仿宋_GB2312" w:cs="仿宋_GB2312"/>
                <w:i w:val="0"/>
                <w:iCs w:val="0"/>
                <w:color w:val="000000"/>
                <w:sz w:val="21"/>
                <w:szCs w:val="21"/>
                <w:u w:val="none"/>
              </w:rPr>
            </w:pPr>
          </w:p>
        </w:tc>
      </w:tr>
      <w:tr w14:paraId="4FB94E00">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3D1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赵琳</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926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注册会计师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0D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E05B">
            <w:pPr>
              <w:jc w:val="center"/>
              <w:rPr>
                <w:rFonts w:hint="eastAsia" w:ascii="仿宋_GB2312" w:hAnsi="宋体" w:eastAsia="仿宋_GB2312" w:cs="仿宋_GB2312"/>
                <w:i w:val="0"/>
                <w:iCs w:val="0"/>
                <w:color w:val="000000"/>
                <w:sz w:val="21"/>
                <w:szCs w:val="21"/>
                <w:u w:val="none"/>
              </w:rPr>
            </w:pPr>
          </w:p>
        </w:tc>
      </w:tr>
      <w:tr w14:paraId="7319BFAD">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E9A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李欣如</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61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注册会计师中级会计师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E85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D0838">
            <w:pPr>
              <w:jc w:val="center"/>
              <w:rPr>
                <w:rFonts w:hint="eastAsia" w:ascii="仿宋_GB2312" w:hAnsi="宋体" w:eastAsia="仿宋_GB2312" w:cs="仿宋_GB2312"/>
                <w:i w:val="0"/>
                <w:iCs w:val="0"/>
                <w:color w:val="000000"/>
                <w:sz w:val="21"/>
                <w:szCs w:val="21"/>
                <w:u w:val="none"/>
              </w:rPr>
            </w:pPr>
          </w:p>
        </w:tc>
      </w:tr>
      <w:tr w14:paraId="2FC10544">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F8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郭永</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091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中级经济师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426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D471D">
            <w:pPr>
              <w:jc w:val="center"/>
              <w:rPr>
                <w:rFonts w:hint="eastAsia" w:ascii="仿宋_GB2312" w:hAnsi="宋体" w:eastAsia="仿宋_GB2312" w:cs="仿宋_GB2312"/>
                <w:i w:val="0"/>
                <w:iCs w:val="0"/>
                <w:color w:val="000000"/>
                <w:sz w:val="21"/>
                <w:szCs w:val="21"/>
                <w:u w:val="none"/>
              </w:rPr>
            </w:pPr>
          </w:p>
        </w:tc>
      </w:tr>
      <w:tr w14:paraId="2A7AC189">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81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马明香</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0B1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FD5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333C7">
            <w:pPr>
              <w:jc w:val="center"/>
              <w:rPr>
                <w:rFonts w:hint="eastAsia" w:ascii="仿宋_GB2312" w:hAnsi="宋体" w:eastAsia="仿宋_GB2312" w:cs="仿宋_GB2312"/>
                <w:i w:val="0"/>
                <w:iCs w:val="0"/>
                <w:color w:val="000000"/>
                <w:sz w:val="21"/>
                <w:szCs w:val="21"/>
                <w:u w:val="none"/>
              </w:rPr>
            </w:pPr>
          </w:p>
        </w:tc>
      </w:tr>
      <w:tr w14:paraId="71D056CC">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A88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肖玉飞</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3EB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中级会计师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6EC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项目组成员</w:t>
            </w:r>
          </w:p>
        </w:tc>
        <w:tc>
          <w:tcPr>
            <w:tcW w:w="2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8C08D">
            <w:pPr>
              <w:jc w:val="center"/>
              <w:rPr>
                <w:rFonts w:hint="eastAsia" w:ascii="仿宋_GB2312" w:hAnsi="宋体" w:eastAsia="仿宋_GB2312" w:cs="仿宋_GB2312"/>
                <w:i w:val="0"/>
                <w:iCs w:val="0"/>
                <w:color w:val="000000"/>
                <w:sz w:val="21"/>
                <w:szCs w:val="21"/>
                <w:u w:val="none"/>
              </w:rPr>
            </w:pPr>
          </w:p>
        </w:tc>
      </w:tr>
      <w:tr w14:paraId="7B401C38">
        <w:trPr>
          <w:trHeight w:val="336" w:hRule="atLeast"/>
        </w:trPr>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992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张成新</w:t>
            </w:r>
          </w:p>
        </w:tc>
        <w:tc>
          <w:tcPr>
            <w:tcW w:w="2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65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PMP项目管理师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7FC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质量审核</w:t>
            </w:r>
          </w:p>
        </w:tc>
        <w:tc>
          <w:tcPr>
            <w:tcW w:w="2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5257">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审核评价报告。</w:t>
            </w:r>
          </w:p>
        </w:tc>
      </w:tr>
    </w:tbl>
    <w:p w14:paraId="43B5400D">
      <w:pPr>
        <w:spacing w:line="600" w:lineRule="exact"/>
        <w:jc w:val="center"/>
        <w:outlineLvl w:val="0"/>
        <w:rPr>
          <w:rFonts w:hint="eastAsia" w:ascii="方正小标宋简体" w:hAnsi="方正小标宋简体" w:eastAsia="方正小标宋简体" w:cs="方正小标宋简体"/>
          <w:sz w:val="44"/>
          <w:szCs w:val="44"/>
        </w:rPr>
      </w:pPr>
    </w:p>
    <w:p w14:paraId="72522DC0">
      <w:pPr>
        <w:spacing w:line="600" w:lineRule="exact"/>
        <w:jc w:val="center"/>
        <w:outlineLvl w:val="0"/>
        <w:rPr>
          <w:rFonts w:hint="eastAsia" w:ascii="方正小标宋简体" w:hAnsi="方正小标宋简体" w:eastAsia="方正小标宋简体" w:cs="方正小标宋简体"/>
          <w:sz w:val="36"/>
          <w:szCs w:val="44"/>
        </w:rPr>
      </w:pPr>
    </w:p>
    <w:p w14:paraId="6B8FCE7F">
      <w:pPr>
        <w:spacing w:line="600" w:lineRule="exact"/>
        <w:ind w:left="1600"/>
        <w:rPr>
          <w:rFonts w:hint="default" w:ascii="仿宋_GB2312" w:hAnsi="仿宋_GB2312" w:eastAsia="仿宋_GB2312" w:cs="仿宋_GB2312"/>
          <w:sz w:val="32"/>
          <w:szCs w:val="40"/>
          <w:lang w:val="en-US" w:eastAsia="zh-CN"/>
        </w:rPr>
      </w:pPr>
    </w:p>
    <w:sectPr>
      <w:pgSz w:w="11906" w:h="16838"/>
      <w:pgMar w:top="1800" w:right="1440" w:bottom="1800" w:left="1440" w:header="851" w:footer="1361"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儷宋 Pro">
    <w:panose1 w:val="02020300000000000000"/>
    <w:charset w:val="88"/>
    <w:family w:val="auto"/>
    <w:pitch w:val="default"/>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C488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35A06">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0F4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702FA">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6A702FA">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19E5">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D819">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176E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11176E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8248C">
    <w:pPr>
      <w:pStyle w:val="8"/>
      <w:jc w:val="center"/>
      <w:rPr>
        <w:sz w:val="22"/>
        <w:szCs w:val="36"/>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DD41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1BDD41B">
                    <w:pPr>
                      <w:pStyle w:val="8"/>
                    </w:pPr>
                    <w:r>
                      <w:fldChar w:fldCharType="begin"/>
                    </w:r>
                    <w:r>
                      <w:instrText xml:space="preserve"> PAGE  \* MERGEFORMAT </w:instrText>
                    </w:r>
                    <w:r>
                      <w:fldChar w:fldCharType="separate"/>
                    </w:r>
                    <w:r>
                      <w:t>1</w:t>
                    </w:r>
                    <w:r>
                      <w:fldChar w:fldCharType="end"/>
                    </w:r>
                  </w:p>
                </w:txbxContent>
              </v:textbox>
            </v:shape>
          </w:pict>
        </mc:Fallback>
      </mc:AlternateContent>
    </w:r>
    <w:sdt>
      <w:sdtPr>
        <w:id w:val="1697734957"/>
        <w:docPartObj>
          <w:docPartGallery w:val="autotext"/>
        </w:docPartObj>
      </w:sdtPr>
      <w:sdtEndPr>
        <w:rPr>
          <w:sz w:val="22"/>
          <w:szCs w:val="36"/>
        </w:rPr>
      </w:sdtEndP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E6C0D">
    <w:pPr>
      <w:pStyle w:val="8"/>
      <w:jc w:val="center"/>
      <w:rPr>
        <w:sz w:val="22"/>
        <w:szCs w:val="36"/>
      </w:rPr>
    </w:pPr>
    <w:sdt>
      <w:sdtPr>
        <w:id w:val="808227867"/>
        <w:docPartObj>
          <w:docPartGallery w:val="autotext"/>
        </w:docPartObj>
      </w:sdtPr>
      <w:sdtEndPr>
        <w:rPr>
          <w:sz w:val="22"/>
          <w:szCs w:val="36"/>
        </w:rPr>
      </w:sdtEndP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BBF3">
    <w:pPr>
      <w:widowControl w:val="0"/>
      <w:snapToGrid w:val="0"/>
      <w:jc w:val="left"/>
      <w:rPr>
        <w:rFonts w:ascii="Calibri" w:hAnsi="Calibri" w:eastAsia="宋体" w:cs="Times New Roman"/>
        <w:kern w:val="2"/>
        <w:sz w:val="18"/>
        <w:szCs w:val="21"/>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786FD">
                          <w:pPr>
                            <w:pStyle w:val="8"/>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88786FD">
                    <w:pPr>
                      <w:pStyle w:val="8"/>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2E43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CB8A1">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2E"/>
    <w:rsid w:val="00103FB9"/>
    <w:rsid w:val="00104637"/>
    <w:rsid w:val="0019643A"/>
    <w:rsid w:val="0021272E"/>
    <w:rsid w:val="0022093B"/>
    <w:rsid w:val="00243C1C"/>
    <w:rsid w:val="002658DC"/>
    <w:rsid w:val="00270BDE"/>
    <w:rsid w:val="003072C4"/>
    <w:rsid w:val="00C339C4"/>
    <w:rsid w:val="00C43474"/>
    <w:rsid w:val="00D46227"/>
    <w:rsid w:val="00DE0712"/>
    <w:rsid w:val="00E3625F"/>
    <w:rsid w:val="054C7DEB"/>
    <w:rsid w:val="0AD32091"/>
    <w:rsid w:val="0BA07177"/>
    <w:rsid w:val="0BBB795E"/>
    <w:rsid w:val="0F36F3C5"/>
    <w:rsid w:val="0FF5E7D0"/>
    <w:rsid w:val="0FFE871F"/>
    <w:rsid w:val="106A3C74"/>
    <w:rsid w:val="133F3E83"/>
    <w:rsid w:val="15C725DE"/>
    <w:rsid w:val="17A8AEF4"/>
    <w:rsid w:val="181F7418"/>
    <w:rsid w:val="18CB084B"/>
    <w:rsid w:val="1AFFC9B7"/>
    <w:rsid w:val="1F7F979A"/>
    <w:rsid w:val="1FF70A50"/>
    <w:rsid w:val="213A031C"/>
    <w:rsid w:val="21E19620"/>
    <w:rsid w:val="238916A4"/>
    <w:rsid w:val="24EA3E14"/>
    <w:rsid w:val="26807F58"/>
    <w:rsid w:val="27CE7A10"/>
    <w:rsid w:val="281731DB"/>
    <w:rsid w:val="286B210C"/>
    <w:rsid w:val="2BB818E8"/>
    <w:rsid w:val="2D4D0F7E"/>
    <w:rsid w:val="2DC8748F"/>
    <w:rsid w:val="2F8F217B"/>
    <w:rsid w:val="2FEE48BC"/>
    <w:rsid w:val="2FF47773"/>
    <w:rsid w:val="2FFEC219"/>
    <w:rsid w:val="3041265D"/>
    <w:rsid w:val="307F4548"/>
    <w:rsid w:val="310962B6"/>
    <w:rsid w:val="319D6E9C"/>
    <w:rsid w:val="32F91A72"/>
    <w:rsid w:val="34FE3CD8"/>
    <w:rsid w:val="357CA632"/>
    <w:rsid w:val="377E4A13"/>
    <w:rsid w:val="37E527B2"/>
    <w:rsid w:val="37FFF28D"/>
    <w:rsid w:val="39FF517E"/>
    <w:rsid w:val="3A9E109E"/>
    <w:rsid w:val="3BBD1E1E"/>
    <w:rsid w:val="3BBF2569"/>
    <w:rsid w:val="3BF7E786"/>
    <w:rsid w:val="3CF9BF31"/>
    <w:rsid w:val="3D7C3E7B"/>
    <w:rsid w:val="3F363636"/>
    <w:rsid w:val="3F6F1FDE"/>
    <w:rsid w:val="3FBDB38E"/>
    <w:rsid w:val="3FDA08E6"/>
    <w:rsid w:val="3FFB3896"/>
    <w:rsid w:val="40896772"/>
    <w:rsid w:val="4612161E"/>
    <w:rsid w:val="46B12F19"/>
    <w:rsid w:val="47BFE7DF"/>
    <w:rsid w:val="48C447EC"/>
    <w:rsid w:val="49675482"/>
    <w:rsid w:val="4DEFBC87"/>
    <w:rsid w:val="4E6F933C"/>
    <w:rsid w:val="4EAE3DAC"/>
    <w:rsid w:val="4FEE82F7"/>
    <w:rsid w:val="4FFBEC65"/>
    <w:rsid w:val="51EFBB5D"/>
    <w:rsid w:val="51FF798D"/>
    <w:rsid w:val="54240834"/>
    <w:rsid w:val="546D9522"/>
    <w:rsid w:val="556B68E0"/>
    <w:rsid w:val="55FD4C24"/>
    <w:rsid w:val="56236D75"/>
    <w:rsid w:val="57FF1790"/>
    <w:rsid w:val="597FDD1C"/>
    <w:rsid w:val="5AC461A2"/>
    <w:rsid w:val="5AED46B9"/>
    <w:rsid w:val="5BCD8B7B"/>
    <w:rsid w:val="5DDF1451"/>
    <w:rsid w:val="5E5F02BF"/>
    <w:rsid w:val="5E7C1B9E"/>
    <w:rsid w:val="5F56B0C9"/>
    <w:rsid w:val="5FA912DC"/>
    <w:rsid w:val="5FB394D9"/>
    <w:rsid w:val="5FCF9B81"/>
    <w:rsid w:val="5FFF3DD0"/>
    <w:rsid w:val="60443049"/>
    <w:rsid w:val="610E08A2"/>
    <w:rsid w:val="61610FEB"/>
    <w:rsid w:val="62AE304C"/>
    <w:rsid w:val="637FF9FC"/>
    <w:rsid w:val="673FFC1B"/>
    <w:rsid w:val="676FA99C"/>
    <w:rsid w:val="67FE7BEE"/>
    <w:rsid w:val="69E31FF2"/>
    <w:rsid w:val="69EFC0A0"/>
    <w:rsid w:val="6ABD37C7"/>
    <w:rsid w:val="6B1FB6E8"/>
    <w:rsid w:val="6B303356"/>
    <w:rsid w:val="6B9DDC53"/>
    <w:rsid w:val="6C692C46"/>
    <w:rsid w:val="6CBD4441"/>
    <w:rsid w:val="6CE32BE3"/>
    <w:rsid w:val="6CFE1ACC"/>
    <w:rsid w:val="6DF77B0F"/>
    <w:rsid w:val="6DFFF8F3"/>
    <w:rsid w:val="6EEB34A4"/>
    <w:rsid w:val="6F5D03F2"/>
    <w:rsid w:val="6F931917"/>
    <w:rsid w:val="6FB5B522"/>
    <w:rsid w:val="6FBA161D"/>
    <w:rsid w:val="6FDAFD07"/>
    <w:rsid w:val="6FEA072C"/>
    <w:rsid w:val="711F455E"/>
    <w:rsid w:val="728D8B54"/>
    <w:rsid w:val="7384DFAE"/>
    <w:rsid w:val="755EFF31"/>
    <w:rsid w:val="757F8886"/>
    <w:rsid w:val="75A650F5"/>
    <w:rsid w:val="75EB8E97"/>
    <w:rsid w:val="75FF73CC"/>
    <w:rsid w:val="76752038"/>
    <w:rsid w:val="76CE10BB"/>
    <w:rsid w:val="76DDA844"/>
    <w:rsid w:val="76EAA9E6"/>
    <w:rsid w:val="76EB9474"/>
    <w:rsid w:val="7719982E"/>
    <w:rsid w:val="77770008"/>
    <w:rsid w:val="77BC2480"/>
    <w:rsid w:val="77DD4D1C"/>
    <w:rsid w:val="77FC2B6A"/>
    <w:rsid w:val="78FFBEA0"/>
    <w:rsid w:val="792BDF07"/>
    <w:rsid w:val="799F856C"/>
    <w:rsid w:val="79B3A42B"/>
    <w:rsid w:val="79FCC5C2"/>
    <w:rsid w:val="79FD5F4F"/>
    <w:rsid w:val="7A3D4B86"/>
    <w:rsid w:val="7A3F194E"/>
    <w:rsid w:val="7A85352B"/>
    <w:rsid w:val="7ABFD295"/>
    <w:rsid w:val="7AE7E0AF"/>
    <w:rsid w:val="7AEE1724"/>
    <w:rsid w:val="7AF1654A"/>
    <w:rsid w:val="7B6E41F8"/>
    <w:rsid w:val="7B9B2527"/>
    <w:rsid w:val="7B9F11B6"/>
    <w:rsid w:val="7BB15EA8"/>
    <w:rsid w:val="7BDF9BE3"/>
    <w:rsid w:val="7BF598FE"/>
    <w:rsid w:val="7BF62AFC"/>
    <w:rsid w:val="7BFF0280"/>
    <w:rsid w:val="7BFF2976"/>
    <w:rsid w:val="7C8D62D7"/>
    <w:rsid w:val="7CBB942E"/>
    <w:rsid w:val="7CBE69ED"/>
    <w:rsid w:val="7CD79D3E"/>
    <w:rsid w:val="7CFF6D71"/>
    <w:rsid w:val="7D5B3087"/>
    <w:rsid w:val="7D6F49FF"/>
    <w:rsid w:val="7D9F8253"/>
    <w:rsid w:val="7DAB59DE"/>
    <w:rsid w:val="7DBD1736"/>
    <w:rsid w:val="7DFFB204"/>
    <w:rsid w:val="7EBE1F80"/>
    <w:rsid w:val="7EBF5BFD"/>
    <w:rsid w:val="7EBF968D"/>
    <w:rsid w:val="7EC62B6D"/>
    <w:rsid w:val="7EFD85E4"/>
    <w:rsid w:val="7EFF8C08"/>
    <w:rsid w:val="7F6BAB70"/>
    <w:rsid w:val="7F6FB0E0"/>
    <w:rsid w:val="7F7983ED"/>
    <w:rsid w:val="7F99B82B"/>
    <w:rsid w:val="7FB32F70"/>
    <w:rsid w:val="7FB684C4"/>
    <w:rsid w:val="7FB7498F"/>
    <w:rsid w:val="7FB7E5E2"/>
    <w:rsid w:val="7FBB83D4"/>
    <w:rsid w:val="7FBC7CC8"/>
    <w:rsid w:val="7FBE4CB3"/>
    <w:rsid w:val="7FBF874B"/>
    <w:rsid w:val="7FDE3098"/>
    <w:rsid w:val="7FDF04E5"/>
    <w:rsid w:val="7FEF34E4"/>
    <w:rsid w:val="7FF74151"/>
    <w:rsid w:val="7FFAFE87"/>
    <w:rsid w:val="7FFE85F0"/>
    <w:rsid w:val="7FFF0AF5"/>
    <w:rsid w:val="7FFF42B4"/>
    <w:rsid w:val="7FFFD161"/>
    <w:rsid w:val="8EED7A65"/>
    <w:rsid w:val="93FF24A8"/>
    <w:rsid w:val="9BB9A3DF"/>
    <w:rsid w:val="9BDFD7E7"/>
    <w:rsid w:val="9EDB23D9"/>
    <w:rsid w:val="9F1F44D7"/>
    <w:rsid w:val="A9FF3139"/>
    <w:rsid w:val="AFED0C03"/>
    <w:rsid w:val="AFF1110D"/>
    <w:rsid w:val="B1DF78DF"/>
    <w:rsid w:val="B3BF9563"/>
    <w:rsid w:val="B5D9833F"/>
    <w:rsid w:val="B67BD1D7"/>
    <w:rsid w:val="B6BAD979"/>
    <w:rsid w:val="B6DFFFE7"/>
    <w:rsid w:val="B73B7D08"/>
    <w:rsid w:val="B78F799E"/>
    <w:rsid w:val="B9CF5330"/>
    <w:rsid w:val="BADDFAEC"/>
    <w:rsid w:val="BBDF30FE"/>
    <w:rsid w:val="BDE15E43"/>
    <w:rsid w:val="BDFF991B"/>
    <w:rsid w:val="BDFFE7B3"/>
    <w:rsid w:val="BE675465"/>
    <w:rsid w:val="BEBF40F9"/>
    <w:rsid w:val="BED855C4"/>
    <w:rsid w:val="BEFB8D64"/>
    <w:rsid w:val="BEFFA3A1"/>
    <w:rsid w:val="BF1744EB"/>
    <w:rsid w:val="BF1779CD"/>
    <w:rsid w:val="BF6EA4AE"/>
    <w:rsid w:val="BF7A6A11"/>
    <w:rsid w:val="BF93BC5D"/>
    <w:rsid w:val="BFF77E28"/>
    <w:rsid w:val="BFFEA173"/>
    <w:rsid w:val="BFFFF1B1"/>
    <w:rsid w:val="C3F139CD"/>
    <w:rsid w:val="C4FA237C"/>
    <w:rsid w:val="CF6D86E7"/>
    <w:rsid w:val="D37FCBC3"/>
    <w:rsid w:val="D67A76F9"/>
    <w:rsid w:val="D73B5B0D"/>
    <w:rsid w:val="D8DA13D4"/>
    <w:rsid w:val="DAF7940B"/>
    <w:rsid w:val="DAFA5126"/>
    <w:rsid w:val="DBED3319"/>
    <w:rsid w:val="DDABCBCC"/>
    <w:rsid w:val="DDAF128F"/>
    <w:rsid w:val="DECD1764"/>
    <w:rsid w:val="DECF901A"/>
    <w:rsid w:val="DF4E3CA2"/>
    <w:rsid w:val="DFBA8627"/>
    <w:rsid w:val="DFBD83C0"/>
    <w:rsid w:val="DFE53FF8"/>
    <w:rsid w:val="DFEDC902"/>
    <w:rsid w:val="DFEF5582"/>
    <w:rsid w:val="DFFB2BA2"/>
    <w:rsid w:val="DFFE883E"/>
    <w:rsid w:val="E3E5A47F"/>
    <w:rsid w:val="E6EF5E38"/>
    <w:rsid w:val="E767098B"/>
    <w:rsid w:val="E77F0321"/>
    <w:rsid w:val="E7FBEE25"/>
    <w:rsid w:val="E97E1A1F"/>
    <w:rsid w:val="EB7DB9A8"/>
    <w:rsid w:val="ECB341AD"/>
    <w:rsid w:val="ECBFF386"/>
    <w:rsid w:val="ECF3067B"/>
    <w:rsid w:val="EDAF8379"/>
    <w:rsid w:val="EDEEDB3D"/>
    <w:rsid w:val="EEFF46A8"/>
    <w:rsid w:val="EF6E0029"/>
    <w:rsid w:val="EF6FD55C"/>
    <w:rsid w:val="EF7F9AE0"/>
    <w:rsid w:val="EFB15E8D"/>
    <w:rsid w:val="EFBBAB89"/>
    <w:rsid w:val="EFFE1999"/>
    <w:rsid w:val="EFFEF141"/>
    <w:rsid w:val="F15E4245"/>
    <w:rsid w:val="F1B38FD5"/>
    <w:rsid w:val="F2BAA6AC"/>
    <w:rsid w:val="F2D915DD"/>
    <w:rsid w:val="F34F2529"/>
    <w:rsid w:val="F3EFBCF6"/>
    <w:rsid w:val="F5A80956"/>
    <w:rsid w:val="F5CF1888"/>
    <w:rsid w:val="F5EF9490"/>
    <w:rsid w:val="F77DFAF4"/>
    <w:rsid w:val="F7DCC1F1"/>
    <w:rsid w:val="F7ED1AA7"/>
    <w:rsid w:val="F7F9BC1F"/>
    <w:rsid w:val="F7FEFF8D"/>
    <w:rsid w:val="F9EAE220"/>
    <w:rsid w:val="FA7FF7A2"/>
    <w:rsid w:val="FAFF7853"/>
    <w:rsid w:val="FB6A1606"/>
    <w:rsid w:val="FB8920E2"/>
    <w:rsid w:val="FBAE0683"/>
    <w:rsid w:val="FBCB1465"/>
    <w:rsid w:val="FBCB3801"/>
    <w:rsid w:val="FBF244D8"/>
    <w:rsid w:val="FBF3E69F"/>
    <w:rsid w:val="FBFFAEB7"/>
    <w:rsid w:val="FD77F602"/>
    <w:rsid w:val="FD7E1227"/>
    <w:rsid w:val="FD9B7107"/>
    <w:rsid w:val="FDC79514"/>
    <w:rsid w:val="FDD720BB"/>
    <w:rsid w:val="FDFF758E"/>
    <w:rsid w:val="FDFFEC67"/>
    <w:rsid w:val="FE6F49C0"/>
    <w:rsid w:val="FE7776F0"/>
    <w:rsid w:val="FEB99198"/>
    <w:rsid w:val="FEDD64EB"/>
    <w:rsid w:val="FEFF8BA4"/>
    <w:rsid w:val="FEFF9896"/>
    <w:rsid w:val="FF169FCB"/>
    <w:rsid w:val="FF7CE0E9"/>
    <w:rsid w:val="FF7D999B"/>
    <w:rsid w:val="FFBDF3C0"/>
    <w:rsid w:val="FFBFFEB8"/>
    <w:rsid w:val="FFC58AA3"/>
    <w:rsid w:val="FFCEF905"/>
    <w:rsid w:val="FFCF27B9"/>
    <w:rsid w:val="FFDB7E53"/>
    <w:rsid w:val="FFEF97D0"/>
    <w:rsid w:val="FFF75227"/>
    <w:rsid w:val="FFF7A510"/>
    <w:rsid w:val="FFFC5700"/>
    <w:rsid w:val="FFFFA9C4"/>
    <w:rsid w:val="FFFFFF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7"/>
    <w:qFormat/>
    <w:uiPriority w:val="0"/>
    <w:pPr>
      <w:keepNext/>
      <w:keepLines/>
      <w:widowControl/>
      <w:spacing w:before="120" w:after="60" w:line="500" w:lineRule="exact"/>
      <w:ind w:firstLine="800"/>
      <w:jc w:val="left"/>
      <w:outlineLvl w:val="0"/>
    </w:pPr>
    <w:rPr>
      <w:rFonts w:eastAsia="黑体"/>
      <w:bCs/>
      <w:color w:val="000000"/>
      <w:kern w:val="0"/>
      <w:szCs w:val="28"/>
    </w:rPr>
  </w:style>
  <w:style w:type="paragraph" w:styleId="3">
    <w:name w:val="heading 2"/>
    <w:basedOn w:val="1"/>
    <w:next w:val="1"/>
    <w:link w:val="26"/>
    <w:qFormat/>
    <w:uiPriority w:val="0"/>
    <w:pPr>
      <w:keepNext/>
      <w:keepLines/>
      <w:widowControl/>
      <w:spacing w:before="120" w:after="60" w:line="500" w:lineRule="exact"/>
      <w:ind w:firstLine="800" w:firstLineChars="200"/>
      <w:jc w:val="left"/>
      <w:outlineLvl w:val="1"/>
    </w:pPr>
    <w:rPr>
      <w:rFonts w:ascii="Times New Roman" w:hAnsi="Times New Roman" w:eastAsia="楷体_GB2312"/>
      <w:bCs/>
      <w:color w:val="000000"/>
      <w:kern w:val="0"/>
      <w:sz w:val="32"/>
      <w:szCs w:val="26"/>
    </w:rPr>
  </w:style>
  <w:style w:type="paragraph" w:styleId="4">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annotation text"/>
    <w:basedOn w:val="1"/>
    <w:uiPriority w:val="0"/>
    <w:pPr>
      <w:jc w:val="left"/>
    </w:pPr>
  </w:style>
  <w:style w:type="paragraph" w:styleId="6">
    <w:name w:val="Body Text"/>
    <w:unhideWhenUsed/>
    <w:qFormat/>
    <w:uiPriority w:val="99"/>
    <w:pPr>
      <w:widowControl w:val="0"/>
      <w:tabs>
        <w:tab w:val="left" w:pos="0"/>
      </w:tabs>
      <w:jc w:val="both"/>
    </w:pPr>
    <w:rPr>
      <w:rFonts w:ascii="宋体" w:hAnsi="宋体" w:eastAsia="仿宋_GB2312" w:cs="Times New Roman"/>
      <w:color w:val="000000"/>
      <w:kern w:val="2"/>
      <w:sz w:val="24"/>
      <w:szCs w:val="21"/>
      <w:lang w:val="en-US" w:eastAsia="zh-CN" w:bidi="ar-SA"/>
    </w:rPr>
  </w:style>
  <w:style w:type="paragraph" w:styleId="7">
    <w:name w:val="Body Text Indent"/>
    <w:basedOn w:val="1"/>
    <w:next w:val="1"/>
    <w:qFormat/>
    <w:uiPriority w:val="0"/>
    <w:pPr>
      <w:widowControl/>
      <w:spacing w:before="100" w:beforeAutospacing="1" w:after="100" w:afterAutospacing="1"/>
      <w:jc w:val="left"/>
    </w:pPr>
    <w:rPr>
      <w:rFonts w:ascii="宋体" w:hAnsi="宋体" w:eastAsia="宋体"/>
      <w:kern w:val="0"/>
      <w:sz w:val="24"/>
    </w:rPr>
  </w:style>
  <w:style w:type="paragraph" w:styleId="8">
    <w:name w:val="footer"/>
    <w:basedOn w:val="1"/>
    <w:link w:val="30"/>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paragraph" w:styleId="13">
    <w:name w:val="Body Text First Indent 2"/>
    <w:basedOn w:val="7"/>
    <w:unhideWhenUsed/>
    <w:qFormat/>
    <w:uiPriority w:val="99"/>
    <w:pPr>
      <w:ind w:firstLine="42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unhideWhenUsed/>
    <w:uiPriority w:val="99"/>
    <w:rPr>
      <w:color w:val="0563C1" w:themeColor="hyperlink"/>
      <w:u w:val="single"/>
      <w14:textFill>
        <w14:solidFill>
          <w14:schemeClr w14:val="hlink"/>
        </w14:solidFill>
      </w14:textFill>
    </w:rPr>
  </w:style>
  <w:style w:type="paragraph" w:customStyle="1" w:styleId="19">
    <w:name w:val="_Style 3"/>
    <w:basedOn w:val="1"/>
    <w:next w:val="20"/>
    <w:unhideWhenUsed/>
    <w:qFormat/>
    <w:uiPriority w:val="99"/>
    <w:pPr>
      <w:spacing w:line="360" w:lineRule="auto"/>
      <w:ind w:firstLine="420" w:firstLineChars="200"/>
      <w:jc w:val="left"/>
    </w:pPr>
    <w:rPr>
      <w:rFonts w:ascii="Times New Roman" w:hAnsi="Times New Roman" w:eastAsia="仿宋"/>
      <w:sz w:val="32"/>
      <w:lang w:eastAsia="zh-TW"/>
    </w:rPr>
  </w:style>
  <w:style w:type="paragraph" w:styleId="20">
    <w:name w:val="List Paragraph"/>
    <w:basedOn w:val="1"/>
    <w:qFormat/>
    <w:uiPriority w:val="34"/>
    <w:pPr>
      <w:ind w:firstLine="420" w:firstLineChars="200"/>
    </w:p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paragraph" w:customStyle="1" w:styleId="22">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23">
    <w:name w:val="font11"/>
    <w:basedOn w:val="16"/>
    <w:qFormat/>
    <w:uiPriority w:val="0"/>
    <w:rPr>
      <w:rFonts w:hint="default" w:ascii="黑体" w:hAnsi="宋体" w:eastAsia="黑体" w:cs="黑体"/>
      <w:color w:val="000000"/>
      <w:sz w:val="20"/>
      <w:szCs w:val="20"/>
      <w:u w:val="none"/>
    </w:rPr>
  </w:style>
  <w:style w:type="character" w:customStyle="1" w:styleId="24">
    <w:name w:val="font21"/>
    <w:basedOn w:val="16"/>
    <w:qFormat/>
    <w:uiPriority w:val="0"/>
    <w:rPr>
      <w:rFonts w:hint="default" w:ascii="黑体" w:hAnsi="宋体" w:eastAsia="黑体" w:cs="黑体"/>
      <w:color w:val="000000"/>
      <w:sz w:val="20"/>
      <w:szCs w:val="20"/>
      <w:u w:val="none"/>
    </w:rPr>
  </w:style>
  <w:style w:type="paragraph" w:customStyle="1" w:styleId="25">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6">
    <w:name w:val="标题 2 字符"/>
    <w:link w:val="3"/>
    <w:qFormat/>
    <w:uiPriority w:val="0"/>
    <w:rPr>
      <w:rFonts w:ascii="Times New Roman" w:hAnsi="Times New Roman" w:eastAsia="楷体_GB2312"/>
      <w:bCs/>
      <w:color w:val="000000"/>
      <w:kern w:val="0"/>
      <w:sz w:val="32"/>
      <w:szCs w:val="26"/>
    </w:rPr>
  </w:style>
  <w:style w:type="character" w:customStyle="1" w:styleId="27">
    <w:name w:val="标题 1 字符"/>
    <w:link w:val="2"/>
    <w:qFormat/>
    <w:uiPriority w:val="0"/>
    <w:rPr>
      <w:rFonts w:eastAsia="黑体"/>
      <w:bCs/>
      <w:color w:val="000000"/>
      <w:kern w:val="0"/>
      <w:szCs w:val="28"/>
    </w:rPr>
  </w:style>
  <w:style w:type="character" w:customStyle="1" w:styleId="28">
    <w:name w:val="font41"/>
    <w:basedOn w:val="16"/>
    <w:qFormat/>
    <w:uiPriority w:val="0"/>
    <w:rPr>
      <w:rFonts w:hint="default" w:ascii="Times New Roman" w:hAnsi="Times New Roman" w:cs="Times New Roman"/>
      <w:color w:val="000000"/>
      <w:sz w:val="20"/>
      <w:szCs w:val="20"/>
      <w:u w:val="none"/>
    </w:rPr>
  </w:style>
  <w:style w:type="character" w:customStyle="1" w:styleId="29">
    <w:name w:val="font31"/>
    <w:basedOn w:val="16"/>
    <w:qFormat/>
    <w:uiPriority w:val="0"/>
    <w:rPr>
      <w:rFonts w:hint="eastAsia" w:ascii="宋体" w:hAnsi="宋体" w:eastAsia="宋体" w:cs="宋体"/>
      <w:color w:val="000000"/>
      <w:sz w:val="20"/>
      <w:szCs w:val="20"/>
      <w:u w:val="none"/>
    </w:rPr>
  </w:style>
  <w:style w:type="character" w:customStyle="1" w:styleId="30">
    <w:name w:val="页脚 字符"/>
    <w:basedOn w:val="16"/>
    <w:link w:val="8"/>
    <w:qFormat/>
    <w:uiPriority w:val="99"/>
    <w:rPr>
      <w:rFonts w:asciiTheme="minorHAnsi" w:hAnsiTheme="minorHAnsi" w:eastAsiaTheme="minorEastAsia" w:cstheme="minorBidi"/>
      <w:kern w:val="2"/>
      <w:sz w:val="18"/>
      <w:szCs w:val="24"/>
    </w:rPr>
  </w:style>
  <w:style w:type="paragraph" w:customStyle="1" w:styleId="31">
    <w:name w:val="正文格式"/>
    <w:qFormat/>
    <w:uiPriority w:val="0"/>
    <w:pPr>
      <w:widowControl/>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 w:type="character" w:customStyle="1" w:styleId="32">
    <w:name w:val="font51"/>
    <w:basedOn w:val="16"/>
    <w:uiPriority w:val="0"/>
    <w:rPr>
      <w:rFonts w:hint="default" w:ascii="Times New Roman" w:hAnsi="Times New Roman" w:cs="Times New Roman"/>
      <w:color w:val="000000"/>
      <w:sz w:val="21"/>
      <w:szCs w:val="21"/>
      <w:u w:val="none"/>
    </w:rPr>
  </w:style>
  <w:style w:type="character" w:customStyle="1" w:styleId="33">
    <w:name w:val="font61"/>
    <w:basedOn w:val="16"/>
    <w:uiPriority w:val="0"/>
    <w:rPr>
      <w:rFonts w:hint="default" w:ascii="Times New Roman" w:hAnsi="Times New Roman" w:cs="Times New Roman"/>
      <w:color w:val="000000"/>
      <w:sz w:val="21"/>
      <w:szCs w:val="21"/>
      <w:u w:val="none"/>
    </w:rPr>
  </w:style>
  <w:style w:type="character" w:customStyle="1" w:styleId="34">
    <w:name w:val="font71"/>
    <w:basedOn w:val="16"/>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WRGHO.COM</Company>
  <Pages>34</Pages>
  <Words>120</Words>
  <Characters>123</Characters>
  <Lines>1683</Lines>
  <Paragraphs>1035</Paragraphs>
  <TotalTime>53</TotalTime>
  <ScaleCrop>false</ScaleCrop>
  <LinksUpToDate>false</LinksUpToDate>
  <CharactersWithSpaces>132</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2023-11-16T09:07:00Z</dcterms:created>
  <dc:creator>lenovo</dc:creator>
  <cp:lastModifiedBy>WBJ</cp:lastModifiedBy>
  <cp:lastPrinted>2025-08-31T18:32:00Z</cp:lastPrinted>
  <dcterms:modified xsi:type="dcterms:W3CDTF">2026-08-14T14:23:15Z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9ADA3B20EFAC17A67FD76D685EF58CB9_43</vt:lpwstr>
  </property>
  <property fmtid="{D5CDD505-2E9C-101B-9397-08002B2CF9AE}" pid="4" name="KSOTemplateDocerSaveRecord">
    <vt:lpwstr>eyJoZGlkIjoiNTJiNzdmNGYzMjZjOGNlMTA1MWZhOTk1M2YyZGExZDUiLCJ1c2VySWQiOiIyMDA4NTM1ODkifQ==</vt:lpwstr>
  </property>
</Properties>
</file>