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EF2" w:rsidRDefault="00267EF2">
      <w:pPr>
        <w:spacing w:line="560" w:lineRule="exact"/>
        <w:jc w:val="center"/>
        <w:rPr>
          <w:rFonts w:ascii="方正小标宋_GBK" w:eastAsia="方正小标宋_GBK" w:hAnsi="方正小标宋_GBK" w:cs="方正小标宋_GBK"/>
          <w:sz w:val="44"/>
          <w:szCs w:val="44"/>
        </w:rPr>
      </w:pPr>
    </w:p>
    <w:p w:rsidR="00267EF2" w:rsidRDefault="00A312EF">
      <w:pPr>
        <w:spacing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2025</w:t>
      </w:r>
      <w:r>
        <w:rPr>
          <w:rFonts w:ascii="方正小标宋_GBK" w:eastAsia="方正小标宋_GBK" w:hAnsi="方正小标宋_GBK" w:cs="方正小标宋_GBK" w:hint="eastAsia"/>
          <w:sz w:val="44"/>
          <w:szCs w:val="44"/>
        </w:rPr>
        <w:t>年</w:t>
      </w:r>
      <w:r>
        <w:rPr>
          <w:rFonts w:ascii="方正小标宋_GBK" w:eastAsia="方正小标宋_GBK" w:hAnsi="方正小标宋_GBK" w:cs="方正小标宋_GBK" w:hint="eastAsia"/>
          <w:sz w:val="44"/>
          <w:szCs w:val="44"/>
        </w:rPr>
        <w:t>青岛市</w:t>
      </w:r>
      <w:r>
        <w:rPr>
          <w:rFonts w:ascii="方正小标宋_GBK" w:eastAsia="方正小标宋_GBK" w:hAnsi="方正小标宋_GBK" w:cs="方正小标宋_GBK" w:hint="eastAsia"/>
          <w:sz w:val="44"/>
          <w:szCs w:val="44"/>
        </w:rPr>
        <w:t>农作物秸秆综合利用项目</w:t>
      </w:r>
    </w:p>
    <w:p w:rsidR="00267EF2" w:rsidRDefault="00A312EF">
      <w:pPr>
        <w:spacing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绩效评价报告</w:t>
      </w:r>
    </w:p>
    <w:p w:rsidR="00267EF2" w:rsidRDefault="00267EF2">
      <w:pPr>
        <w:spacing w:line="560" w:lineRule="exact"/>
      </w:pPr>
    </w:p>
    <w:p w:rsidR="00267EF2" w:rsidRDefault="00A312EF">
      <w:pPr>
        <w:pStyle w:val="1"/>
        <w:keepNext w:val="0"/>
        <w:keepLines w:val="0"/>
        <w:widowControl w:val="0"/>
        <w:spacing w:before="0" w:after="0" w:line="560" w:lineRule="exact"/>
        <w:ind w:firstLine="640"/>
        <w:jc w:val="both"/>
        <w:rPr>
          <w:bCs w:val="0"/>
          <w:color w:val="auto"/>
          <w:kern w:val="2"/>
          <w:sz w:val="32"/>
          <w:szCs w:val="32"/>
          <w:lang w:val="en-US"/>
        </w:rPr>
      </w:pPr>
      <w:bookmarkStart w:id="0" w:name="_Toc15369"/>
      <w:r>
        <w:rPr>
          <w:rFonts w:hint="eastAsia"/>
          <w:bCs w:val="0"/>
          <w:color w:val="auto"/>
          <w:kern w:val="2"/>
          <w:sz w:val="32"/>
          <w:szCs w:val="32"/>
          <w:lang w:val="en-US"/>
        </w:rPr>
        <w:t>一、项目基本情况</w:t>
      </w:r>
      <w:bookmarkEnd w:id="0"/>
    </w:p>
    <w:p w:rsidR="00267EF2" w:rsidRDefault="00A312EF">
      <w:pPr>
        <w:pStyle w:val="2"/>
        <w:keepNext w:val="0"/>
        <w:keepLines w:val="0"/>
        <w:widowControl w:val="0"/>
        <w:spacing w:before="0" w:after="0" w:line="560" w:lineRule="exact"/>
        <w:ind w:firstLine="640"/>
        <w:jc w:val="both"/>
        <w:rPr>
          <w:rFonts w:eastAsia="楷体_GB2312"/>
          <w:bCs w:val="0"/>
          <w:color w:val="auto"/>
          <w:sz w:val="32"/>
          <w:szCs w:val="40"/>
          <w:lang w:val="en-US"/>
        </w:rPr>
      </w:pPr>
      <w:bookmarkStart w:id="1" w:name="_Toc25982"/>
      <w:r>
        <w:rPr>
          <w:rFonts w:eastAsia="楷体_GB2312" w:hint="eastAsia"/>
          <w:bCs w:val="0"/>
          <w:color w:val="auto"/>
          <w:sz w:val="32"/>
          <w:szCs w:val="40"/>
          <w:lang w:val="en-US"/>
        </w:rPr>
        <w:t>（一）项目概况</w:t>
      </w:r>
      <w:bookmarkEnd w:id="1"/>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项目背景</w:t>
      </w:r>
    </w:p>
    <w:p w:rsidR="00267EF2" w:rsidRDefault="00A312EF">
      <w:pPr>
        <w:spacing w:line="560" w:lineRule="exact"/>
        <w:ind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年中央一号文件《中共中央</w:t>
      </w:r>
      <w:r>
        <w:rPr>
          <w:rFonts w:ascii="仿宋_GB2312" w:eastAsia="仿宋_GB2312" w:hAnsi="仿宋_GB2312" w:cs="仿宋_GB2312" w:hint="eastAsia"/>
          <w:sz w:val="32"/>
          <w:szCs w:val="40"/>
        </w:rPr>
        <w:t xml:space="preserve"> </w:t>
      </w:r>
      <w:r>
        <w:rPr>
          <w:rFonts w:ascii="仿宋_GB2312" w:eastAsia="仿宋_GB2312" w:hAnsi="仿宋_GB2312" w:cs="仿宋_GB2312" w:hint="eastAsia"/>
          <w:sz w:val="32"/>
          <w:szCs w:val="40"/>
        </w:rPr>
        <w:t>国务院关于进一步深化农村改革</w:t>
      </w:r>
      <w:r>
        <w:rPr>
          <w:rFonts w:ascii="仿宋_GB2312" w:eastAsia="仿宋_GB2312" w:hAnsi="仿宋_GB2312" w:cs="仿宋_GB2312" w:hint="eastAsia"/>
          <w:sz w:val="32"/>
          <w:szCs w:val="40"/>
        </w:rPr>
        <w:t xml:space="preserve"> </w:t>
      </w:r>
      <w:r>
        <w:rPr>
          <w:rFonts w:ascii="仿宋_GB2312" w:eastAsia="仿宋_GB2312" w:hAnsi="仿宋_GB2312" w:cs="仿宋_GB2312" w:hint="eastAsia"/>
          <w:sz w:val="32"/>
          <w:szCs w:val="40"/>
        </w:rPr>
        <w:t>扎实推进乡村全面振兴的意见》提出“支持秸秆综合利用”。中央财政通过农业生态资源保护资金项目支持农作物秸秆综合利用。根据农业农村部、财政部《关于做好</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年粮油生产保障等项目实施工作的通知》（农计财发〔</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9</w:t>
      </w:r>
      <w:r>
        <w:rPr>
          <w:rFonts w:ascii="仿宋_GB2312" w:eastAsia="仿宋_GB2312" w:hAnsi="仿宋_GB2312" w:cs="仿宋_GB2312" w:hint="eastAsia"/>
          <w:sz w:val="32"/>
          <w:szCs w:val="40"/>
        </w:rPr>
        <w:t>号）以及农业农村部办公厅《关于做好</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年农作物秸秆综合利用工作的通知》（农办科〔</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9</w:t>
      </w:r>
      <w:r>
        <w:rPr>
          <w:rFonts w:ascii="仿宋_GB2312" w:eastAsia="仿宋_GB2312" w:hAnsi="仿宋_GB2312" w:cs="仿宋_GB2312" w:hint="eastAsia"/>
          <w:sz w:val="32"/>
          <w:szCs w:val="40"/>
        </w:rPr>
        <w:t>号）要求，整建制建设全国秸秆综合利用重点县，扎实推进秸秆科学还田、堆肥还田等肥料化利用，重点实施秸秆饲料化利用专项行动，推动秸秆高值化利用，培育壮大秸秆利用产业，高质量建设秸秆资源台账。</w:t>
      </w:r>
    </w:p>
    <w:p w:rsidR="00267EF2" w:rsidRDefault="00A312EF">
      <w:pPr>
        <w:spacing w:line="560" w:lineRule="exact"/>
        <w:ind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根据中央上述要</w:t>
      </w:r>
      <w:r>
        <w:rPr>
          <w:rFonts w:ascii="仿宋_GB2312" w:eastAsia="仿宋_GB2312" w:hAnsi="仿宋_GB2312" w:cs="仿宋_GB2312" w:hint="eastAsia"/>
          <w:sz w:val="32"/>
          <w:szCs w:val="40"/>
        </w:rPr>
        <w:t>求，青岛市农业农村局印发了《青岛市</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年农作物秸秆综合利用重点县建设实施方案》（青农计财字〔</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31</w:t>
      </w:r>
      <w:r>
        <w:rPr>
          <w:rFonts w:ascii="仿宋_GB2312" w:eastAsia="仿宋_GB2312" w:hAnsi="仿宋_GB2312" w:cs="仿宋_GB2312" w:hint="eastAsia"/>
          <w:sz w:val="32"/>
          <w:szCs w:val="40"/>
        </w:rPr>
        <w:t>号），明确</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年全市建设秸秆还田沃土利用县</w:t>
      </w: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个、综合利用县</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个，完成秸秆直接还田</w:t>
      </w:r>
      <w:r>
        <w:rPr>
          <w:rFonts w:ascii="仿宋_GB2312" w:eastAsia="仿宋_GB2312" w:hAnsi="仿宋_GB2312" w:cs="仿宋_GB2312" w:hint="eastAsia"/>
          <w:sz w:val="32"/>
          <w:szCs w:val="40"/>
        </w:rPr>
        <w:t>4.5</w:t>
      </w:r>
      <w:r>
        <w:rPr>
          <w:rFonts w:ascii="仿宋_GB2312" w:eastAsia="仿宋_GB2312" w:hAnsi="仿宋_GB2312" w:cs="仿宋_GB2312" w:hint="eastAsia"/>
          <w:sz w:val="32"/>
          <w:szCs w:val="40"/>
        </w:rPr>
        <w:t>万亩、秸秆堆肥</w:t>
      </w:r>
      <w:r>
        <w:rPr>
          <w:rFonts w:ascii="仿宋_GB2312" w:eastAsia="仿宋_GB2312" w:hAnsi="仿宋_GB2312" w:cs="仿宋_GB2312" w:hint="eastAsia"/>
          <w:sz w:val="32"/>
          <w:szCs w:val="40"/>
        </w:rPr>
        <w:t>3.6</w:t>
      </w:r>
      <w:r>
        <w:rPr>
          <w:rFonts w:ascii="仿宋_GB2312" w:eastAsia="仿宋_GB2312" w:hAnsi="仿宋_GB2312" w:cs="仿宋_GB2312" w:hint="eastAsia"/>
          <w:sz w:val="32"/>
          <w:szCs w:val="40"/>
        </w:rPr>
        <w:t>万方、秸秆饲喂</w:t>
      </w:r>
      <w:r>
        <w:rPr>
          <w:rFonts w:ascii="仿宋_GB2312" w:eastAsia="仿宋_GB2312" w:hAnsi="仿宋_GB2312" w:cs="仿宋_GB2312" w:hint="eastAsia"/>
          <w:sz w:val="32"/>
          <w:szCs w:val="40"/>
        </w:rPr>
        <w:t>3.5</w:t>
      </w:r>
      <w:r>
        <w:rPr>
          <w:rFonts w:ascii="仿宋_GB2312" w:eastAsia="仿宋_GB2312" w:hAnsi="仿宋_GB2312" w:cs="仿宋_GB2312" w:hint="eastAsia"/>
          <w:sz w:val="32"/>
          <w:szCs w:val="40"/>
        </w:rPr>
        <w:t>万吨，进一步提升秸秆还田科学化、标准化、规范化水平，有效提升秸秆离田效能，</w:t>
      </w:r>
      <w:r>
        <w:rPr>
          <w:rFonts w:ascii="仿宋_GB2312" w:eastAsia="仿宋_GB2312" w:hAnsi="仿宋_GB2312" w:cs="仿宋_GB2312" w:hint="eastAsia"/>
          <w:sz w:val="32"/>
          <w:szCs w:val="40"/>
        </w:rPr>
        <w:lastRenderedPageBreak/>
        <w:t>进一步健全秸秆收储运体系，秸秆饲料化利用加快发展，秸秆产业化利用水平稳步提高，秸秆综合利用率达到</w:t>
      </w:r>
      <w:r>
        <w:rPr>
          <w:rFonts w:ascii="仿宋_GB2312" w:eastAsia="仿宋_GB2312" w:hAnsi="仿宋_GB2312" w:cs="仿宋_GB2312" w:hint="eastAsia"/>
          <w:sz w:val="32"/>
          <w:szCs w:val="40"/>
        </w:rPr>
        <w:t>96%</w:t>
      </w:r>
      <w:r>
        <w:rPr>
          <w:rFonts w:ascii="仿宋_GB2312" w:eastAsia="仿宋_GB2312" w:hAnsi="仿宋_GB2312" w:cs="仿宋_GB2312" w:hint="eastAsia"/>
          <w:sz w:val="32"/>
          <w:szCs w:val="40"/>
        </w:rPr>
        <w:t>以上</w:t>
      </w:r>
      <w:r>
        <w:rPr>
          <w:rFonts w:ascii="仿宋_GB2312" w:eastAsia="仿宋_GB2312" w:hAnsi="仿宋_GB2312" w:cs="仿宋_GB2312" w:hint="eastAsia"/>
          <w:sz w:val="32"/>
          <w:szCs w:val="40"/>
        </w:rPr>
        <w:t>。</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项目主要内容</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根据《青岛市</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年农作物秸秆综合利用重点县建设实施方案》（青农计财</w:t>
      </w:r>
      <w:r>
        <w:rPr>
          <w:rFonts w:ascii="仿宋_GB2312" w:eastAsia="仿宋_GB2312" w:hAnsi="仿宋_GB2312" w:cs="仿宋_GB2312" w:hint="eastAsia"/>
          <w:sz w:val="32"/>
          <w:szCs w:val="40"/>
        </w:rPr>
        <w:t>字〔</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31</w:t>
      </w:r>
      <w:r>
        <w:rPr>
          <w:rFonts w:ascii="仿宋_GB2312" w:eastAsia="仿宋_GB2312" w:hAnsi="仿宋_GB2312" w:cs="仿宋_GB2312" w:hint="eastAsia"/>
          <w:sz w:val="32"/>
          <w:szCs w:val="40"/>
        </w:rPr>
        <w:t>号），</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年全市建设秸秆还田沃土利用县</w:t>
      </w: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个、综合利用县</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个，各区（市）任务分解</w:t>
      </w:r>
      <w:r>
        <w:rPr>
          <w:rFonts w:ascii="仿宋_GB2312" w:eastAsia="仿宋_GB2312" w:hAnsi="仿宋_GB2312" w:cs="仿宋_GB2312" w:hint="eastAsia"/>
          <w:sz w:val="32"/>
          <w:szCs w:val="40"/>
        </w:rPr>
        <w:t>如下</w:t>
      </w:r>
      <w:r>
        <w:rPr>
          <w:rFonts w:ascii="仿宋_GB2312" w:eastAsia="仿宋_GB2312" w:hAnsi="仿宋_GB2312" w:cs="仿宋_GB2312" w:hint="eastAsia"/>
          <w:sz w:val="32"/>
          <w:szCs w:val="40"/>
        </w:rPr>
        <w:t>：</w:t>
      </w:r>
    </w:p>
    <w:p w:rsidR="00267EF2" w:rsidRDefault="00A312EF">
      <w:pPr>
        <w:spacing w:line="560" w:lineRule="exact"/>
        <w:ind w:firstLineChars="200" w:firstLine="560"/>
        <w:jc w:val="center"/>
        <w:rPr>
          <w:rFonts w:ascii="仿宋_GB2312" w:eastAsia="仿宋_GB2312" w:hAnsi="仿宋_GB2312" w:cs="仿宋_GB2312"/>
          <w:sz w:val="32"/>
          <w:szCs w:val="40"/>
        </w:rPr>
      </w:pPr>
      <w:r>
        <w:rPr>
          <w:rFonts w:ascii="黑体" w:eastAsia="黑体" w:hAnsi="黑体" w:cs="黑体" w:hint="eastAsia"/>
          <w:sz w:val="28"/>
          <w:szCs w:val="28"/>
        </w:rPr>
        <w:t>青岛市</w:t>
      </w:r>
      <w:r>
        <w:rPr>
          <w:rFonts w:ascii="黑体" w:eastAsia="黑体" w:hAnsi="黑体" w:cs="黑体" w:hint="eastAsia"/>
          <w:sz w:val="28"/>
          <w:szCs w:val="28"/>
        </w:rPr>
        <w:t>2025</w:t>
      </w:r>
      <w:r>
        <w:rPr>
          <w:rFonts w:ascii="黑体" w:eastAsia="黑体" w:hAnsi="黑体" w:cs="黑体" w:hint="eastAsia"/>
          <w:sz w:val="28"/>
          <w:szCs w:val="28"/>
        </w:rPr>
        <w:t>年秸秆综合利用重点县任务清单</w:t>
      </w:r>
    </w:p>
    <w:tbl>
      <w:tblPr>
        <w:tblW w:w="87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80"/>
        <w:gridCol w:w="439"/>
        <w:gridCol w:w="753"/>
        <w:gridCol w:w="768"/>
        <w:gridCol w:w="804"/>
        <w:gridCol w:w="792"/>
        <w:gridCol w:w="816"/>
        <w:gridCol w:w="708"/>
        <w:gridCol w:w="848"/>
        <w:gridCol w:w="676"/>
        <w:gridCol w:w="744"/>
        <w:gridCol w:w="892"/>
      </w:tblGrid>
      <w:tr w:rsidR="00267EF2">
        <w:trPr>
          <w:trHeight w:val="588"/>
          <w:tblHeader/>
          <w:jc w:val="center"/>
        </w:trPr>
        <w:tc>
          <w:tcPr>
            <w:tcW w:w="480" w:type="dxa"/>
            <w:vMerge w:val="restart"/>
            <w:tcBorders>
              <w:top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项目</w:t>
            </w:r>
          </w:p>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区市</w:t>
            </w:r>
          </w:p>
        </w:tc>
        <w:tc>
          <w:tcPr>
            <w:tcW w:w="439" w:type="dxa"/>
            <w:vMerge w:val="restart"/>
            <w:tcBorders>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利用</w:t>
            </w:r>
          </w:p>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类型</w:t>
            </w:r>
          </w:p>
        </w:tc>
        <w:tc>
          <w:tcPr>
            <w:tcW w:w="3117" w:type="dxa"/>
            <w:gridSpan w:val="4"/>
            <w:tcBorders>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秸秆肥料利用</w:t>
            </w:r>
          </w:p>
        </w:tc>
        <w:tc>
          <w:tcPr>
            <w:tcW w:w="1524" w:type="dxa"/>
            <w:gridSpan w:val="2"/>
            <w:tcBorders>
              <w:left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秸秆饲料利用</w:t>
            </w:r>
          </w:p>
        </w:tc>
        <w:tc>
          <w:tcPr>
            <w:tcW w:w="1524" w:type="dxa"/>
            <w:gridSpan w:val="2"/>
            <w:tcBorders>
              <w:left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秸秆基料利用</w:t>
            </w:r>
          </w:p>
        </w:tc>
        <w:tc>
          <w:tcPr>
            <w:tcW w:w="1636" w:type="dxa"/>
            <w:gridSpan w:val="2"/>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秸秆能源利用</w:t>
            </w:r>
          </w:p>
        </w:tc>
      </w:tr>
      <w:tr w:rsidR="00267EF2">
        <w:trPr>
          <w:trHeight w:val="644"/>
          <w:tblHeader/>
          <w:jc w:val="center"/>
        </w:trPr>
        <w:tc>
          <w:tcPr>
            <w:tcW w:w="480" w:type="dxa"/>
            <w:vMerge/>
            <w:noWrap/>
            <w:vAlign w:val="center"/>
          </w:tcPr>
          <w:p w:rsidR="00267EF2" w:rsidRDefault="00267EF2">
            <w:pPr>
              <w:widowControl/>
              <w:snapToGrid w:val="0"/>
              <w:jc w:val="left"/>
              <w:rPr>
                <w:rFonts w:ascii="宋体" w:eastAsia="宋体" w:hAnsi="宋体" w:cs="宋体"/>
                <w:b/>
                <w:bCs/>
                <w:kern w:val="0"/>
                <w:szCs w:val="21"/>
              </w:rPr>
            </w:pPr>
          </w:p>
        </w:tc>
        <w:tc>
          <w:tcPr>
            <w:tcW w:w="439" w:type="dxa"/>
            <w:vMerge/>
            <w:tcBorders>
              <w:right w:val="single" w:sz="4" w:space="0" w:color="auto"/>
            </w:tcBorders>
            <w:noWrap/>
            <w:vAlign w:val="center"/>
          </w:tcPr>
          <w:p w:rsidR="00267EF2" w:rsidRDefault="00267EF2">
            <w:pPr>
              <w:widowControl/>
              <w:snapToGrid w:val="0"/>
              <w:jc w:val="center"/>
              <w:rPr>
                <w:rFonts w:ascii="宋体" w:eastAsia="宋体" w:hAnsi="宋体" w:cs="宋体"/>
                <w:b/>
                <w:bCs/>
                <w:kern w:val="0"/>
                <w:szCs w:val="21"/>
              </w:rPr>
            </w:pPr>
          </w:p>
        </w:tc>
        <w:tc>
          <w:tcPr>
            <w:tcW w:w="1521" w:type="dxa"/>
            <w:gridSpan w:val="2"/>
            <w:tcBorders>
              <w:top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直接还田</w:t>
            </w:r>
          </w:p>
        </w:tc>
        <w:tc>
          <w:tcPr>
            <w:tcW w:w="1596" w:type="dxa"/>
            <w:gridSpan w:val="2"/>
            <w:tcBorders>
              <w:top w:val="single" w:sz="4" w:space="0" w:color="auto"/>
              <w:left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堆肥还田</w:t>
            </w:r>
          </w:p>
        </w:tc>
        <w:tc>
          <w:tcPr>
            <w:tcW w:w="816" w:type="dxa"/>
            <w:vMerge w:val="restart"/>
            <w:tcBorders>
              <w:top w:val="single" w:sz="4" w:space="0" w:color="auto"/>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黄贮或直接饲喂秸秆（万吨）</w:t>
            </w:r>
          </w:p>
        </w:tc>
        <w:tc>
          <w:tcPr>
            <w:tcW w:w="708" w:type="dxa"/>
            <w:vMerge w:val="restart"/>
            <w:tcBorders>
              <w:top w:val="single" w:sz="4" w:space="0" w:color="auto"/>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新建黄贮窖池（万立方米）</w:t>
            </w:r>
          </w:p>
        </w:tc>
        <w:tc>
          <w:tcPr>
            <w:tcW w:w="848" w:type="dxa"/>
            <w:vMerge w:val="restart"/>
            <w:tcBorders>
              <w:top w:val="single" w:sz="4" w:space="0" w:color="auto"/>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b/>
                <w:bCs/>
                <w:kern w:val="0"/>
                <w:szCs w:val="21"/>
              </w:rPr>
              <w:t>使用秸秆（万吨）</w:t>
            </w:r>
          </w:p>
        </w:tc>
        <w:tc>
          <w:tcPr>
            <w:tcW w:w="676" w:type="dxa"/>
            <w:vMerge w:val="restart"/>
            <w:tcBorders>
              <w:top w:val="single" w:sz="4" w:space="0" w:color="auto"/>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b/>
                <w:bCs/>
                <w:kern w:val="0"/>
                <w:szCs w:val="21"/>
              </w:rPr>
              <w:t>生产草腐食用菌（吨）</w:t>
            </w:r>
          </w:p>
        </w:tc>
        <w:tc>
          <w:tcPr>
            <w:tcW w:w="744" w:type="dxa"/>
            <w:vMerge w:val="restart"/>
            <w:tcBorders>
              <w:top w:val="single" w:sz="4" w:space="0" w:color="auto"/>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使用秸秆（万吨）</w:t>
            </w:r>
          </w:p>
        </w:tc>
        <w:tc>
          <w:tcPr>
            <w:tcW w:w="892" w:type="dxa"/>
            <w:vMerge w:val="restart"/>
            <w:tcBorders>
              <w:top w:val="single" w:sz="4" w:space="0" w:color="auto"/>
              <w:lef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生产秸秆生物质颗粒（万吨）</w:t>
            </w:r>
          </w:p>
        </w:tc>
      </w:tr>
      <w:tr w:rsidR="00267EF2">
        <w:trPr>
          <w:tblHeader/>
          <w:jc w:val="center"/>
        </w:trPr>
        <w:tc>
          <w:tcPr>
            <w:tcW w:w="480" w:type="dxa"/>
            <w:vMerge/>
            <w:noWrap/>
            <w:vAlign w:val="center"/>
          </w:tcPr>
          <w:p w:rsidR="00267EF2" w:rsidRDefault="00267EF2">
            <w:pPr>
              <w:widowControl/>
              <w:snapToGrid w:val="0"/>
              <w:spacing w:line="560" w:lineRule="exact"/>
              <w:jc w:val="left"/>
              <w:rPr>
                <w:rFonts w:ascii="宋体" w:eastAsia="宋体" w:hAnsi="宋体" w:cs="宋体"/>
                <w:b/>
                <w:bCs/>
                <w:kern w:val="0"/>
                <w:szCs w:val="21"/>
              </w:rPr>
            </w:pPr>
          </w:p>
        </w:tc>
        <w:tc>
          <w:tcPr>
            <w:tcW w:w="439" w:type="dxa"/>
            <w:vMerge/>
            <w:tcBorders>
              <w:right w:val="single" w:sz="4" w:space="0" w:color="auto"/>
            </w:tcBorders>
            <w:noWrap/>
            <w:vAlign w:val="center"/>
          </w:tcPr>
          <w:p w:rsidR="00267EF2" w:rsidRDefault="00267EF2">
            <w:pPr>
              <w:widowControl/>
              <w:snapToGrid w:val="0"/>
              <w:spacing w:line="560" w:lineRule="exact"/>
              <w:jc w:val="center"/>
              <w:rPr>
                <w:rFonts w:ascii="宋体" w:eastAsia="宋体" w:hAnsi="宋体" w:cs="宋体"/>
                <w:b/>
                <w:bCs/>
                <w:kern w:val="0"/>
                <w:szCs w:val="21"/>
              </w:rPr>
            </w:pPr>
          </w:p>
        </w:tc>
        <w:tc>
          <w:tcPr>
            <w:tcW w:w="753" w:type="dxa"/>
            <w:tcBorders>
              <w:top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还田面积</w:t>
            </w:r>
          </w:p>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（万亩）</w:t>
            </w:r>
          </w:p>
        </w:tc>
        <w:tc>
          <w:tcPr>
            <w:tcW w:w="768" w:type="dxa"/>
            <w:tcBorders>
              <w:top w:val="single" w:sz="4" w:space="0" w:color="auto"/>
              <w:left w:val="single" w:sz="4" w:space="0" w:color="auto"/>
              <w:right w:val="single" w:sz="4" w:space="0" w:color="auto"/>
            </w:tcBorders>
            <w:noWrap/>
            <w:vAlign w:val="center"/>
          </w:tcPr>
          <w:p w:rsidR="00267EF2" w:rsidRDefault="00A312EF">
            <w:pPr>
              <w:widowControl/>
              <w:snapToGrid w:val="0"/>
              <w:rPr>
                <w:rFonts w:ascii="宋体" w:eastAsia="宋体" w:hAnsi="宋体" w:cs="宋体"/>
                <w:b/>
                <w:bCs/>
                <w:kern w:val="0"/>
                <w:szCs w:val="21"/>
              </w:rPr>
            </w:pPr>
            <w:r>
              <w:rPr>
                <w:rFonts w:ascii="宋体" w:eastAsia="宋体" w:hAnsi="宋体" w:cs="宋体" w:hint="eastAsia"/>
                <w:b/>
                <w:bCs/>
                <w:kern w:val="0"/>
                <w:szCs w:val="21"/>
              </w:rPr>
              <w:t>其中：千亩还田展示区（个）</w:t>
            </w:r>
          </w:p>
        </w:tc>
        <w:tc>
          <w:tcPr>
            <w:tcW w:w="804" w:type="dxa"/>
            <w:tcBorders>
              <w:top w:val="single" w:sz="4" w:space="0" w:color="auto"/>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使用秸秆（万吨）</w:t>
            </w:r>
          </w:p>
        </w:tc>
        <w:tc>
          <w:tcPr>
            <w:tcW w:w="792" w:type="dxa"/>
            <w:tcBorders>
              <w:top w:val="single" w:sz="4" w:space="0" w:color="auto"/>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b/>
                <w:bCs/>
                <w:kern w:val="0"/>
                <w:szCs w:val="21"/>
              </w:rPr>
            </w:pPr>
            <w:r>
              <w:rPr>
                <w:rFonts w:ascii="宋体" w:eastAsia="宋体" w:hAnsi="宋体" w:cs="宋体" w:hint="eastAsia"/>
                <w:b/>
                <w:bCs/>
                <w:kern w:val="0"/>
                <w:szCs w:val="21"/>
              </w:rPr>
              <w:t>堆肥（万方）</w:t>
            </w:r>
          </w:p>
        </w:tc>
        <w:tc>
          <w:tcPr>
            <w:tcW w:w="816" w:type="dxa"/>
            <w:vMerge/>
            <w:tcBorders>
              <w:left w:val="single" w:sz="4" w:space="0" w:color="auto"/>
              <w:right w:val="single" w:sz="4" w:space="0" w:color="auto"/>
            </w:tcBorders>
            <w:noWrap/>
            <w:vAlign w:val="center"/>
          </w:tcPr>
          <w:p w:rsidR="00267EF2" w:rsidRDefault="00267EF2">
            <w:pPr>
              <w:widowControl/>
              <w:snapToGrid w:val="0"/>
              <w:spacing w:line="560" w:lineRule="exact"/>
              <w:jc w:val="center"/>
              <w:rPr>
                <w:rFonts w:ascii="宋体" w:eastAsia="宋体" w:hAnsi="宋体" w:cs="宋体"/>
                <w:b/>
                <w:bCs/>
                <w:kern w:val="0"/>
                <w:szCs w:val="21"/>
              </w:rPr>
            </w:pPr>
          </w:p>
        </w:tc>
        <w:tc>
          <w:tcPr>
            <w:tcW w:w="708" w:type="dxa"/>
            <w:vMerge/>
            <w:tcBorders>
              <w:left w:val="single" w:sz="4" w:space="0" w:color="auto"/>
              <w:right w:val="single" w:sz="4" w:space="0" w:color="auto"/>
            </w:tcBorders>
            <w:noWrap/>
            <w:vAlign w:val="center"/>
          </w:tcPr>
          <w:p w:rsidR="00267EF2" w:rsidRDefault="00267EF2">
            <w:pPr>
              <w:widowControl/>
              <w:snapToGrid w:val="0"/>
              <w:spacing w:line="560" w:lineRule="exact"/>
              <w:jc w:val="center"/>
              <w:rPr>
                <w:rFonts w:ascii="宋体" w:eastAsia="宋体" w:hAnsi="宋体" w:cs="宋体"/>
                <w:b/>
                <w:bCs/>
                <w:kern w:val="0"/>
                <w:szCs w:val="21"/>
              </w:rPr>
            </w:pPr>
          </w:p>
        </w:tc>
        <w:tc>
          <w:tcPr>
            <w:tcW w:w="848" w:type="dxa"/>
            <w:vMerge/>
            <w:tcBorders>
              <w:left w:val="single" w:sz="4" w:space="0" w:color="auto"/>
              <w:right w:val="single" w:sz="4" w:space="0" w:color="auto"/>
            </w:tcBorders>
            <w:noWrap/>
            <w:vAlign w:val="center"/>
          </w:tcPr>
          <w:p w:rsidR="00267EF2" w:rsidRDefault="00267EF2">
            <w:pPr>
              <w:widowControl/>
              <w:snapToGrid w:val="0"/>
              <w:spacing w:line="560" w:lineRule="exact"/>
              <w:jc w:val="center"/>
              <w:rPr>
                <w:rFonts w:ascii="宋体" w:eastAsia="宋体" w:hAnsi="宋体" w:cs="宋体"/>
                <w:b/>
                <w:bCs/>
                <w:kern w:val="0"/>
                <w:szCs w:val="21"/>
              </w:rPr>
            </w:pPr>
          </w:p>
        </w:tc>
        <w:tc>
          <w:tcPr>
            <w:tcW w:w="676" w:type="dxa"/>
            <w:vMerge/>
            <w:tcBorders>
              <w:left w:val="single" w:sz="4" w:space="0" w:color="auto"/>
            </w:tcBorders>
            <w:noWrap/>
            <w:vAlign w:val="center"/>
          </w:tcPr>
          <w:p w:rsidR="00267EF2" w:rsidRDefault="00267EF2">
            <w:pPr>
              <w:widowControl/>
              <w:snapToGrid w:val="0"/>
              <w:spacing w:line="560" w:lineRule="exact"/>
              <w:jc w:val="center"/>
              <w:rPr>
                <w:rFonts w:ascii="宋体" w:eastAsia="宋体" w:hAnsi="宋体" w:cs="宋体"/>
                <w:b/>
                <w:bCs/>
                <w:kern w:val="0"/>
                <w:szCs w:val="21"/>
              </w:rPr>
            </w:pPr>
          </w:p>
        </w:tc>
        <w:tc>
          <w:tcPr>
            <w:tcW w:w="744" w:type="dxa"/>
            <w:vMerge/>
            <w:tcBorders>
              <w:left w:val="single" w:sz="4" w:space="0" w:color="auto"/>
              <w:right w:val="single" w:sz="4" w:space="0" w:color="auto"/>
            </w:tcBorders>
            <w:noWrap/>
            <w:vAlign w:val="center"/>
          </w:tcPr>
          <w:p w:rsidR="00267EF2" w:rsidRDefault="00267EF2">
            <w:pPr>
              <w:widowControl/>
              <w:snapToGrid w:val="0"/>
              <w:spacing w:line="560" w:lineRule="exact"/>
              <w:jc w:val="center"/>
              <w:rPr>
                <w:rFonts w:ascii="宋体" w:eastAsia="宋体" w:hAnsi="宋体" w:cs="宋体"/>
                <w:b/>
                <w:bCs/>
                <w:kern w:val="0"/>
                <w:szCs w:val="21"/>
              </w:rPr>
            </w:pPr>
          </w:p>
        </w:tc>
        <w:tc>
          <w:tcPr>
            <w:tcW w:w="892" w:type="dxa"/>
            <w:vMerge/>
            <w:tcBorders>
              <w:left w:val="single" w:sz="4" w:space="0" w:color="auto"/>
            </w:tcBorders>
            <w:noWrap/>
            <w:vAlign w:val="center"/>
          </w:tcPr>
          <w:p w:rsidR="00267EF2" w:rsidRDefault="00267EF2">
            <w:pPr>
              <w:widowControl/>
              <w:snapToGrid w:val="0"/>
              <w:spacing w:line="560" w:lineRule="exact"/>
              <w:jc w:val="center"/>
              <w:rPr>
                <w:rFonts w:ascii="宋体" w:eastAsia="宋体" w:hAnsi="宋体" w:cs="宋体"/>
                <w:b/>
                <w:bCs/>
                <w:kern w:val="0"/>
                <w:szCs w:val="21"/>
              </w:rPr>
            </w:pPr>
          </w:p>
        </w:tc>
      </w:tr>
      <w:tr w:rsidR="00267EF2">
        <w:trPr>
          <w:tblHeader/>
          <w:jc w:val="center"/>
        </w:trPr>
        <w:tc>
          <w:tcPr>
            <w:tcW w:w="480" w:type="dxa"/>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西海岸新区</w:t>
            </w:r>
          </w:p>
        </w:tc>
        <w:tc>
          <w:tcPr>
            <w:tcW w:w="439" w:type="dxa"/>
            <w:tcBorders>
              <w:top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还田</w:t>
            </w:r>
          </w:p>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沃土</w:t>
            </w:r>
          </w:p>
        </w:tc>
        <w:tc>
          <w:tcPr>
            <w:tcW w:w="753" w:type="dxa"/>
            <w:tcBorders>
              <w:top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2</w:t>
            </w:r>
          </w:p>
        </w:tc>
        <w:tc>
          <w:tcPr>
            <w:tcW w:w="768" w:type="dxa"/>
            <w:tcBorders>
              <w:top w:val="single" w:sz="4" w:space="0" w:color="auto"/>
              <w:left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1</w:t>
            </w:r>
          </w:p>
        </w:tc>
        <w:tc>
          <w:tcPr>
            <w:tcW w:w="804"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1.6</w:t>
            </w:r>
          </w:p>
        </w:tc>
        <w:tc>
          <w:tcPr>
            <w:tcW w:w="792"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1.6</w:t>
            </w:r>
          </w:p>
        </w:tc>
        <w:tc>
          <w:tcPr>
            <w:tcW w:w="816"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c>
          <w:tcPr>
            <w:tcW w:w="708"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c>
          <w:tcPr>
            <w:tcW w:w="848"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c>
          <w:tcPr>
            <w:tcW w:w="676"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c>
          <w:tcPr>
            <w:tcW w:w="744"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c>
          <w:tcPr>
            <w:tcW w:w="892"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r>
      <w:tr w:rsidR="00267EF2">
        <w:trPr>
          <w:tblHeader/>
          <w:jc w:val="center"/>
        </w:trPr>
        <w:tc>
          <w:tcPr>
            <w:tcW w:w="480" w:type="dxa"/>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即墨区</w:t>
            </w:r>
          </w:p>
        </w:tc>
        <w:tc>
          <w:tcPr>
            <w:tcW w:w="439" w:type="dxa"/>
            <w:tcBorders>
              <w:top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还田</w:t>
            </w:r>
          </w:p>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沃土</w:t>
            </w:r>
          </w:p>
        </w:tc>
        <w:tc>
          <w:tcPr>
            <w:tcW w:w="753" w:type="dxa"/>
            <w:tcBorders>
              <w:top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2</w:t>
            </w:r>
          </w:p>
        </w:tc>
        <w:tc>
          <w:tcPr>
            <w:tcW w:w="768" w:type="dxa"/>
            <w:tcBorders>
              <w:top w:val="single" w:sz="4" w:space="0" w:color="auto"/>
              <w:left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1</w:t>
            </w:r>
          </w:p>
        </w:tc>
        <w:tc>
          <w:tcPr>
            <w:tcW w:w="804"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1.5</w:t>
            </w:r>
          </w:p>
        </w:tc>
        <w:tc>
          <w:tcPr>
            <w:tcW w:w="792"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1.5</w:t>
            </w:r>
          </w:p>
        </w:tc>
        <w:tc>
          <w:tcPr>
            <w:tcW w:w="816"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0.5</w:t>
            </w:r>
          </w:p>
        </w:tc>
        <w:tc>
          <w:tcPr>
            <w:tcW w:w="708"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c>
          <w:tcPr>
            <w:tcW w:w="848"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c>
          <w:tcPr>
            <w:tcW w:w="676"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c>
          <w:tcPr>
            <w:tcW w:w="744"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c>
          <w:tcPr>
            <w:tcW w:w="892"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r>
      <w:tr w:rsidR="00267EF2">
        <w:trPr>
          <w:tblHeader/>
          <w:jc w:val="center"/>
        </w:trPr>
        <w:tc>
          <w:tcPr>
            <w:tcW w:w="480" w:type="dxa"/>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莱西市</w:t>
            </w:r>
          </w:p>
        </w:tc>
        <w:tc>
          <w:tcPr>
            <w:tcW w:w="439" w:type="dxa"/>
            <w:tcBorders>
              <w:top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综合</w:t>
            </w:r>
          </w:p>
        </w:tc>
        <w:tc>
          <w:tcPr>
            <w:tcW w:w="753" w:type="dxa"/>
            <w:tcBorders>
              <w:top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0.5</w:t>
            </w:r>
          </w:p>
        </w:tc>
        <w:tc>
          <w:tcPr>
            <w:tcW w:w="768" w:type="dxa"/>
            <w:tcBorders>
              <w:top w:val="single" w:sz="4" w:space="0" w:color="auto"/>
              <w:left w:val="single" w:sz="4" w:space="0" w:color="auto"/>
              <w:bottom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0</w:t>
            </w:r>
          </w:p>
        </w:tc>
        <w:tc>
          <w:tcPr>
            <w:tcW w:w="804"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0.5</w:t>
            </w:r>
          </w:p>
        </w:tc>
        <w:tc>
          <w:tcPr>
            <w:tcW w:w="792"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0.5</w:t>
            </w:r>
          </w:p>
        </w:tc>
        <w:tc>
          <w:tcPr>
            <w:tcW w:w="816"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3</w:t>
            </w:r>
          </w:p>
        </w:tc>
        <w:tc>
          <w:tcPr>
            <w:tcW w:w="708"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1</w:t>
            </w:r>
          </w:p>
        </w:tc>
        <w:tc>
          <w:tcPr>
            <w:tcW w:w="848"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0.16</w:t>
            </w:r>
          </w:p>
        </w:tc>
        <w:tc>
          <w:tcPr>
            <w:tcW w:w="676"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40</w:t>
            </w:r>
          </w:p>
        </w:tc>
        <w:tc>
          <w:tcPr>
            <w:tcW w:w="744"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0.7</w:t>
            </w:r>
          </w:p>
        </w:tc>
        <w:tc>
          <w:tcPr>
            <w:tcW w:w="892"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0.5</w:t>
            </w:r>
          </w:p>
        </w:tc>
      </w:tr>
      <w:tr w:rsidR="00267EF2">
        <w:trPr>
          <w:tblHeader/>
          <w:jc w:val="center"/>
        </w:trPr>
        <w:tc>
          <w:tcPr>
            <w:tcW w:w="480" w:type="dxa"/>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合计</w:t>
            </w:r>
          </w:p>
        </w:tc>
        <w:tc>
          <w:tcPr>
            <w:tcW w:w="439" w:type="dxa"/>
            <w:tcBorders>
              <w:top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p>
        </w:tc>
        <w:tc>
          <w:tcPr>
            <w:tcW w:w="753" w:type="dxa"/>
            <w:tcBorders>
              <w:top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4.5</w:t>
            </w:r>
          </w:p>
        </w:tc>
        <w:tc>
          <w:tcPr>
            <w:tcW w:w="768" w:type="dxa"/>
            <w:tcBorders>
              <w:top w:val="single" w:sz="4" w:space="0" w:color="auto"/>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2</w:t>
            </w:r>
          </w:p>
        </w:tc>
        <w:tc>
          <w:tcPr>
            <w:tcW w:w="804"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3.6</w:t>
            </w:r>
          </w:p>
        </w:tc>
        <w:tc>
          <w:tcPr>
            <w:tcW w:w="792"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3.6</w:t>
            </w:r>
          </w:p>
        </w:tc>
        <w:tc>
          <w:tcPr>
            <w:tcW w:w="816"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3.5</w:t>
            </w:r>
          </w:p>
        </w:tc>
        <w:tc>
          <w:tcPr>
            <w:tcW w:w="708"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1</w:t>
            </w:r>
          </w:p>
        </w:tc>
        <w:tc>
          <w:tcPr>
            <w:tcW w:w="848"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0.16</w:t>
            </w:r>
          </w:p>
        </w:tc>
        <w:tc>
          <w:tcPr>
            <w:tcW w:w="676"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40</w:t>
            </w:r>
          </w:p>
        </w:tc>
        <w:tc>
          <w:tcPr>
            <w:tcW w:w="744" w:type="dxa"/>
            <w:tcBorders>
              <w:left w:val="single" w:sz="4" w:space="0" w:color="auto"/>
              <w:righ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0.7</w:t>
            </w:r>
          </w:p>
        </w:tc>
        <w:tc>
          <w:tcPr>
            <w:tcW w:w="892" w:type="dxa"/>
            <w:tcBorders>
              <w:left w:val="single" w:sz="4" w:space="0" w:color="auto"/>
            </w:tcBorders>
            <w:noWrap/>
            <w:vAlign w:val="center"/>
          </w:tcPr>
          <w:p w:rsidR="00267EF2" w:rsidRDefault="00A312EF">
            <w:pPr>
              <w:widowControl/>
              <w:snapToGrid w:val="0"/>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hint="eastAsia"/>
                <w:kern w:val="0"/>
                <w:szCs w:val="21"/>
              </w:rPr>
              <w:t>0.5</w:t>
            </w:r>
          </w:p>
        </w:tc>
      </w:tr>
    </w:tbl>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围绕上述目标任务，方案明确了六项重点任务：</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一是</w:t>
      </w:r>
      <w:r>
        <w:rPr>
          <w:rFonts w:ascii="仿宋_GB2312" w:eastAsia="仿宋_GB2312" w:hAnsi="仿宋_GB2312" w:cs="仿宋_GB2312" w:hint="eastAsia"/>
          <w:b/>
          <w:bCs/>
          <w:sz w:val="32"/>
          <w:szCs w:val="40"/>
        </w:rPr>
        <w:t>推进秸秆科学还田。</w:t>
      </w:r>
      <w:r>
        <w:rPr>
          <w:rFonts w:ascii="仿宋_GB2312" w:eastAsia="仿宋_GB2312" w:hAnsi="仿宋_GB2312" w:cs="仿宋_GB2312" w:hint="eastAsia"/>
          <w:sz w:val="32"/>
          <w:szCs w:val="40"/>
        </w:rPr>
        <w:t>聚焦小麦、玉米等主要农作物，因地制宜推广覆盖、碎混、深翻等秸秆还田措施，大力推广玉米秸秆先粉碎覆盖农田，再撒施尿素、腐熟剂，最后深翻</w:t>
      </w:r>
      <w:r>
        <w:rPr>
          <w:rFonts w:ascii="仿宋_GB2312" w:eastAsia="仿宋_GB2312" w:hAnsi="仿宋_GB2312" w:cs="仿宋_GB2312" w:hint="eastAsia"/>
          <w:sz w:val="32"/>
          <w:szCs w:val="40"/>
        </w:rPr>
        <w:lastRenderedPageBreak/>
        <w:t>地下的“三步法”还田模式，形成农机农艺深度融合的综合解决方案。打造秸秆高效还田千亩以上展示区，形成秸秆科学还田技术规程，带动规范化、机械化还田作业。作业地块每亩撒施尿素不少于</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公斤、腐熟剂不少于</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公斤（有效活菌数≥</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亿</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克）</w:t>
      </w:r>
      <w:r>
        <w:rPr>
          <w:rFonts w:ascii="仿宋_GB2312" w:eastAsia="仿宋_GB2312" w:hAnsi="仿宋_GB2312" w:cs="仿宋_GB2312" w:hint="eastAsia"/>
          <w:sz w:val="32"/>
          <w:szCs w:val="40"/>
        </w:rPr>
        <w:t>。</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二是</w:t>
      </w:r>
      <w:r>
        <w:rPr>
          <w:rFonts w:ascii="仿宋_GB2312" w:eastAsia="仿宋_GB2312" w:hAnsi="仿宋_GB2312" w:cs="仿宋_GB2312" w:hint="eastAsia"/>
          <w:b/>
          <w:bCs/>
          <w:sz w:val="32"/>
          <w:szCs w:val="40"/>
        </w:rPr>
        <w:t>推进秸秆离田堆肥。</w:t>
      </w:r>
      <w:r>
        <w:rPr>
          <w:rFonts w:ascii="仿宋_GB2312" w:eastAsia="仿宋_GB2312" w:hAnsi="仿宋_GB2312" w:cs="仿宋_GB2312" w:hint="eastAsia"/>
          <w:sz w:val="32"/>
          <w:szCs w:val="40"/>
        </w:rPr>
        <w:t>鼓励粮油规模种植主体、畜禽规模养殖场，以及马铃薯、甘薯种植基地等，以农作物秸秆为主料，畜禽粪便、蔬菜尾菜等其他农业废弃物为辅料，添加生物菌剂或腐熟剂，充分发酵腐熟后形成优质有机肥，就近就地还田利用。堆肥质量应满足有关堆肥技术要求，其中，氮磷钾含量不低于</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，有机质含量不低于</w:t>
      </w:r>
      <w:r>
        <w:rPr>
          <w:rFonts w:ascii="仿宋_GB2312" w:eastAsia="仿宋_GB2312" w:hAnsi="仿宋_GB2312" w:cs="仿宋_GB2312" w:hint="eastAsia"/>
          <w:sz w:val="32"/>
          <w:szCs w:val="40"/>
        </w:rPr>
        <w:t>25%</w:t>
      </w:r>
      <w:r>
        <w:rPr>
          <w:rFonts w:ascii="仿宋_GB2312" w:eastAsia="仿宋_GB2312" w:hAnsi="仿宋_GB2312" w:cs="仿宋_GB2312" w:hint="eastAsia"/>
          <w:sz w:val="32"/>
          <w:szCs w:val="40"/>
        </w:rPr>
        <w:t>，含水量不高于</w:t>
      </w:r>
      <w:r>
        <w:rPr>
          <w:rFonts w:ascii="仿宋_GB2312" w:eastAsia="仿宋_GB2312" w:hAnsi="仿宋_GB2312" w:cs="仿宋_GB2312" w:hint="eastAsia"/>
          <w:sz w:val="32"/>
          <w:szCs w:val="40"/>
        </w:rPr>
        <w:t>40%</w:t>
      </w:r>
      <w:r>
        <w:rPr>
          <w:rFonts w:ascii="仿宋_GB2312" w:eastAsia="仿宋_GB2312" w:hAnsi="仿宋_GB2312" w:cs="仿宋_GB2312" w:hint="eastAsia"/>
          <w:sz w:val="32"/>
          <w:szCs w:val="40"/>
        </w:rPr>
        <w:t>。</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三是</w:t>
      </w:r>
      <w:r>
        <w:rPr>
          <w:rFonts w:ascii="仿宋_GB2312" w:eastAsia="仿宋_GB2312" w:hAnsi="仿宋_GB2312" w:cs="仿宋_GB2312" w:hint="eastAsia"/>
          <w:b/>
          <w:bCs/>
          <w:sz w:val="32"/>
          <w:szCs w:val="40"/>
        </w:rPr>
        <w:t>促进秸秆饲料转化。</w:t>
      </w:r>
      <w:r>
        <w:rPr>
          <w:rFonts w:ascii="仿宋_GB2312" w:eastAsia="仿宋_GB2312" w:hAnsi="仿宋_GB2312" w:cs="仿宋_GB2312" w:hint="eastAsia"/>
          <w:sz w:val="32"/>
          <w:szCs w:val="40"/>
        </w:rPr>
        <w:t>结合草食动物养殖情况和秸秆资源情况，开展秸秆饲料化利用专项行动，培育壮大秸秆养畜产业，健全秸秆饲料收储体系，支持龙头企业发展，加快秸秆饲料转化增值。加快秸秆清选揉丝、破</w:t>
      </w:r>
      <w:r>
        <w:rPr>
          <w:rFonts w:ascii="仿宋_GB2312" w:eastAsia="仿宋_GB2312" w:hAnsi="仿宋_GB2312" w:cs="仿宋_GB2312" w:hint="eastAsia"/>
          <w:sz w:val="32"/>
          <w:szCs w:val="40"/>
        </w:rPr>
        <w:t>壁处理、菌酶发酵、颗粒饲料、全日粮配方等先进适用技术推广应用，提升秸秆饲料化加工利用水平。用于秸秆发酵的黄贮窖池应满足有关技术要求，需采用钢筋混凝土结构，窖壁厚度不低于</w:t>
      </w:r>
      <w:r>
        <w:rPr>
          <w:rFonts w:ascii="仿宋_GB2312" w:eastAsia="仿宋_GB2312" w:hAnsi="仿宋_GB2312" w:cs="仿宋_GB2312" w:hint="eastAsia"/>
          <w:sz w:val="32"/>
          <w:szCs w:val="40"/>
        </w:rPr>
        <w:t>30</w:t>
      </w:r>
      <w:r>
        <w:rPr>
          <w:rFonts w:ascii="仿宋_GB2312" w:eastAsia="仿宋_GB2312" w:hAnsi="仿宋_GB2312" w:cs="仿宋_GB2312" w:hint="eastAsia"/>
          <w:sz w:val="32"/>
          <w:szCs w:val="40"/>
        </w:rPr>
        <w:t>厘米。</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四是探索秸秆高值利用。</w:t>
      </w:r>
      <w:r>
        <w:rPr>
          <w:rFonts w:ascii="仿宋_GB2312" w:eastAsia="仿宋_GB2312" w:hAnsi="仿宋_GB2312" w:cs="仿宋_GB2312" w:hint="eastAsia"/>
          <w:sz w:val="32"/>
          <w:szCs w:val="40"/>
        </w:rPr>
        <w:t>因地制宜推广秸秆打捆直燃、成型燃料、沼气、生物天然气等能源化利用技术，探索秸秆制糖、制浆造纸等原料化利用途径。支持食用菌生产企业利用秸秆生产菌棒，发展林下草腐食用菌。</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lastRenderedPageBreak/>
        <w:t>五是提高秸秆收储质量。</w:t>
      </w:r>
      <w:r>
        <w:rPr>
          <w:rFonts w:ascii="仿宋_GB2312" w:eastAsia="仿宋_GB2312" w:hAnsi="仿宋_GB2312" w:cs="仿宋_GB2312" w:hint="eastAsia"/>
          <w:sz w:val="32"/>
          <w:szCs w:val="40"/>
        </w:rPr>
        <w:t>示范推广高效清洁秸秆收集打包技术和机具，培育收储运主体，完善秸秆收储运体系。依托农事服务中心或农机合作社，布局建设秸秆收</w:t>
      </w:r>
      <w:r>
        <w:rPr>
          <w:rFonts w:ascii="仿宋_GB2312" w:eastAsia="仿宋_GB2312" w:hAnsi="仿宋_GB2312" w:cs="仿宋_GB2312" w:hint="eastAsia"/>
          <w:sz w:val="32"/>
          <w:szCs w:val="40"/>
        </w:rPr>
        <w:t>储中心或收储点，提高收储供应能力。</w:t>
      </w:r>
    </w:p>
    <w:p w:rsidR="00267EF2" w:rsidRDefault="00A312EF">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40"/>
        </w:rPr>
        <w:t>六是优化秸秆资源台账。</w:t>
      </w:r>
      <w:r>
        <w:rPr>
          <w:rFonts w:ascii="仿宋_GB2312" w:eastAsia="仿宋_GB2312" w:hAnsi="仿宋_GB2312" w:cs="仿宋_GB2312" w:hint="eastAsia"/>
          <w:sz w:val="32"/>
          <w:szCs w:val="40"/>
        </w:rPr>
        <w:t>完善秸秆资源台账数据报送机制，采取电话抽查、现场核查等方式，加大数据抽查核实力度。开展县域内农作物草谷比测定、秸秆可收集系数测算。结合不同种植模式，开展秸秆还田生态效应监测，重点评估秸秆还田对耕地质量、作物生长和病虫草害发生等方面的影响</w:t>
      </w:r>
      <w:r>
        <w:rPr>
          <w:rFonts w:ascii="仿宋_GB2312" w:eastAsia="仿宋_GB2312" w:hAnsi="仿宋_GB2312" w:cs="仿宋_GB2312" w:hint="eastAsia"/>
          <w:sz w:val="32"/>
          <w:szCs w:val="32"/>
        </w:rPr>
        <w:t>。</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项目实施情况</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根据《青岛市</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年农作物秸秆综合利用重点县建设实施方案》（青农计财字〔</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31</w:t>
      </w:r>
      <w:r>
        <w:rPr>
          <w:rFonts w:ascii="仿宋_GB2312" w:eastAsia="仿宋_GB2312" w:hAnsi="仿宋_GB2312" w:cs="仿宋_GB2312" w:hint="eastAsia"/>
          <w:sz w:val="32"/>
          <w:szCs w:val="40"/>
        </w:rPr>
        <w:t>号），青岛市农业农村局负责全市农作物秸秆综合利用工作的统筹协调、方案制定、技术指导和监督管理，成立工作领导小</w:t>
      </w:r>
      <w:r>
        <w:rPr>
          <w:rFonts w:ascii="仿宋_GB2312" w:eastAsia="仿宋_GB2312" w:hAnsi="仿宋_GB2312" w:cs="仿宋_GB2312" w:hint="eastAsia"/>
          <w:sz w:val="32"/>
          <w:szCs w:val="40"/>
        </w:rPr>
        <w:t>组和技术指导小组，加强对秸秆综合利用工作的统筹协调、调度推进以及绩效评价。西海岸新区、即墨区、莱西市农业农村局是项目具体实施单位，负责辖区内项目的组织实施和日常监管。各项目区（市）按照市级方案要求，细化任务分解，编制本区（市）秸秆综合利用实施方案，以正式文件报至市农业农村局。</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4.</w:t>
      </w:r>
      <w:r>
        <w:rPr>
          <w:rFonts w:ascii="仿宋_GB2312" w:eastAsia="仿宋_GB2312" w:hAnsi="仿宋_GB2312" w:cs="仿宋_GB2312" w:hint="eastAsia"/>
          <w:sz w:val="32"/>
          <w:szCs w:val="40"/>
        </w:rPr>
        <w:t>资金投入及使用情况</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根据《关于提前下达</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年农业相关转移支付资金预算的通知》（财农〔</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78</w:t>
      </w:r>
      <w:r>
        <w:rPr>
          <w:rFonts w:ascii="仿宋_GB2312" w:eastAsia="仿宋_GB2312" w:hAnsi="仿宋_GB2312" w:cs="仿宋_GB2312" w:hint="eastAsia"/>
          <w:sz w:val="32"/>
          <w:szCs w:val="40"/>
        </w:rPr>
        <w:t>号）、《关于下达</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年农业生态资源保护资金预算的通知》（财农〔</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16</w:t>
      </w:r>
      <w:r>
        <w:rPr>
          <w:rFonts w:ascii="仿宋_GB2312" w:eastAsia="仿宋_GB2312" w:hAnsi="仿宋_GB2312" w:cs="仿宋_GB2312" w:hint="eastAsia"/>
          <w:sz w:val="32"/>
          <w:szCs w:val="40"/>
        </w:rPr>
        <w:t>号），</w:t>
      </w:r>
      <w:r>
        <w:rPr>
          <w:rFonts w:ascii="仿宋_GB2312" w:eastAsia="仿宋_GB2312" w:hAnsi="仿宋_GB2312" w:cs="仿宋_GB2312" w:hint="eastAsia"/>
          <w:sz w:val="32"/>
          <w:szCs w:val="40"/>
        </w:rPr>
        <w:lastRenderedPageBreak/>
        <w:t>共下达青岛市农业生态资源保护资金</w:t>
      </w:r>
      <w:r>
        <w:rPr>
          <w:rFonts w:ascii="仿宋_GB2312" w:eastAsia="仿宋_GB2312" w:hAnsi="仿宋_GB2312" w:cs="仿宋_GB2312" w:hint="eastAsia"/>
          <w:sz w:val="32"/>
          <w:szCs w:val="40"/>
        </w:rPr>
        <w:t>1735</w:t>
      </w:r>
      <w:r>
        <w:rPr>
          <w:rFonts w:ascii="仿宋_GB2312" w:eastAsia="仿宋_GB2312" w:hAnsi="仿宋_GB2312" w:cs="仿宋_GB2312" w:hint="eastAsia"/>
          <w:sz w:val="32"/>
          <w:szCs w:val="40"/>
        </w:rPr>
        <w:t>万</w:t>
      </w:r>
      <w:r>
        <w:rPr>
          <w:rFonts w:ascii="仿宋_GB2312" w:eastAsia="仿宋_GB2312" w:hAnsi="仿宋_GB2312" w:cs="仿宋_GB2312" w:hint="eastAsia"/>
          <w:sz w:val="32"/>
          <w:szCs w:val="40"/>
        </w:rPr>
        <w:t>元，其中用于农作物秸秆综合利用的资金</w:t>
      </w:r>
      <w:r>
        <w:rPr>
          <w:rFonts w:ascii="仿宋_GB2312" w:eastAsia="仿宋_GB2312" w:hAnsi="仿宋_GB2312" w:cs="仿宋_GB2312" w:hint="eastAsia"/>
          <w:sz w:val="32"/>
          <w:szCs w:val="40"/>
        </w:rPr>
        <w:t>1442</w:t>
      </w:r>
      <w:r>
        <w:rPr>
          <w:rFonts w:ascii="仿宋_GB2312" w:eastAsia="仿宋_GB2312" w:hAnsi="仿宋_GB2312" w:cs="仿宋_GB2312" w:hint="eastAsia"/>
          <w:sz w:val="32"/>
          <w:szCs w:val="40"/>
        </w:rPr>
        <w:t>万元。青岛市财政局印发《关于下达</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年乡村振兴资金（中央、市级财政补助）预算指标的通知》（青财农指〔</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23</w:t>
      </w:r>
      <w:r>
        <w:rPr>
          <w:rFonts w:ascii="仿宋_GB2312" w:eastAsia="仿宋_GB2312" w:hAnsi="仿宋_GB2312" w:cs="仿宋_GB2312" w:hint="eastAsia"/>
          <w:sz w:val="32"/>
          <w:szCs w:val="40"/>
        </w:rPr>
        <w:t>号），将中央资金下达各区（市），其中，西海岸新区</w:t>
      </w:r>
      <w:r>
        <w:rPr>
          <w:rFonts w:ascii="仿宋_GB2312" w:eastAsia="仿宋_GB2312" w:hAnsi="仿宋_GB2312" w:cs="仿宋_GB2312" w:hint="eastAsia"/>
          <w:sz w:val="32"/>
          <w:szCs w:val="40"/>
        </w:rPr>
        <w:t>480</w:t>
      </w:r>
      <w:r>
        <w:rPr>
          <w:rFonts w:ascii="仿宋_GB2312" w:eastAsia="仿宋_GB2312" w:hAnsi="仿宋_GB2312" w:cs="仿宋_GB2312" w:hint="eastAsia"/>
          <w:sz w:val="32"/>
          <w:szCs w:val="40"/>
        </w:rPr>
        <w:t>万元、即墨区</w:t>
      </w:r>
      <w:r>
        <w:rPr>
          <w:rFonts w:ascii="仿宋_GB2312" w:eastAsia="仿宋_GB2312" w:hAnsi="仿宋_GB2312" w:cs="仿宋_GB2312" w:hint="eastAsia"/>
          <w:sz w:val="32"/>
          <w:szCs w:val="40"/>
        </w:rPr>
        <w:t>480</w:t>
      </w:r>
      <w:r>
        <w:rPr>
          <w:rFonts w:ascii="仿宋_GB2312" w:eastAsia="仿宋_GB2312" w:hAnsi="仿宋_GB2312" w:cs="仿宋_GB2312" w:hint="eastAsia"/>
          <w:sz w:val="32"/>
          <w:szCs w:val="40"/>
        </w:rPr>
        <w:t>万元、莱西市</w:t>
      </w:r>
      <w:r>
        <w:rPr>
          <w:rFonts w:ascii="仿宋_GB2312" w:eastAsia="仿宋_GB2312" w:hAnsi="仿宋_GB2312" w:cs="仿宋_GB2312" w:hint="eastAsia"/>
          <w:sz w:val="32"/>
          <w:szCs w:val="40"/>
        </w:rPr>
        <w:t>482</w:t>
      </w:r>
      <w:r>
        <w:rPr>
          <w:rFonts w:ascii="仿宋_GB2312" w:eastAsia="仿宋_GB2312" w:hAnsi="仿宋_GB2312" w:cs="仿宋_GB2312" w:hint="eastAsia"/>
          <w:sz w:val="32"/>
          <w:szCs w:val="40"/>
        </w:rPr>
        <w:t>万元。截至</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31</w:t>
      </w:r>
      <w:r>
        <w:rPr>
          <w:rFonts w:ascii="仿宋_GB2312" w:eastAsia="仿宋_GB2312" w:hAnsi="仿宋_GB2312" w:cs="仿宋_GB2312" w:hint="eastAsia"/>
          <w:sz w:val="32"/>
          <w:szCs w:val="40"/>
        </w:rPr>
        <w:t>日，各区（市）未执行预算；截至评价日</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6</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日，三个区（市）预算执行数为</w:t>
      </w:r>
      <w:r>
        <w:rPr>
          <w:rFonts w:ascii="仿宋_GB2312" w:eastAsia="仿宋_GB2312" w:hAnsi="仿宋_GB2312" w:cs="仿宋_GB2312" w:hint="eastAsia"/>
          <w:sz w:val="32"/>
          <w:szCs w:val="40"/>
        </w:rPr>
        <w:t>71.13</w:t>
      </w:r>
      <w:r>
        <w:rPr>
          <w:rFonts w:ascii="仿宋_GB2312" w:eastAsia="仿宋_GB2312" w:hAnsi="仿宋_GB2312" w:cs="仿宋_GB2312" w:hint="eastAsia"/>
          <w:sz w:val="32"/>
          <w:szCs w:val="40"/>
        </w:rPr>
        <w:t>万元，预算执行率为</w:t>
      </w:r>
      <w:r>
        <w:rPr>
          <w:rFonts w:ascii="仿宋_GB2312" w:eastAsia="仿宋_GB2312" w:hAnsi="仿宋_GB2312" w:cs="仿宋_GB2312" w:hint="eastAsia"/>
          <w:sz w:val="32"/>
          <w:szCs w:val="40"/>
        </w:rPr>
        <w:t>4.93%</w:t>
      </w:r>
      <w:r>
        <w:rPr>
          <w:rFonts w:ascii="仿宋_GB2312" w:eastAsia="仿宋_GB2312" w:hAnsi="仿宋_GB2312" w:cs="仿宋_GB2312" w:hint="eastAsia"/>
          <w:sz w:val="32"/>
          <w:szCs w:val="40"/>
        </w:rPr>
        <w:t>。</w:t>
      </w:r>
    </w:p>
    <w:p w:rsidR="00267EF2" w:rsidRDefault="00A312EF">
      <w:pPr>
        <w:adjustRightInd w:val="0"/>
        <w:snapToGrid w:val="0"/>
        <w:spacing w:line="580" w:lineRule="exact"/>
        <w:ind w:firstLineChars="200" w:firstLine="560"/>
        <w:jc w:val="center"/>
        <w:rPr>
          <w:rFonts w:ascii="黑体" w:eastAsia="黑体" w:hAnsi="黑体" w:cs="黑体"/>
          <w:kern w:val="0"/>
          <w:sz w:val="28"/>
          <w:szCs w:val="28"/>
        </w:rPr>
      </w:pPr>
      <w:r>
        <w:rPr>
          <w:rFonts w:ascii="黑体" w:eastAsia="黑体" w:hAnsi="黑体" w:cs="黑体" w:hint="eastAsia"/>
          <w:kern w:val="0"/>
          <w:sz w:val="28"/>
          <w:szCs w:val="28"/>
        </w:rPr>
        <w:t>2025</w:t>
      </w:r>
      <w:r>
        <w:rPr>
          <w:rFonts w:ascii="黑体" w:eastAsia="黑体" w:hAnsi="黑体" w:cs="黑体" w:hint="eastAsia"/>
          <w:kern w:val="0"/>
          <w:sz w:val="28"/>
          <w:szCs w:val="28"/>
        </w:rPr>
        <w:t>年青岛市农作物秸秆综合利用项目预算执行情况</w:t>
      </w:r>
    </w:p>
    <w:p w:rsidR="00267EF2" w:rsidRDefault="00A312EF">
      <w:pPr>
        <w:spacing w:line="300" w:lineRule="exact"/>
        <w:jc w:val="right"/>
        <w:rPr>
          <w:rFonts w:ascii="黑体" w:eastAsia="黑体" w:hAnsi="黑体" w:cs="黑体"/>
          <w:sz w:val="28"/>
          <w:szCs w:val="28"/>
        </w:rPr>
      </w:pPr>
      <w:r>
        <w:rPr>
          <w:rFonts w:ascii="黑体" w:eastAsia="黑体" w:hAnsi="黑体" w:cs="黑体" w:hint="eastAsia"/>
          <w:sz w:val="28"/>
          <w:szCs w:val="28"/>
        </w:rPr>
        <w:t>单位：万元</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1903"/>
        <w:gridCol w:w="1934"/>
        <w:gridCol w:w="2234"/>
        <w:gridCol w:w="2448"/>
      </w:tblGrid>
      <w:tr w:rsidR="00267EF2">
        <w:trPr>
          <w:trHeight w:val="436"/>
          <w:tblHeader/>
          <w:jc w:val="center"/>
        </w:trPr>
        <w:tc>
          <w:tcPr>
            <w:tcW w:w="1117" w:type="pct"/>
            <w:tcBorders>
              <w:tl2br w:val="nil"/>
              <w:tr2bl w:val="nil"/>
            </w:tcBorders>
            <w:shd w:val="clear" w:color="auto" w:fill="FFFFFF" w:themeFill="background1"/>
            <w:vAlign w:val="center"/>
          </w:tcPr>
          <w:p w:rsidR="00267EF2" w:rsidRDefault="00A312EF">
            <w:pPr>
              <w:adjustRightInd w:val="0"/>
              <w:snapToGrid w:val="0"/>
              <w:spacing w:line="228" w:lineRule="auto"/>
              <w:jc w:val="center"/>
              <w:rPr>
                <w:rFonts w:ascii="宋体" w:eastAsia="宋体" w:hAnsi="宋体" w:cs="宋体"/>
                <w:b/>
                <w:bCs/>
                <w:kern w:val="0"/>
                <w:szCs w:val="21"/>
              </w:rPr>
            </w:pPr>
            <w:r>
              <w:rPr>
                <w:rFonts w:ascii="宋体" w:eastAsia="宋体" w:hAnsi="宋体" w:cs="宋体" w:hint="eastAsia"/>
                <w:b/>
                <w:bCs/>
                <w:kern w:val="0"/>
                <w:szCs w:val="21"/>
              </w:rPr>
              <w:t>区市</w:t>
            </w:r>
          </w:p>
        </w:tc>
        <w:tc>
          <w:tcPr>
            <w:tcW w:w="1135" w:type="pct"/>
            <w:tcBorders>
              <w:tl2br w:val="nil"/>
              <w:tr2bl w:val="nil"/>
            </w:tcBorders>
            <w:shd w:val="clear" w:color="auto" w:fill="FFFFFF" w:themeFill="background1"/>
            <w:vAlign w:val="center"/>
          </w:tcPr>
          <w:p w:rsidR="00267EF2" w:rsidRDefault="00A312EF">
            <w:pPr>
              <w:adjustRightInd w:val="0"/>
              <w:snapToGrid w:val="0"/>
              <w:spacing w:line="228" w:lineRule="auto"/>
              <w:jc w:val="center"/>
              <w:rPr>
                <w:rFonts w:ascii="宋体" w:eastAsia="宋体" w:hAnsi="宋体" w:cs="宋体"/>
                <w:b/>
                <w:bCs/>
                <w:kern w:val="0"/>
                <w:szCs w:val="21"/>
              </w:rPr>
            </w:pPr>
            <w:r>
              <w:rPr>
                <w:rFonts w:ascii="宋体" w:eastAsia="宋体" w:hAnsi="宋体" w:cs="宋体" w:hint="eastAsia"/>
                <w:b/>
                <w:bCs/>
                <w:color w:val="0F1115"/>
                <w:szCs w:val="21"/>
                <w:shd w:val="clear" w:color="auto" w:fill="FFFFFF"/>
              </w:rPr>
              <w:t>预算安排数</w:t>
            </w:r>
          </w:p>
        </w:tc>
        <w:tc>
          <w:tcPr>
            <w:tcW w:w="1310" w:type="pct"/>
            <w:tcBorders>
              <w:tl2br w:val="nil"/>
              <w:tr2bl w:val="nil"/>
            </w:tcBorders>
            <w:shd w:val="clear" w:color="auto" w:fill="FFFFFF" w:themeFill="background1"/>
            <w:vAlign w:val="center"/>
          </w:tcPr>
          <w:p w:rsidR="00267EF2" w:rsidRDefault="00A312EF">
            <w:pPr>
              <w:adjustRightInd w:val="0"/>
              <w:snapToGrid w:val="0"/>
              <w:spacing w:line="228" w:lineRule="auto"/>
              <w:jc w:val="center"/>
              <w:rPr>
                <w:rFonts w:ascii="宋体" w:eastAsia="宋体" w:hAnsi="宋体" w:cs="宋体"/>
                <w:b/>
                <w:bCs/>
                <w:kern w:val="0"/>
                <w:szCs w:val="21"/>
              </w:rPr>
            </w:pPr>
            <w:r>
              <w:rPr>
                <w:rFonts w:ascii="宋体" w:eastAsia="宋体" w:hAnsi="宋体" w:cs="宋体" w:hint="eastAsia"/>
                <w:b/>
                <w:bCs/>
                <w:color w:val="0F1115"/>
                <w:szCs w:val="21"/>
                <w:shd w:val="clear" w:color="auto" w:fill="FFFFFF"/>
              </w:rPr>
              <w:t>预算执行数</w:t>
            </w:r>
          </w:p>
        </w:tc>
        <w:tc>
          <w:tcPr>
            <w:tcW w:w="1436" w:type="pct"/>
            <w:tcBorders>
              <w:tl2br w:val="nil"/>
              <w:tr2bl w:val="nil"/>
            </w:tcBorders>
            <w:shd w:val="clear" w:color="auto" w:fill="FFFFFF" w:themeFill="background1"/>
            <w:vAlign w:val="center"/>
          </w:tcPr>
          <w:p w:rsidR="00267EF2" w:rsidRDefault="00A312EF">
            <w:pPr>
              <w:adjustRightInd w:val="0"/>
              <w:snapToGrid w:val="0"/>
              <w:spacing w:line="228" w:lineRule="auto"/>
              <w:jc w:val="center"/>
              <w:rPr>
                <w:rFonts w:ascii="宋体" w:eastAsia="宋体" w:hAnsi="宋体" w:cs="宋体"/>
                <w:b/>
                <w:bCs/>
                <w:color w:val="0F1115"/>
                <w:szCs w:val="21"/>
                <w:shd w:val="clear" w:color="auto" w:fill="FFFFFF"/>
              </w:rPr>
            </w:pPr>
            <w:r>
              <w:rPr>
                <w:rFonts w:ascii="宋体" w:eastAsia="宋体" w:hAnsi="宋体" w:cs="宋体" w:hint="eastAsia"/>
                <w:b/>
                <w:bCs/>
                <w:color w:val="0F1115"/>
                <w:szCs w:val="21"/>
                <w:shd w:val="clear" w:color="auto" w:fill="FFFFFF"/>
              </w:rPr>
              <w:t>预算执行</w:t>
            </w:r>
            <w:r>
              <w:rPr>
                <w:rFonts w:ascii="宋体" w:eastAsia="宋体" w:hAnsi="宋体" w:cs="宋体" w:hint="eastAsia"/>
                <w:b/>
                <w:bCs/>
                <w:color w:val="0F1115"/>
                <w:szCs w:val="21"/>
                <w:shd w:val="clear" w:color="auto" w:fill="FFFFFF"/>
              </w:rPr>
              <w:t>率</w:t>
            </w:r>
          </w:p>
        </w:tc>
      </w:tr>
      <w:tr w:rsidR="00267EF2">
        <w:trPr>
          <w:trHeight w:val="519"/>
          <w:jc w:val="center"/>
        </w:trPr>
        <w:tc>
          <w:tcPr>
            <w:tcW w:w="1117"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kern w:val="0"/>
                <w:szCs w:val="21"/>
              </w:rPr>
            </w:pPr>
            <w:r>
              <w:rPr>
                <w:rFonts w:ascii="宋体" w:eastAsia="宋体" w:hAnsi="宋体" w:cs="宋体" w:hint="eastAsia"/>
                <w:color w:val="0F1115"/>
                <w:kern w:val="0"/>
                <w:szCs w:val="21"/>
                <w:lang/>
              </w:rPr>
              <w:t>西海岸新区</w:t>
            </w:r>
          </w:p>
        </w:tc>
        <w:tc>
          <w:tcPr>
            <w:tcW w:w="1135"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kern w:val="0"/>
                <w:szCs w:val="21"/>
              </w:rPr>
            </w:pPr>
            <w:r>
              <w:rPr>
                <w:rFonts w:ascii="宋体" w:eastAsia="宋体" w:hAnsi="宋体" w:cs="宋体" w:hint="eastAsia"/>
                <w:color w:val="0F1115"/>
                <w:kern w:val="0"/>
                <w:szCs w:val="21"/>
                <w:lang/>
              </w:rPr>
              <w:t>480</w:t>
            </w:r>
          </w:p>
        </w:tc>
        <w:tc>
          <w:tcPr>
            <w:tcW w:w="1310"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kern w:val="0"/>
                <w:szCs w:val="21"/>
              </w:rPr>
            </w:pPr>
            <w:r>
              <w:rPr>
                <w:rFonts w:ascii="宋体" w:eastAsia="宋体" w:hAnsi="宋体" w:cs="宋体" w:hint="eastAsia"/>
                <w:color w:val="0F1115"/>
                <w:kern w:val="0"/>
                <w:szCs w:val="21"/>
                <w:lang/>
              </w:rPr>
              <w:t>54.63</w:t>
            </w:r>
          </w:p>
        </w:tc>
        <w:tc>
          <w:tcPr>
            <w:tcW w:w="1436"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color w:val="0F1115"/>
                <w:kern w:val="0"/>
                <w:szCs w:val="21"/>
                <w:lang/>
              </w:rPr>
            </w:pPr>
            <w:r>
              <w:rPr>
                <w:rFonts w:ascii="宋体" w:eastAsia="宋体" w:hAnsi="宋体" w:cs="宋体" w:hint="eastAsia"/>
                <w:color w:val="0F1115"/>
                <w:kern w:val="0"/>
                <w:szCs w:val="21"/>
                <w:lang/>
              </w:rPr>
              <w:t>11.38%</w:t>
            </w:r>
          </w:p>
        </w:tc>
      </w:tr>
      <w:tr w:rsidR="00267EF2">
        <w:trPr>
          <w:trHeight w:val="442"/>
          <w:jc w:val="center"/>
        </w:trPr>
        <w:tc>
          <w:tcPr>
            <w:tcW w:w="1117"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kern w:val="0"/>
                <w:szCs w:val="21"/>
              </w:rPr>
            </w:pPr>
            <w:r>
              <w:rPr>
                <w:rFonts w:ascii="宋体" w:eastAsia="宋体" w:hAnsi="宋体" w:cs="宋体" w:hint="eastAsia"/>
                <w:color w:val="0F1115"/>
                <w:kern w:val="0"/>
                <w:szCs w:val="21"/>
                <w:lang/>
              </w:rPr>
              <w:t>即墨区</w:t>
            </w:r>
          </w:p>
        </w:tc>
        <w:tc>
          <w:tcPr>
            <w:tcW w:w="1135"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kern w:val="0"/>
                <w:szCs w:val="21"/>
              </w:rPr>
            </w:pPr>
            <w:r>
              <w:rPr>
                <w:rFonts w:ascii="宋体" w:eastAsia="宋体" w:hAnsi="宋体" w:cs="宋体" w:hint="eastAsia"/>
                <w:color w:val="0F1115"/>
                <w:kern w:val="0"/>
                <w:szCs w:val="21"/>
                <w:lang/>
              </w:rPr>
              <w:t>480</w:t>
            </w:r>
          </w:p>
        </w:tc>
        <w:tc>
          <w:tcPr>
            <w:tcW w:w="1310"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kern w:val="0"/>
                <w:szCs w:val="21"/>
              </w:rPr>
            </w:pPr>
            <w:r>
              <w:rPr>
                <w:rFonts w:ascii="宋体" w:eastAsia="宋体" w:hAnsi="宋体" w:cs="宋体" w:hint="eastAsia"/>
                <w:color w:val="0F1115"/>
                <w:kern w:val="0"/>
                <w:szCs w:val="21"/>
                <w:lang/>
              </w:rPr>
              <w:t>16.5</w:t>
            </w:r>
          </w:p>
        </w:tc>
        <w:tc>
          <w:tcPr>
            <w:tcW w:w="1436"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color w:val="0F1115"/>
                <w:kern w:val="0"/>
                <w:szCs w:val="21"/>
                <w:lang/>
              </w:rPr>
            </w:pPr>
            <w:r>
              <w:rPr>
                <w:rFonts w:ascii="宋体" w:eastAsia="宋体" w:hAnsi="宋体" w:cs="宋体" w:hint="eastAsia"/>
                <w:color w:val="0F1115"/>
                <w:kern w:val="0"/>
                <w:szCs w:val="21"/>
                <w:lang/>
              </w:rPr>
              <w:t>3.44%</w:t>
            </w:r>
          </w:p>
        </w:tc>
      </w:tr>
      <w:tr w:rsidR="00267EF2">
        <w:trPr>
          <w:trHeight w:val="469"/>
          <w:jc w:val="center"/>
        </w:trPr>
        <w:tc>
          <w:tcPr>
            <w:tcW w:w="1117"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kern w:val="0"/>
                <w:szCs w:val="21"/>
              </w:rPr>
            </w:pPr>
            <w:r>
              <w:rPr>
                <w:rFonts w:ascii="宋体" w:eastAsia="宋体" w:hAnsi="宋体" w:cs="宋体" w:hint="eastAsia"/>
                <w:color w:val="0F1115"/>
                <w:kern w:val="0"/>
                <w:szCs w:val="21"/>
                <w:lang/>
              </w:rPr>
              <w:t>莱西市</w:t>
            </w:r>
          </w:p>
        </w:tc>
        <w:tc>
          <w:tcPr>
            <w:tcW w:w="1135"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kern w:val="0"/>
                <w:szCs w:val="21"/>
              </w:rPr>
            </w:pPr>
            <w:r>
              <w:rPr>
                <w:rFonts w:ascii="宋体" w:eastAsia="宋体" w:hAnsi="宋体" w:cs="宋体" w:hint="eastAsia"/>
                <w:color w:val="0F1115"/>
                <w:kern w:val="0"/>
                <w:szCs w:val="21"/>
                <w:lang/>
              </w:rPr>
              <w:t>482</w:t>
            </w:r>
          </w:p>
        </w:tc>
        <w:tc>
          <w:tcPr>
            <w:tcW w:w="1310"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kern w:val="0"/>
                <w:szCs w:val="21"/>
              </w:rPr>
            </w:pPr>
            <w:r>
              <w:rPr>
                <w:rFonts w:ascii="宋体" w:eastAsia="宋体" w:hAnsi="宋体" w:cs="宋体" w:hint="eastAsia"/>
                <w:color w:val="0F1115"/>
                <w:kern w:val="0"/>
                <w:szCs w:val="21"/>
                <w:lang/>
              </w:rPr>
              <w:t>0</w:t>
            </w:r>
          </w:p>
        </w:tc>
        <w:tc>
          <w:tcPr>
            <w:tcW w:w="1436"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color w:val="0F1115"/>
                <w:kern w:val="0"/>
                <w:szCs w:val="21"/>
                <w:lang/>
              </w:rPr>
            </w:pPr>
            <w:r>
              <w:rPr>
                <w:rFonts w:ascii="宋体" w:eastAsia="宋体" w:hAnsi="宋体" w:cs="宋体" w:hint="eastAsia"/>
                <w:color w:val="0F1115"/>
                <w:kern w:val="0"/>
                <w:szCs w:val="21"/>
                <w:lang/>
              </w:rPr>
              <w:t>0%</w:t>
            </w:r>
          </w:p>
        </w:tc>
      </w:tr>
      <w:tr w:rsidR="00267EF2">
        <w:trPr>
          <w:trHeight w:val="479"/>
          <w:jc w:val="center"/>
        </w:trPr>
        <w:tc>
          <w:tcPr>
            <w:tcW w:w="1117"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b/>
                <w:bCs/>
                <w:kern w:val="0"/>
                <w:szCs w:val="21"/>
              </w:rPr>
            </w:pPr>
            <w:r>
              <w:rPr>
                <w:rFonts w:ascii="宋体" w:eastAsia="宋体" w:hAnsi="宋体" w:cs="宋体" w:hint="eastAsia"/>
                <w:b/>
                <w:bCs/>
                <w:color w:val="0F1115"/>
                <w:kern w:val="0"/>
                <w:szCs w:val="21"/>
                <w:lang/>
              </w:rPr>
              <w:t>合计</w:t>
            </w:r>
          </w:p>
        </w:tc>
        <w:tc>
          <w:tcPr>
            <w:tcW w:w="1135"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b/>
                <w:bCs/>
                <w:kern w:val="0"/>
                <w:szCs w:val="21"/>
              </w:rPr>
            </w:pPr>
            <w:r>
              <w:rPr>
                <w:rFonts w:ascii="宋体" w:eastAsia="宋体" w:hAnsi="宋体" w:cs="宋体" w:hint="eastAsia"/>
                <w:b/>
                <w:bCs/>
                <w:color w:val="0F1115"/>
                <w:kern w:val="0"/>
                <w:szCs w:val="21"/>
                <w:lang/>
              </w:rPr>
              <w:t>1442</w:t>
            </w:r>
          </w:p>
        </w:tc>
        <w:tc>
          <w:tcPr>
            <w:tcW w:w="1310"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b/>
                <w:bCs/>
                <w:kern w:val="0"/>
                <w:szCs w:val="21"/>
              </w:rPr>
            </w:pPr>
            <w:r>
              <w:rPr>
                <w:rFonts w:ascii="宋体" w:eastAsia="宋体" w:hAnsi="宋体" w:cs="宋体" w:hint="eastAsia"/>
                <w:b/>
                <w:bCs/>
                <w:color w:val="0F1115"/>
                <w:kern w:val="0"/>
                <w:szCs w:val="21"/>
                <w:lang/>
              </w:rPr>
              <w:t>71.13</w:t>
            </w:r>
          </w:p>
        </w:tc>
        <w:tc>
          <w:tcPr>
            <w:tcW w:w="1436" w:type="pct"/>
            <w:tcBorders>
              <w:tl2br w:val="nil"/>
              <w:tr2bl w:val="nil"/>
            </w:tcBorders>
            <w:shd w:val="clear" w:color="auto" w:fill="FFFFFF" w:themeFill="background1"/>
            <w:vAlign w:val="center"/>
          </w:tcPr>
          <w:p w:rsidR="00267EF2" w:rsidRDefault="00A312EF">
            <w:pPr>
              <w:widowControl/>
              <w:spacing w:line="300" w:lineRule="atLeast"/>
              <w:jc w:val="center"/>
              <w:rPr>
                <w:rFonts w:ascii="宋体" w:eastAsia="宋体" w:hAnsi="宋体" w:cs="宋体"/>
                <w:b/>
                <w:bCs/>
                <w:color w:val="0F1115"/>
                <w:kern w:val="0"/>
                <w:szCs w:val="21"/>
                <w:lang/>
              </w:rPr>
            </w:pPr>
            <w:r>
              <w:rPr>
                <w:rFonts w:ascii="宋体" w:eastAsia="宋体" w:hAnsi="宋体" w:cs="宋体" w:hint="eastAsia"/>
                <w:b/>
                <w:bCs/>
                <w:color w:val="0F1115"/>
                <w:kern w:val="0"/>
                <w:szCs w:val="21"/>
                <w:lang/>
              </w:rPr>
              <w:t>4.93%</w:t>
            </w:r>
          </w:p>
        </w:tc>
      </w:tr>
    </w:tbl>
    <w:p w:rsidR="00267EF2" w:rsidRDefault="00A312EF">
      <w:pPr>
        <w:pStyle w:val="2"/>
        <w:keepNext w:val="0"/>
        <w:keepLines w:val="0"/>
        <w:widowControl w:val="0"/>
        <w:spacing w:before="0" w:after="0" w:line="560" w:lineRule="exact"/>
        <w:ind w:firstLine="640"/>
        <w:jc w:val="both"/>
        <w:rPr>
          <w:rFonts w:eastAsia="楷体_GB2312"/>
          <w:bCs w:val="0"/>
          <w:color w:val="auto"/>
          <w:sz w:val="32"/>
          <w:szCs w:val="40"/>
          <w:lang w:val="en-US"/>
        </w:rPr>
      </w:pPr>
      <w:bookmarkStart w:id="2" w:name="_Toc5031"/>
      <w:r>
        <w:rPr>
          <w:rFonts w:eastAsia="楷体_GB2312" w:hint="eastAsia"/>
          <w:bCs w:val="0"/>
          <w:color w:val="auto"/>
          <w:sz w:val="32"/>
          <w:szCs w:val="40"/>
          <w:lang w:val="en-US"/>
        </w:rPr>
        <w:t>（二）项目绩效目标</w:t>
      </w:r>
      <w:bookmarkEnd w:id="2"/>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农业生态资源保护资金区域绩效目标表（</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年度）</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，青岛市秸秆综合利用重点县建设数量指标为</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个，质量指标为“秸秆综合利用重点县秸秆综合利用率≥</w:t>
      </w:r>
      <w:r>
        <w:rPr>
          <w:rFonts w:ascii="仿宋_GB2312" w:eastAsia="仿宋_GB2312" w:hAnsi="仿宋_GB2312" w:cs="仿宋_GB2312" w:hint="eastAsia"/>
          <w:sz w:val="32"/>
          <w:szCs w:val="40"/>
        </w:rPr>
        <w:t>90%</w:t>
      </w:r>
      <w:r>
        <w:rPr>
          <w:rFonts w:ascii="仿宋_GB2312" w:eastAsia="仿宋_GB2312" w:hAnsi="仿宋_GB2312" w:cs="仿宋_GB2312" w:hint="eastAsia"/>
          <w:sz w:val="32"/>
          <w:szCs w:val="40"/>
        </w:rPr>
        <w:t>或比</w:t>
      </w:r>
      <w:r>
        <w:rPr>
          <w:rFonts w:ascii="仿宋_GB2312" w:eastAsia="仿宋_GB2312" w:hAnsi="仿宋_GB2312" w:cs="仿宋_GB2312" w:hint="eastAsia"/>
          <w:sz w:val="32"/>
          <w:szCs w:val="40"/>
        </w:rPr>
        <w:t>2024</w:t>
      </w:r>
      <w:r>
        <w:rPr>
          <w:rFonts w:ascii="仿宋_GB2312" w:eastAsia="仿宋_GB2312" w:hAnsi="仿宋_GB2312" w:cs="仿宋_GB2312" w:hint="eastAsia"/>
          <w:sz w:val="32"/>
          <w:szCs w:val="40"/>
        </w:rPr>
        <w:t>年提高</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个百分点”。</w:t>
      </w:r>
      <w:bookmarkStart w:id="3" w:name="_Toc135831448"/>
      <w:bookmarkStart w:id="4" w:name="_Toc20628"/>
    </w:p>
    <w:p w:rsidR="00267EF2" w:rsidRDefault="00A312EF">
      <w:pPr>
        <w:pStyle w:val="1"/>
        <w:keepNext w:val="0"/>
        <w:keepLines w:val="0"/>
        <w:widowControl w:val="0"/>
        <w:spacing w:before="0" w:after="0" w:line="560" w:lineRule="exact"/>
        <w:ind w:firstLine="640"/>
        <w:jc w:val="both"/>
        <w:rPr>
          <w:bCs w:val="0"/>
          <w:color w:val="auto"/>
          <w:kern w:val="2"/>
          <w:sz w:val="32"/>
          <w:szCs w:val="32"/>
          <w:lang w:val="en-US"/>
        </w:rPr>
      </w:pPr>
      <w:bookmarkStart w:id="5" w:name="_Toc11329"/>
      <w:bookmarkEnd w:id="3"/>
      <w:bookmarkEnd w:id="4"/>
      <w:r>
        <w:rPr>
          <w:rFonts w:hint="eastAsia"/>
          <w:bCs w:val="0"/>
          <w:color w:val="auto"/>
          <w:kern w:val="2"/>
          <w:sz w:val="32"/>
          <w:szCs w:val="32"/>
          <w:lang w:val="en-US"/>
        </w:rPr>
        <w:t>二、绩效评价工作开展情况</w:t>
      </w:r>
      <w:bookmarkEnd w:id="5"/>
    </w:p>
    <w:p w:rsidR="00267EF2" w:rsidRDefault="00A312EF">
      <w:pPr>
        <w:pStyle w:val="2"/>
        <w:keepNext w:val="0"/>
        <w:keepLines w:val="0"/>
        <w:widowControl w:val="0"/>
        <w:spacing w:before="0" w:after="0" w:line="560" w:lineRule="exact"/>
        <w:ind w:firstLine="640"/>
        <w:jc w:val="both"/>
        <w:rPr>
          <w:rFonts w:eastAsia="楷体_GB2312"/>
          <w:bCs w:val="0"/>
          <w:color w:val="auto"/>
          <w:sz w:val="32"/>
          <w:szCs w:val="40"/>
          <w:lang w:val="en-US"/>
        </w:rPr>
      </w:pPr>
      <w:bookmarkStart w:id="6" w:name="_Toc20770"/>
      <w:r>
        <w:rPr>
          <w:rFonts w:eastAsia="楷体_GB2312" w:hint="eastAsia"/>
          <w:bCs w:val="0"/>
          <w:color w:val="auto"/>
          <w:sz w:val="32"/>
          <w:szCs w:val="40"/>
          <w:lang w:val="en-US"/>
        </w:rPr>
        <w:t>（一）评价目的、评价对象和范围</w:t>
      </w:r>
      <w:bookmarkEnd w:id="6"/>
    </w:p>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从项目的实施过程、产出、效益等方面，对</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年青岛市农作物秸秆综合利用项目开展绩效评价，重点评价项目实施成效、资金使用效益，针对评价发现问题，为后续项目优化提升、资金精准配置</w:t>
      </w:r>
      <w:r>
        <w:rPr>
          <w:rFonts w:ascii="仿宋_GB2312" w:eastAsia="仿宋_GB2312" w:hAnsi="仿宋_GB2312" w:cs="仿宋_GB2312" w:hint="eastAsia"/>
          <w:sz w:val="32"/>
          <w:szCs w:val="32"/>
        </w:rPr>
        <w:t>等</w:t>
      </w:r>
      <w:r>
        <w:rPr>
          <w:rFonts w:ascii="仿宋_GB2312" w:eastAsia="仿宋_GB2312" w:hAnsi="仿宋_GB2312" w:cs="仿宋_GB2312" w:hint="eastAsia"/>
          <w:sz w:val="32"/>
          <w:szCs w:val="32"/>
        </w:rPr>
        <w:t>提供依据，提升秸秆综合利用项</w:t>
      </w:r>
      <w:r>
        <w:rPr>
          <w:rFonts w:ascii="仿宋_GB2312" w:eastAsia="仿宋_GB2312" w:hAnsi="仿宋_GB2312" w:cs="仿宋_GB2312" w:hint="eastAsia"/>
          <w:sz w:val="32"/>
          <w:szCs w:val="32"/>
        </w:rPr>
        <w:lastRenderedPageBreak/>
        <w:t>目实施的规范化、精细化水平</w:t>
      </w:r>
      <w:r>
        <w:rPr>
          <w:rFonts w:ascii="仿宋_GB2312" w:eastAsia="仿宋_GB2312" w:hAnsi="仿宋_GB2312" w:cs="仿宋_GB2312" w:hint="eastAsia"/>
          <w:sz w:val="32"/>
          <w:szCs w:val="32"/>
        </w:rPr>
        <w:t>。</w:t>
      </w:r>
    </w:p>
    <w:p w:rsidR="00267EF2" w:rsidRDefault="00A312EF">
      <w:pPr>
        <w:pStyle w:val="2"/>
        <w:keepNext w:val="0"/>
        <w:keepLines w:val="0"/>
        <w:widowControl w:val="0"/>
        <w:spacing w:before="0" w:after="0" w:line="560" w:lineRule="exact"/>
        <w:ind w:firstLine="640"/>
        <w:jc w:val="both"/>
        <w:rPr>
          <w:rFonts w:eastAsia="楷体_GB2312"/>
          <w:bCs w:val="0"/>
          <w:color w:val="auto"/>
          <w:sz w:val="32"/>
          <w:szCs w:val="40"/>
          <w:lang w:val="en-US"/>
        </w:rPr>
      </w:pPr>
      <w:bookmarkStart w:id="7" w:name="_Toc20127"/>
      <w:r>
        <w:rPr>
          <w:rFonts w:eastAsia="楷体_GB2312" w:hint="eastAsia"/>
          <w:bCs w:val="0"/>
          <w:color w:val="auto"/>
          <w:sz w:val="32"/>
          <w:szCs w:val="40"/>
          <w:lang w:val="en-US"/>
        </w:rPr>
        <w:t>（二）评价思路、评价重点、评价指标体系和评价标准</w:t>
      </w:r>
      <w:bookmarkEnd w:id="7"/>
    </w:p>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评价思路</w:t>
      </w:r>
    </w:p>
    <w:p w:rsidR="00267EF2" w:rsidRDefault="00A312EF">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本次评价坚持绩效导向、客观公正、操作可行、主体分明的</w:t>
      </w:r>
      <w:r>
        <w:rPr>
          <w:rFonts w:ascii="Times New Roman" w:eastAsia="仿宋_GB2312" w:hAnsi="Times New Roman" w:cs="Times New Roman" w:hint="eastAsia"/>
          <w:sz w:val="32"/>
          <w:szCs w:val="32"/>
        </w:rPr>
        <w:t>思路</w:t>
      </w:r>
      <w:r>
        <w:rPr>
          <w:rFonts w:ascii="Times New Roman" w:eastAsia="仿宋_GB2312" w:hAnsi="Times New Roman" w:cs="Times New Roman"/>
          <w:sz w:val="32"/>
          <w:szCs w:val="32"/>
        </w:rPr>
        <w:t>，</w:t>
      </w:r>
      <w:r>
        <w:rPr>
          <w:rFonts w:ascii="仿宋_GB2312" w:eastAsia="仿宋_GB2312" w:hAnsi="仿宋_GB2312" w:cs="仿宋_GB2312" w:hint="eastAsia"/>
          <w:sz w:val="32"/>
          <w:szCs w:val="40"/>
        </w:rPr>
        <w:t>结合项目特点，制定绩效评价指标体系和具体评价方案</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从资金使用、项目完成、效益实现情况等方面进行综合分析</w:t>
      </w:r>
      <w:r>
        <w:rPr>
          <w:rFonts w:ascii="仿宋_GB2312" w:eastAsia="仿宋_GB2312" w:hAnsi="仿宋_GB2312" w:cs="仿宋_GB2312" w:hint="eastAsia"/>
          <w:sz w:val="32"/>
          <w:szCs w:val="40"/>
        </w:rPr>
        <w:t>，</w:t>
      </w:r>
      <w:r>
        <w:rPr>
          <w:rFonts w:ascii="Times New Roman" w:eastAsia="仿宋_GB2312" w:hAnsi="Times New Roman" w:cs="Times New Roman"/>
          <w:sz w:val="32"/>
          <w:szCs w:val="32"/>
        </w:rPr>
        <w:t>发现项目</w:t>
      </w:r>
      <w:r>
        <w:rPr>
          <w:rFonts w:ascii="Times New Roman" w:eastAsia="仿宋_GB2312" w:hAnsi="Times New Roman" w:cs="Times New Roman" w:hint="eastAsia"/>
          <w:sz w:val="32"/>
          <w:szCs w:val="32"/>
        </w:rPr>
        <w:t>实施</w:t>
      </w:r>
      <w:r>
        <w:rPr>
          <w:rFonts w:ascii="Times New Roman" w:eastAsia="仿宋_GB2312" w:hAnsi="Times New Roman" w:cs="Times New Roman"/>
          <w:sz w:val="32"/>
          <w:szCs w:val="32"/>
        </w:rPr>
        <w:t>中存在的问题，</w:t>
      </w:r>
      <w:r>
        <w:rPr>
          <w:rFonts w:ascii="Times New Roman" w:eastAsia="仿宋_GB2312" w:hAnsi="Times New Roman" w:cs="Times New Roman" w:hint="eastAsia"/>
          <w:sz w:val="32"/>
          <w:szCs w:val="32"/>
        </w:rPr>
        <w:t>并提出合理化建议</w:t>
      </w:r>
      <w:r>
        <w:rPr>
          <w:rFonts w:ascii="Times New Roman" w:eastAsia="仿宋_GB2312" w:hAnsi="Times New Roman" w:cs="Times New Roman"/>
          <w:sz w:val="32"/>
          <w:szCs w:val="32"/>
        </w:rPr>
        <w:t>。</w:t>
      </w:r>
    </w:p>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评价重点</w:t>
      </w:r>
    </w:p>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是资金管理规范性，重点核查财政资金使用合规性，确保资金专款专用、高效配置；二是项目实施质效，围绕秸秆还田、堆肥、饲料化、基料化、能源化等任务指标，评价产出目标完成情况；三是综合效益实现，重点评价秸秆收储运体系健全性等社会效益，耕地质量改善等生态效益，以及秸秆综合利用长效机制等可持续影响</w:t>
      </w:r>
      <w:r>
        <w:rPr>
          <w:rFonts w:ascii="仿宋_GB2312" w:eastAsia="仿宋_GB2312" w:hAnsi="仿宋_GB2312" w:cs="仿宋_GB2312" w:hint="eastAsia"/>
          <w:sz w:val="32"/>
          <w:szCs w:val="32"/>
        </w:rPr>
        <w:t>。</w:t>
      </w:r>
    </w:p>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评价指标体系</w:t>
      </w:r>
    </w:p>
    <w:p w:rsidR="00267EF2" w:rsidRDefault="00A312EF">
      <w:pPr>
        <w:spacing w:line="560" w:lineRule="exact"/>
        <w:ind w:firstLineChars="200" w:firstLine="640"/>
        <w:rPr>
          <w:rFonts w:ascii="仿宋_GB2312" w:eastAsia="仿宋_GB2312" w:hAnsi="仿宋_GB2312" w:cs="仿宋_GB2312"/>
          <w:strike/>
          <w:sz w:val="32"/>
          <w:szCs w:val="32"/>
        </w:rPr>
      </w:pPr>
      <w:r>
        <w:rPr>
          <w:rFonts w:ascii="仿宋_GB2312" w:eastAsia="仿宋_GB2312" w:hAnsi="仿宋_GB2312" w:cs="仿宋_GB2312" w:hint="eastAsia"/>
          <w:sz w:val="32"/>
          <w:szCs w:val="32"/>
        </w:rPr>
        <w:t>根据《青岛市市级项目支出绩效财政评价和部门评价工作规程》（青财绩〔</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号）等相关规定，本次评价从过程、产出、效益</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个方面设置绩效评价指标体系，总分为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分。其中，过程指标</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分，</w:t>
      </w:r>
      <w:r>
        <w:rPr>
          <w:rFonts w:ascii="仿宋_GB2312" w:eastAsia="仿宋_GB2312" w:hAnsi="仿宋_GB2312" w:cs="仿宋_GB2312" w:hint="eastAsia"/>
          <w:sz w:val="32"/>
          <w:szCs w:val="32"/>
        </w:rPr>
        <w:t>包括资金使用合规性、管理制度健全性及执行有效性；产出指标</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分，包括秸秆直接还田、离田堆肥、饲料化、基料化、能源化等任务完成率，以及质量达标率、项目完成及时率情况；效益指标</w:t>
      </w:r>
      <w:r>
        <w:rPr>
          <w:rFonts w:ascii="仿宋_GB2312" w:eastAsia="仿宋_GB2312" w:hAnsi="仿宋_GB2312" w:cs="仿宋_GB2312" w:hint="eastAsia"/>
          <w:sz w:val="32"/>
          <w:szCs w:val="32"/>
        </w:rPr>
        <w:t>45</w:t>
      </w:r>
      <w:r>
        <w:rPr>
          <w:rFonts w:ascii="仿宋_GB2312" w:eastAsia="仿宋_GB2312" w:hAnsi="仿宋_GB2312" w:cs="仿宋_GB2312" w:hint="eastAsia"/>
          <w:sz w:val="32"/>
          <w:szCs w:val="32"/>
        </w:rPr>
        <w:t>分，包括秸秆收储运体系健全性等社会效益指标，耕地质量与生态环境改善等生态效益指标，秸秆综合利用长效机制等可持</w:t>
      </w:r>
      <w:r>
        <w:rPr>
          <w:rFonts w:ascii="仿宋_GB2312" w:eastAsia="仿宋_GB2312" w:hAnsi="仿宋_GB2312" w:cs="仿宋_GB2312" w:hint="eastAsia"/>
          <w:sz w:val="32"/>
          <w:szCs w:val="32"/>
        </w:rPr>
        <w:lastRenderedPageBreak/>
        <w:t>续影响指标，以及受益群众满意度指标。</w:t>
      </w:r>
    </w:p>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评价标准</w:t>
      </w:r>
    </w:p>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评价分为</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个等级：</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（含）</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分为优；</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（含）</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分为良；</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（含）</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分为中；</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分以下为差。</w:t>
      </w:r>
    </w:p>
    <w:p w:rsidR="00267EF2" w:rsidRDefault="00A312EF">
      <w:pPr>
        <w:pStyle w:val="2"/>
        <w:keepNext w:val="0"/>
        <w:keepLines w:val="0"/>
        <w:widowControl w:val="0"/>
        <w:spacing w:before="0" w:after="0" w:line="560" w:lineRule="exact"/>
        <w:ind w:firstLine="640"/>
        <w:jc w:val="both"/>
        <w:rPr>
          <w:rFonts w:eastAsia="楷体_GB2312"/>
          <w:bCs w:val="0"/>
          <w:color w:val="auto"/>
          <w:sz w:val="32"/>
          <w:szCs w:val="40"/>
          <w:lang w:val="en-US"/>
        </w:rPr>
      </w:pPr>
      <w:bookmarkStart w:id="8" w:name="_Toc10556"/>
      <w:r>
        <w:rPr>
          <w:rFonts w:eastAsia="楷体_GB2312" w:hint="eastAsia"/>
          <w:bCs w:val="0"/>
          <w:color w:val="auto"/>
          <w:sz w:val="32"/>
          <w:szCs w:val="40"/>
          <w:lang w:val="en-US"/>
        </w:rPr>
        <w:t>（三）评价组织实施与评价方法</w:t>
      </w:r>
      <w:bookmarkEnd w:id="8"/>
    </w:p>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评价组织实施</w:t>
      </w:r>
    </w:p>
    <w:p w:rsidR="00267EF2" w:rsidRDefault="00A312EF">
      <w:pPr>
        <w:pStyle w:val="p0"/>
        <w:wordWrap/>
        <w:adjustRightInd w:val="0"/>
        <w:snapToGrid w:val="0"/>
        <w:spacing w:line="560" w:lineRule="exact"/>
        <w:ind w:firstLineChars="200" w:firstLine="640"/>
        <w:rPr>
          <w:rFonts w:ascii="仿宋_GB2312" w:eastAsia="仿宋_GB2312"/>
          <w:sz w:val="32"/>
          <w:szCs w:val="32"/>
        </w:rPr>
      </w:pPr>
      <w:bookmarkStart w:id="9" w:name="_Toc7178040"/>
      <w:r>
        <w:rPr>
          <w:rFonts w:ascii="仿宋_GB2312" w:eastAsia="仿宋_GB2312" w:hint="eastAsia"/>
          <w:sz w:val="32"/>
          <w:szCs w:val="32"/>
        </w:rPr>
        <w:t>（</w:t>
      </w:r>
      <w:r>
        <w:rPr>
          <w:rFonts w:ascii="仿宋_GB2312" w:eastAsia="仿宋_GB2312" w:hint="eastAsia"/>
          <w:sz w:val="32"/>
          <w:szCs w:val="32"/>
        </w:rPr>
        <w:t>1</w:t>
      </w:r>
      <w:r>
        <w:rPr>
          <w:rFonts w:ascii="仿宋_GB2312" w:eastAsia="仿宋_GB2312" w:hint="eastAsia"/>
          <w:sz w:val="32"/>
          <w:szCs w:val="32"/>
        </w:rPr>
        <w:t>）前期准备阶段。</w:t>
      </w:r>
      <w:r>
        <w:rPr>
          <w:rFonts w:ascii="仿宋_GB2312" w:eastAsia="仿宋_GB2312" w:hint="eastAsia"/>
          <w:sz w:val="32"/>
          <w:szCs w:val="32"/>
        </w:rPr>
        <w:t>成立评价工作组，学习政策背景，会商评价思路，明确需由相关部门提供的资料清单。调研了解项目基本情况，拟定评价实施方案</w:t>
      </w:r>
      <w:r>
        <w:rPr>
          <w:rFonts w:ascii="仿宋_GB2312" w:eastAsia="仿宋_GB2312" w:hint="eastAsia"/>
          <w:sz w:val="32"/>
          <w:szCs w:val="32"/>
        </w:rPr>
        <w:t>。</w:t>
      </w:r>
    </w:p>
    <w:p w:rsidR="00267EF2" w:rsidRDefault="00A312EF">
      <w:pPr>
        <w:pStyle w:val="p0"/>
        <w:wordWrap/>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2</w:t>
      </w:r>
      <w:r>
        <w:rPr>
          <w:rFonts w:ascii="仿宋_GB2312" w:eastAsia="仿宋_GB2312" w:hint="eastAsia"/>
          <w:sz w:val="32"/>
          <w:szCs w:val="32"/>
        </w:rPr>
        <w:t>）组织实施阶段。</w:t>
      </w:r>
      <w:r>
        <w:rPr>
          <w:rFonts w:ascii="仿宋_GB2312" w:eastAsia="仿宋_GB2312" w:hint="eastAsia"/>
          <w:sz w:val="32"/>
          <w:szCs w:val="32"/>
        </w:rPr>
        <w:t>赴青岛市农业农村局和各区（市）农业农村局开展绩效评价。及时梳理工作底稿，形成绩效评价问题清单和初步结论</w:t>
      </w:r>
      <w:r>
        <w:rPr>
          <w:rFonts w:ascii="仿宋_GB2312" w:eastAsia="仿宋_GB2312" w:hAnsi="Times New Roman" w:cs="Times New Roman" w:hint="eastAsia"/>
          <w:sz w:val="32"/>
          <w:szCs w:val="32"/>
        </w:rPr>
        <w:t>。</w:t>
      </w:r>
    </w:p>
    <w:p w:rsidR="00267EF2" w:rsidRDefault="00A312EF">
      <w:pPr>
        <w:pStyle w:val="p0"/>
        <w:wordWrap/>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3</w:t>
      </w:r>
      <w:r>
        <w:rPr>
          <w:rFonts w:ascii="仿宋_GB2312" w:eastAsia="仿宋_GB2312" w:hint="eastAsia"/>
          <w:sz w:val="32"/>
          <w:szCs w:val="32"/>
        </w:rPr>
        <w:t>）报告形成阶段。</w:t>
      </w:r>
      <w:r>
        <w:rPr>
          <w:rFonts w:ascii="仿宋_GB2312" w:eastAsia="仿宋_GB2312" w:hint="eastAsia"/>
          <w:sz w:val="32"/>
          <w:szCs w:val="32"/>
        </w:rPr>
        <w:t>组织</w:t>
      </w:r>
      <w:r>
        <w:rPr>
          <w:rFonts w:ascii="仿宋_GB2312" w:eastAsia="仿宋_GB2312" w:hint="eastAsia"/>
          <w:sz w:val="32"/>
          <w:szCs w:val="32"/>
        </w:rPr>
        <w:t>撰写报告，</w:t>
      </w:r>
      <w:r>
        <w:rPr>
          <w:rFonts w:ascii="仿宋_GB2312" w:eastAsia="仿宋_GB2312" w:hAnsi="Times New Roman" w:cs="Times New Roman" w:hint="eastAsia"/>
          <w:kern w:val="0"/>
          <w:sz w:val="32"/>
          <w:szCs w:val="32"/>
          <w:u w:color="000000"/>
        </w:rPr>
        <w:t>征求</w:t>
      </w:r>
      <w:r>
        <w:rPr>
          <w:rFonts w:ascii="仿宋_GB2312" w:eastAsia="仿宋_GB2312" w:hAnsi="Times New Roman" w:cs="Times New Roman" w:hint="eastAsia"/>
          <w:kern w:val="0"/>
          <w:sz w:val="32"/>
          <w:szCs w:val="32"/>
          <w:u w:color="000000"/>
        </w:rPr>
        <w:t>市财政局、市农业农村局</w:t>
      </w:r>
      <w:r>
        <w:rPr>
          <w:rFonts w:ascii="仿宋_GB2312" w:eastAsia="仿宋_GB2312" w:hAnsi="Times New Roman" w:cs="Times New Roman" w:hint="eastAsia"/>
          <w:kern w:val="0"/>
          <w:sz w:val="32"/>
          <w:szCs w:val="32"/>
          <w:u w:color="000000"/>
        </w:rPr>
        <w:t>等部门</w:t>
      </w:r>
      <w:r>
        <w:rPr>
          <w:rFonts w:ascii="仿宋_GB2312" w:eastAsia="仿宋_GB2312" w:hAnsi="Times New Roman" w:cs="Times New Roman" w:hint="eastAsia"/>
          <w:kern w:val="0"/>
          <w:sz w:val="32"/>
          <w:szCs w:val="32"/>
          <w:u w:color="000000"/>
        </w:rPr>
        <w:t>意见并</w:t>
      </w:r>
      <w:r>
        <w:rPr>
          <w:rFonts w:ascii="仿宋_GB2312" w:eastAsia="仿宋_GB2312" w:hAnsi="Times New Roman" w:cs="Times New Roman" w:hint="eastAsia"/>
          <w:kern w:val="0"/>
          <w:sz w:val="32"/>
          <w:szCs w:val="32"/>
          <w:u w:color="000000"/>
        </w:rPr>
        <w:t>进一步</w:t>
      </w:r>
      <w:r>
        <w:rPr>
          <w:rFonts w:ascii="仿宋_GB2312" w:eastAsia="仿宋_GB2312" w:hAnsi="Times New Roman" w:cs="Times New Roman" w:hint="eastAsia"/>
          <w:kern w:val="0"/>
          <w:sz w:val="32"/>
          <w:szCs w:val="32"/>
          <w:u w:color="000000"/>
        </w:rPr>
        <w:t>修改完善，正式提交报告。</w:t>
      </w:r>
    </w:p>
    <w:bookmarkEnd w:id="9"/>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评价</w:t>
      </w:r>
      <w:r>
        <w:rPr>
          <w:rFonts w:ascii="仿宋_GB2312" w:eastAsia="仿宋_GB2312" w:hAnsi="仿宋_GB2312" w:cs="仿宋_GB2312" w:hint="eastAsia"/>
          <w:sz w:val="32"/>
          <w:szCs w:val="32"/>
        </w:rPr>
        <w:t>方式</w:t>
      </w:r>
    </w:p>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）比较法。将秸秆还田面积、离田堆肥量、饲料化利用量等实际产出与目标值进行对比，分析目标完成情况及偏差原因。</w:t>
      </w:r>
    </w:p>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）文献研究法。系统研读项目立项文件、实施方案、采购资料、验收报告等资料，梳理项目立项背景、实施流程与目标设定逻辑。</w:t>
      </w:r>
    </w:p>
    <w:p w:rsidR="00267EF2" w:rsidRDefault="00A312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）数据核查法。对秸秆还田面积、收储量、堆肥量、资金拨付等核心数据，对照作业台账、财务凭证、验收报告等材料逐项核验，确保数据真实准确</w:t>
      </w:r>
      <w:r>
        <w:rPr>
          <w:rFonts w:ascii="仿宋_GB2312" w:eastAsia="仿宋_GB2312" w:hAnsi="仿宋_GB2312" w:cs="仿宋_GB2312" w:hint="eastAsia"/>
          <w:sz w:val="32"/>
          <w:szCs w:val="32"/>
        </w:rPr>
        <w:t>。</w:t>
      </w:r>
    </w:p>
    <w:p w:rsidR="00267EF2" w:rsidRDefault="00A312EF">
      <w:pPr>
        <w:pStyle w:val="1"/>
        <w:keepNext w:val="0"/>
        <w:keepLines w:val="0"/>
        <w:widowControl w:val="0"/>
        <w:spacing w:before="0" w:after="0" w:line="560" w:lineRule="exact"/>
        <w:ind w:firstLine="640"/>
        <w:jc w:val="both"/>
        <w:rPr>
          <w:bCs w:val="0"/>
          <w:color w:val="auto"/>
          <w:kern w:val="2"/>
          <w:sz w:val="32"/>
          <w:szCs w:val="32"/>
          <w:lang w:val="en-US"/>
        </w:rPr>
      </w:pPr>
      <w:bookmarkStart w:id="10" w:name="_Toc6620"/>
      <w:r>
        <w:rPr>
          <w:rFonts w:hint="eastAsia"/>
          <w:bCs w:val="0"/>
          <w:color w:val="auto"/>
          <w:kern w:val="2"/>
          <w:sz w:val="32"/>
          <w:szCs w:val="32"/>
          <w:lang w:val="en-US"/>
        </w:rPr>
        <w:lastRenderedPageBreak/>
        <w:t>三、评价结论及分析</w:t>
      </w:r>
      <w:bookmarkEnd w:id="10"/>
    </w:p>
    <w:p w:rsidR="00267EF2" w:rsidRDefault="00A312EF">
      <w:pPr>
        <w:pStyle w:val="2"/>
        <w:keepNext w:val="0"/>
        <w:keepLines w:val="0"/>
        <w:widowControl w:val="0"/>
        <w:spacing w:before="0" w:after="0" w:line="560" w:lineRule="exact"/>
        <w:ind w:firstLine="640"/>
        <w:jc w:val="both"/>
        <w:rPr>
          <w:rFonts w:eastAsia="楷体_GB2312"/>
          <w:bCs w:val="0"/>
          <w:color w:val="auto"/>
          <w:sz w:val="32"/>
          <w:szCs w:val="40"/>
          <w:lang w:val="en-US"/>
        </w:rPr>
      </w:pPr>
      <w:bookmarkStart w:id="11" w:name="_Toc6532"/>
      <w:r>
        <w:rPr>
          <w:rFonts w:eastAsia="楷体_GB2312" w:hint="eastAsia"/>
          <w:bCs w:val="0"/>
          <w:color w:val="auto"/>
          <w:sz w:val="32"/>
          <w:szCs w:val="40"/>
          <w:lang w:val="en-US"/>
        </w:rPr>
        <w:t>（一）综合评价结论</w:t>
      </w:r>
      <w:bookmarkEnd w:id="11"/>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该项目绩效评价得分</w:t>
      </w:r>
      <w:r>
        <w:rPr>
          <w:rFonts w:ascii="仿宋_GB2312" w:eastAsia="仿宋_GB2312" w:hAnsi="仿宋_GB2312" w:cs="仿宋_GB2312" w:hint="eastAsia"/>
          <w:sz w:val="32"/>
          <w:szCs w:val="40"/>
        </w:rPr>
        <w:t>81.72</w:t>
      </w:r>
      <w:r>
        <w:rPr>
          <w:rFonts w:ascii="仿宋_GB2312" w:eastAsia="仿宋_GB2312" w:hAnsi="仿宋_GB2312" w:cs="仿宋_GB2312" w:hint="eastAsia"/>
          <w:sz w:val="32"/>
          <w:szCs w:val="40"/>
        </w:rPr>
        <w:t>分，评价结果为“</w:t>
      </w:r>
      <w:r>
        <w:rPr>
          <w:rFonts w:ascii="仿宋_GB2312" w:eastAsia="仿宋_GB2312" w:hAnsi="仿宋_GB2312" w:cs="仿宋_GB2312" w:hint="eastAsia"/>
          <w:sz w:val="32"/>
          <w:szCs w:val="40"/>
        </w:rPr>
        <w:t>良</w:t>
      </w:r>
      <w:r>
        <w:rPr>
          <w:rFonts w:ascii="仿宋_GB2312" w:eastAsia="仿宋_GB2312" w:hAnsi="仿宋_GB2312" w:cs="仿宋_GB2312" w:hint="eastAsia"/>
          <w:sz w:val="32"/>
          <w:szCs w:val="40"/>
        </w:rPr>
        <w:t>”。</w:t>
      </w:r>
    </w:p>
    <w:p w:rsidR="00267EF2" w:rsidRDefault="00A312EF">
      <w:pPr>
        <w:spacing w:line="600" w:lineRule="exact"/>
        <w:jc w:val="center"/>
        <w:rPr>
          <w:rFonts w:ascii="黑体" w:eastAsia="黑体" w:hAnsi="黑体" w:cs="黑体"/>
          <w:sz w:val="28"/>
          <w:szCs w:val="28"/>
        </w:rPr>
      </w:pPr>
      <w:r>
        <w:rPr>
          <w:rFonts w:ascii="黑体" w:eastAsia="黑体" w:hAnsi="黑体" w:cs="黑体" w:hint="eastAsia"/>
          <w:sz w:val="28"/>
          <w:szCs w:val="28"/>
        </w:rPr>
        <w:t>2025</w:t>
      </w:r>
      <w:r>
        <w:rPr>
          <w:rFonts w:ascii="黑体" w:eastAsia="黑体" w:hAnsi="黑体" w:cs="黑体" w:hint="eastAsia"/>
          <w:sz w:val="28"/>
          <w:szCs w:val="28"/>
        </w:rPr>
        <w:t>年青岛市农作物秸秆综合利用项目</w:t>
      </w:r>
      <w:r>
        <w:rPr>
          <w:rFonts w:ascii="黑体" w:eastAsia="黑体" w:hAnsi="黑体" w:cs="黑体" w:hint="eastAsia"/>
          <w:sz w:val="28"/>
          <w:szCs w:val="28"/>
        </w:rPr>
        <w:t>绩效评价得分表</w:t>
      </w:r>
    </w:p>
    <w:tbl>
      <w:tblPr>
        <w:tblStyle w:val="a9"/>
        <w:tblW w:w="0" w:type="auto"/>
        <w:tblInd w:w="227" w:type="dxa"/>
        <w:tblLook w:val="04A0"/>
      </w:tblPr>
      <w:tblGrid>
        <w:gridCol w:w="2071"/>
        <w:gridCol w:w="2072"/>
        <w:gridCol w:w="2075"/>
        <w:gridCol w:w="2077"/>
      </w:tblGrid>
      <w:tr w:rsidR="00267EF2">
        <w:trPr>
          <w:trHeight w:val="454"/>
          <w:tblHeader/>
        </w:trPr>
        <w:tc>
          <w:tcPr>
            <w:tcW w:w="2071" w:type="dxa"/>
            <w:shd w:val="clear" w:color="auto" w:fill="BFBFBF" w:themeFill="background1" w:themeFillShade="BF"/>
            <w:vAlign w:val="center"/>
          </w:tcPr>
          <w:p w:rsidR="00267EF2" w:rsidRDefault="00A312EF">
            <w:pPr>
              <w:jc w:val="center"/>
              <w:textAlignment w:val="center"/>
              <w:rPr>
                <w:rFonts w:ascii="仿宋_GB2312" w:eastAsia="仿宋_GB2312" w:hAnsi="仿宋_GB2312" w:cs="仿宋_GB2312"/>
                <w:b/>
                <w:bCs/>
                <w:color w:val="000000"/>
                <w:kern w:val="0"/>
                <w:sz w:val="24"/>
                <w:lang/>
              </w:rPr>
            </w:pPr>
            <w:r>
              <w:rPr>
                <w:rFonts w:ascii="仿宋_GB2312" w:eastAsia="仿宋_GB2312" w:hAnsi="仿宋_GB2312" w:cs="仿宋_GB2312" w:hint="eastAsia"/>
                <w:b/>
                <w:bCs/>
                <w:color w:val="000000"/>
                <w:kern w:val="0"/>
                <w:sz w:val="24"/>
                <w:lang/>
              </w:rPr>
              <w:t>一级指标</w:t>
            </w:r>
          </w:p>
        </w:tc>
        <w:tc>
          <w:tcPr>
            <w:tcW w:w="2072" w:type="dxa"/>
            <w:shd w:val="clear" w:color="auto" w:fill="BFBFBF" w:themeFill="background1" w:themeFillShade="BF"/>
            <w:vAlign w:val="center"/>
          </w:tcPr>
          <w:p w:rsidR="00267EF2" w:rsidRDefault="00A312EF">
            <w:pPr>
              <w:jc w:val="center"/>
              <w:textAlignment w:val="center"/>
              <w:rPr>
                <w:rFonts w:ascii="仿宋_GB2312" w:eastAsia="仿宋_GB2312" w:hAnsi="仿宋_GB2312" w:cs="仿宋_GB2312"/>
                <w:b/>
                <w:bCs/>
                <w:color w:val="000000"/>
                <w:kern w:val="0"/>
                <w:sz w:val="24"/>
                <w:lang/>
              </w:rPr>
            </w:pPr>
            <w:r>
              <w:rPr>
                <w:rFonts w:ascii="仿宋_GB2312" w:eastAsia="仿宋_GB2312" w:hAnsi="仿宋_GB2312" w:cs="仿宋_GB2312" w:hint="eastAsia"/>
                <w:b/>
                <w:bCs/>
                <w:color w:val="000000"/>
                <w:kern w:val="0"/>
                <w:sz w:val="24"/>
                <w:lang/>
              </w:rPr>
              <w:t>指标分值</w:t>
            </w:r>
          </w:p>
        </w:tc>
        <w:tc>
          <w:tcPr>
            <w:tcW w:w="2075" w:type="dxa"/>
            <w:shd w:val="clear" w:color="auto" w:fill="BFBFBF" w:themeFill="background1" w:themeFillShade="BF"/>
            <w:vAlign w:val="center"/>
          </w:tcPr>
          <w:p w:rsidR="00267EF2" w:rsidRDefault="00A312EF">
            <w:pPr>
              <w:jc w:val="center"/>
              <w:textAlignment w:val="center"/>
              <w:rPr>
                <w:rFonts w:ascii="仿宋_GB2312" w:eastAsia="仿宋_GB2312" w:hAnsi="仿宋_GB2312" w:cs="仿宋_GB2312"/>
                <w:b/>
                <w:bCs/>
                <w:color w:val="000000"/>
                <w:kern w:val="0"/>
                <w:sz w:val="24"/>
                <w:lang/>
              </w:rPr>
            </w:pPr>
            <w:r>
              <w:rPr>
                <w:rFonts w:ascii="仿宋_GB2312" w:eastAsia="仿宋_GB2312" w:hAnsi="仿宋_GB2312" w:cs="仿宋_GB2312" w:hint="eastAsia"/>
                <w:b/>
                <w:bCs/>
                <w:color w:val="000000"/>
                <w:kern w:val="0"/>
                <w:sz w:val="24"/>
                <w:lang/>
              </w:rPr>
              <w:t>得分</w:t>
            </w:r>
          </w:p>
        </w:tc>
        <w:tc>
          <w:tcPr>
            <w:tcW w:w="2077" w:type="dxa"/>
            <w:shd w:val="clear" w:color="auto" w:fill="BFBFBF" w:themeFill="background1" w:themeFillShade="BF"/>
            <w:vAlign w:val="center"/>
          </w:tcPr>
          <w:p w:rsidR="00267EF2" w:rsidRDefault="00A312EF">
            <w:pPr>
              <w:jc w:val="center"/>
              <w:textAlignment w:val="center"/>
              <w:rPr>
                <w:rFonts w:ascii="仿宋_GB2312" w:eastAsia="仿宋_GB2312" w:hAnsi="仿宋_GB2312" w:cs="仿宋_GB2312"/>
                <w:b/>
                <w:bCs/>
                <w:color w:val="000000"/>
                <w:kern w:val="0"/>
                <w:sz w:val="24"/>
                <w:lang/>
              </w:rPr>
            </w:pPr>
            <w:r>
              <w:rPr>
                <w:rFonts w:ascii="仿宋_GB2312" w:eastAsia="仿宋_GB2312" w:hAnsi="仿宋_GB2312" w:cs="仿宋_GB2312" w:hint="eastAsia"/>
                <w:b/>
                <w:bCs/>
                <w:color w:val="000000"/>
                <w:kern w:val="0"/>
                <w:sz w:val="24"/>
                <w:lang/>
              </w:rPr>
              <w:t>得分率</w:t>
            </w:r>
          </w:p>
        </w:tc>
      </w:tr>
      <w:tr w:rsidR="00267EF2">
        <w:trPr>
          <w:trHeight w:val="454"/>
        </w:trPr>
        <w:tc>
          <w:tcPr>
            <w:tcW w:w="2071" w:type="dxa"/>
            <w:vAlign w:val="center"/>
          </w:tcPr>
          <w:p w:rsidR="00267EF2" w:rsidRDefault="00A312EF">
            <w:pPr>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过程</w:t>
            </w:r>
          </w:p>
        </w:tc>
        <w:tc>
          <w:tcPr>
            <w:tcW w:w="2072" w:type="dxa"/>
            <w:vAlign w:val="center"/>
          </w:tcPr>
          <w:p w:rsidR="00267EF2" w:rsidRDefault="00A312EF">
            <w:pPr>
              <w:snapToGrid w:val="0"/>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15</w:t>
            </w:r>
          </w:p>
        </w:tc>
        <w:tc>
          <w:tcPr>
            <w:tcW w:w="2075" w:type="dxa"/>
            <w:vAlign w:val="center"/>
          </w:tcPr>
          <w:p w:rsidR="00267EF2" w:rsidRDefault="00A312EF">
            <w:pPr>
              <w:snapToGrid w:val="0"/>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10</w:t>
            </w:r>
          </w:p>
        </w:tc>
        <w:tc>
          <w:tcPr>
            <w:tcW w:w="2077" w:type="dxa"/>
            <w:vAlign w:val="center"/>
          </w:tcPr>
          <w:p w:rsidR="00267EF2" w:rsidRDefault="00A312EF">
            <w:pPr>
              <w:snapToGrid w:val="0"/>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66.67%</w:t>
            </w:r>
          </w:p>
        </w:tc>
      </w:tr>
      <w:tr w:rsidR="00267EF2">
        <w:trPr>
          <w:trHeight w:val="454"/>
        </w:trPr>
        <w:tc>
          <w:tcPr>
            <w:tcW w:w="2071" w:type="dxa"/>
            <w:vAlign w:val="center"/>
          </w:tcPr>
          <w:p w:rsidR="00267EF2" w:rsidRDefault="00A312EF">
            <w:pPr>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产出</w:t>
            </w:r>
          </w:p>
        </w:tc>
        <w:tc>
          <w:tcPr>
            <w:tcW w:w="2072" w:type="dxa"/>
            <w:vAlign w:val="center"/>
          </w:tcPr>
          <w:p w:rsidR="00267EF2" w:rsidRDefault="00A312EF">
            <w:pPr>
              <w:snapToGrid w:val="0"/>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40</w:t>
            </w:r>
          </w:p>
        </w:tc>
        <w:tc>
          <w:tcPr>
            <w:tcW w:w="2075" w:type="dxa"/>
            <w:vAlign w:val="center"/>
          </w:tcPr>
          <w:p w:rsidR="00267EF2" w:rsidRDefault="00A312EF">
            <w:pPr>
              <w:snapToGrid w:val="0"/>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31.62</w:t>
            </w:r>
          </w:p>
        </w:tc>
        <w:tc>
          <w:tcPr>
            <w:tcW w:w="2077" w:type="dxa"/>
            <w:vAlign w:val="center"/>
          </w:tcPr>
          <w:p w:rsidR="00267EF2" w:rsidRDefault="00A312EF">
            <w:pPr>
              <w:snapToGrid w:val="0"/>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79.05%</w:t>
            </w:r>
          </w:p>
        </w:tc>
      </w:tr>
      <w:tr w:rsidR="00267EF2">
        <w:trPr>
          <w:trHeight w:val="454"/>
        </w:trPr>
        <w:tc>
          <w:tcPr>
            <w:tcW w:w="2071" w:type="dxa"/>
            <w:vAlign w:val="center"/>
          </w:tcPr>
          <w:p w:rsidR="00267EF2" w:rsidRDefault="00A312EF">
            <w:pPr>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效益</w:t>
            </w:r>
          </w:p>
        </w:tc>
        <w:tc>
          <w:tcPr>
            <w:tcW w:w="2072" w:type="dxa"/>
            <w:vAlign w:val="center"/>
          </w:tcPr>
          <w:p w:rsidR="00267EF2" w:rsidRDefault="00A312EF">
            <w:pPr>
              <w:snapToGrid w:val="0"/>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45</w:t>
            </w:r>
          </w:p>
        </w:tc>
        <w:tc>
          <w:tcPr>
            <w:tcW w:w="2075" w:type="dxa"/>
            <w:vAlign w:val="center"/>
          </w:tcPr>
          <w:p w:rsidR="00267EF2" w:rsidRDefault="00A312EF">
            <w:pPr>
              <w:snapToGrid w:val="0"/>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40.1</w:t>
            </w:r>
          </w:p>
        </w:tc>
        <w:tc>
          <w:tcPr>
            <w:tcW w:w="2077" w:type="dxa"/>
            <w:vAlign w:val="center"/>
          </w:tcPr>
          <w:p w:rsidR="00267EF2" w:rsidRDefault="00A312EF">
            <w:pPr>
              <w:snapToGrid w:val="0"/>
              <w:jc w:val="center"/>
              <w:textAlignment w:val="center"/>
              <w:rPr>
                <w:rFonts w:ascii="仿宋_GB2312" w:eastAsia="仿宋_GB2312" w:hAnsi="仿宋_GB2312" w:cs="仿宋_GB2312"/>
                <w:color w:val="000000"/>
                <w:kern w:val="0"/>
                <w:sz w:val="24"/>
                <w:lang/>
              </w:rPr>
            </w:pPr>
            <w:r>
              <w:rPr>
                <w:rFonts w:ascii="仿宋_GB2312" w:eastAsia="仿宋_GB2312" w:hAnsi="仿宋_GB2312" w:cs="仿宋_GB2312" w:hint="eastAsia"/>
                <w:color w:val="000000"/>
                <w:kern w:val="0"/>
                <w:sz w:val="24"/>
                <w:lang/>
              </w:rPr>
              <w:t>89.11%</w:t>
            </w:r>
          </w:p>
        </w:tc>
      </w:tr>
      <w:tr w:rsidR="00267EF2">
        <w:trPr>
          <w:trHeight w:val="454"/>
        </w:trPr>
        <w:tc>
          <w:tcPr>
            <w:tcW w:w="2071" w:type="dxa"/>
            <w:vAlign w:val="center"/>
          </w:tcPr>
          <w:p w:rsidR="00267EF2" w:rsidRDefault="00A312EF">
            <w:pPr>
              <w:jc w:val="center"/>
              <w:textAlignment w:val="center"/>
              <w:rPr>
                <w:rFonts w:ascii="仿宋_GB2312" w:eastAsia="仿宋_GB2312" w:hAnsi="仿宋_GB2312" w:cs="仿宋_GB2312"/>
                <w:b/>
                <w:bCs/>
                <w:color w:val="000000"/>
                <w:kern w:val="0"/>
                <w:sz w:val="24"/>
                <w:lang/>
              </w:rPr>
            </w:pPr>
            <w:r>
              <w:rPr>
                <w:rFonts w:ascii="仿宋_GB2312" w:eastAsia="仿宋_GB2312" w:hAnsi="仿宋_GB2312" w:cs="仿宋_GB2312" w:hint="eastAsia"/>
                <w:b/>
                <w:bCs/>
                <w:color w:val="000000"/>
                <w:kern w:val="0"/>
                <w:sz w:val="24"/>
                <w:lang/>
              </w:rPr>
              <w:t>合计</w:t>
            </w:r>
          </w:p>
        </w:tc>
        <w:tc>
          <w:tcPr>
            <w:tcW w:w="2072" w:type="dxa"/>
            <w:vAlign w:val="center"/>
          </w:tcPr>
          <w:p w:rsidR="00267EF2" w:rsidRDefault="00A312EF">
            <w:pPr>
              <w:jc w:val="center"/>
              <w:textAlignment w:val="center"/>
              <w:rPr>
                <w:rFonts w:ascii="仿宋_GB2312" w:eastAsia="仿宋_GB2312" w:hAnsi="仿宋_GB2312" w:cs="仿宋_GB2312"/>
                <w:b/>
                <w:bCs/>
                <w:color w:val="000000"/>
                <w:kern w:val="0"/>
                <w:sz w:val="24"/>
                <w:lang/>
              </w:rPr>
            </w:pPr>
            <w:r>
              <w:rPr>
                <w:rFonts w:ascii="仿宋_GB2312" w:eastAsia="仿宋_GB2312" w:hAnsi="仿宋_GB2312" w:cs="仿宋_GB2312" w:hint="eastAsia"/>
                <w:b/>
                <w:bCs/>
                <w:color w:val="000000"/>
                <w:kern w:val="0"/>
                <w:sz w:val="24"/>
                <w:lang/>
              </w:rPr>
              <w:t>100</w:t>
            </w:r>
          </w:p>
        </w:tc>
        <w:tc>
          <w:tcPr>
            <w:tcW w:w="2075" w:type="dxa"/>
            <w:vAlign w:val="center"/>
          </w:tcPr>
          <w:p w:rsidR="00267EF2" w:rsidRDefault="00A312EF">
            <w:pPr>
              <w:jc w:val="center"/>
              <w:textAlignment w:val="center"/>
              <w:rPr>
                <w:rFonts w:ascii="仿宋_GB2312" w:eastAsia="仿宋_GB2312" w:hAnsi="仿宋_GB2312" w:cs="仿宋_GB2312"/>
                <w:b/>
                <w:bCs/>
                <w:color w:val="000000"/>
                <w:kern w:val="0"/>
                <w:sz w:val="24"/>
                <w:lang/>
              </w:rPr>
            </w:pPr>
            <w:r>
              <w:rPr>
                <w:rFonts w:ascii="仿宋_GB2312" w:eastAsia="仿宋_GB2312" w:hAnsi="仿宋_GB2312" w:cs="仿宋_GB2312" w:hint="eastAsia"/>
                <w:b/>
                <w:bCs/>
                <w:color w:val="000000"/>
                <w:kern w:val="0"/>
                <w:sz w:val="24"/>
                <w:lang/>
              </w:rPr>
              <w:t>81.72</w:t>
            </w:r>
          </w:p>
        </w:tc>
        <w:tc>
          <w:tcPr>
            <w:tcW w:w="2077" w:type="dxa"/>
            <w:vAlign w:val="center"/>
          </w:tcPr>
          <w:p w:rsidR="00267EF2" w:rsidRDefault="00A312EF">
            <w:pPr>
              <w:jc w:val="center"/>
              <w:textAlignment w:val="center"/>
              <w:rPr>
                <w:rFonts w:ascii="仿宋_GB2312" w:eastAsia="仿宋_GB2312" w:hAnsi="仿宋_GB2312" w:cs="仿宋_GB2312"/>
                <w:b/>
                <w:bCs/>
                <w:color w:val="000000"/>
                <w:kern w:val="0"/>
                <w:sz w:val="24"/>
                <w:lang/>
              </w:rPr>
            </w:pPr>
            <w:r>
              <w:rPr>
                <w:rFonts w:ascii="仿宋_GB2312" w:eastAsia="仿宋_GB2312" w:hAnsi="仿宋_GB2312" w:cs="仿宋_GB2312" w:hint="eastAsia"/>
                <w:b/>
                <w:bCs/>
                <w:color w:val="000000"/>
                <w:kern w:val="0"/>
                <w:sz w:val="24"/>
                <w:lang/>
              </w:rPr>
              <w:t>81.72%</w:t>
            </w:r>
          </w:p>
        </w:tc>
      </w:tr>
    </w:tbl>
    <w:p w:rsidR="00267EF2" w:rsidRDefault="00A312EF">
      <w:pPr>
        <w:pStyle w:val="2"/>
        <w:keepNext w:val="0"/>
        <w:keepLines w:val="0"/>
        <w:widowControl w:val="0"/>
        <w:spacing w:before="0" w:after="0" w:line="560" w:lineRule="exact"/>
        <w:ind w:firstLineChars="300" w:firstLine="960"/>
        <w:jc w:val="both"/>
        <w:rPr>
          <w:rFonts w:ascii="仿宋_GB2312" w:eastAsia="仿宋_GB2312" w:hAnsi="仿宋_GB2312" w:cs="仿宋_GB2312"/>
          <w:sz w:val="32"/>
          <w:szCs w:val="40"/>
        </w:rPr>
      </w:pPr>
      <w:bookmarkStart w:id="12" w:name="_Toc27938"/>
      <w:r>
        <w:rPr>
          <w:rFonts w:eastAsia="楷体_GB2312" w:hint="eastAsia"/>
          <w:bCs w:val="0"/>
          <w:color w:val="auto"/>
          <w:sz w:val="32"/>
          <w:szCs w:val="40"/>
          <w:lang w:val="en-US"/>
        </w:rPr>
        <w:t>（二）指标分析</w:t>
      </w:r>
      <w:bookmarkEnd w:id="12"/>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过程</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过程指标分值</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分，评价得分</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分，得分率</w:t>
      </w:r>
      <w:r>
        <w:rPr>
          <w:rFonts w:ascii="仿宋_GB2312" w:eastAsia="仿宋_GB2312" w:hAnsi="仿宋_GB2312" w:cs="仿宋_GB2312" w:hint="eastAsia"/>
          <w:sz w:val="32"/>
          <w:szCs w:val="40"/>
        </w:rPr>
        <w:t>66.67</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各区（市）</w:t>
      </w:r>
      <w:r>
        <w:rPr>
          <w:rFonts w:ascii="仿宋_GB2312" w:eastAsia="仿宋_GB2312" w:hAnsi="仿宋_GB2312" w:cs="仿宋_GB2312" w:hint="eastAsia"/>
          <w:sz w:val="32"/>
          <w:szCs w:val="40"/>
        </w:rPr>
        <w:t>均</w:t>
      </w:r>
      <w:r>
        <w:rPr>
          <w:rFonts w:ascii="仿宋_GB2312" w:eastAsia="仿宋_GB2312" w:hAnsi="仿宋_GB2312" w:cs="仿宋_GB2312" w:hint="eastAsia"/>
          <w:sz w:val="32"/>
          <w:szCs w:val="40"/>
        </w:rPr>
        <w:t>制定</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年秸秆综合利用重点县建设实施方案，明确了</w:t>
      </w:r>
      <w:r>
        <w:rPr>
          <w:rFonts w:ascii="仿宋_GB2312" w:eastAsia="仿宋_GB2312" w:hAnsi="仿宋_GB2312" w:cs="仿宋_GB2312" w:hint="eastAsia"/>
          <w:sz w:val="32"/>
          <w:szCs w:val="40"/>
        </w:rPr>
        <w:t>总体要求、</w:t>
      </w:r>
      <w:r>
        <w:rPr>
          <w:rFonts w:ascii="仿宋_GB2312" w:eastAsia="仿宋_GB2312" w:hAnsi="仿宋_GB2312" w:cs="仿宋_GB2312" w:hint="eastAsia"/>
          <w:sz w:val="32"/>
          <w:szCs w:val="40"/>
        </w:rPr>
        <w:t>补助范围和标准</w:t>
      </w:r>
      <w:r>
        <w:rPr>
          <w:rFonts w:ascii="仿宋_GB2312" w:eastAsia="仿宋_GB2312" w:hAnsi="仿宋_GB2312" w:cs="仿宋_GB2312" w:hint="eastAsia"/>
          <w:sz w:val="32"/>
          <w:szCs w:val="40"/>
        </w:rPr>
        <w:t>等</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预算执行率较低，</w:t>
      </w:r>
      <w:r>
        <w:rPr>
          <w:rFonts w:ascii="仿宋_GB2312" w:eastAsia="仿宋_GB2312" w:hAnsi="仿宋_GB2312" w:cs="仿宋_GB2312" w:hint="eastAsia"/>
          <w:sz w:val="32"/>
          <w:szCs w:val="40"/>
        </w:rPr>
        <w:t>项目预算安排数</w:t>
      </w:r>
      <w:r>
        <w:rPr>
          <w:rFonts w:ascii="仿宋_GB2312" w:eastAsia="仿宋_GB2312" w:hAnsi="仿宋_GB2312" w:cs="仿宋_GB2312" w:hint="eastAsia"/>
          <w:sz w:val="32"/>
          <w:szCs w:val="40"/>
        </w:rPr>
        <w:t>1442</w:t>
      </w:r>
      <w:r>
        <w:rPr>
          <w:rFonts w:ascii="仿宋_GB2312" w:eastAsia="仿宋_GB2312" w:hAnsi="仿宋_GB2312" w:cs="仿宋_GB2312" w:hint="eastAsia"/>
          <w:sz w:val="32"/>
          <w:szCs w:val="40"/>
        </w:rPr>
        <w:t>万元，截至评价日（</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6</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日），预算执行数为</w:t>
      </w:r>
      <w:r>
        <w:rPr>
          <w:rFonts w:ascii="仿宋_GB2312" w:eastAsia="仿宋_GB2312" w:hAnsi="仿宋_GB2312" w:cs="仿宋_GB2312" w:hint="eastAsia"/>
          <w:sz w:val="32"/>
          <w:szCs w:val="40"/>
        </w:rPr>
        <w:t>71.13</w:t>
      </w:r>
      <w:r>
        <w:rPr>
          <w:rFonts w:ascii="仿宋_GB2312" w:eastAsia="仿宋_GB2312" w:hAnsi="仿宋_GB2312" w:cs="仿宋_GB2312" w:hint="eastAsia"/>
          <w:sz w:val="32"/>
          <w:szCs w:val="40"/>
        </w:rPr>
        <w:t>万元，预算执行率为</w:t>
      </w:r>
      <w:r>
        <w:rPr>
          <w:rFonts w:ascii="仿宋_GB2312" w:eastAsia="仿宋_GB2312" w:hAnsi="仿宋_GB2312" w:cs="仿宋_GB2312" w:hint="eastAsia"/>
          <w:sz w:val="32"/>
          <w:szCs w:val="40"/>
        </w:rPr>
        <w:t>4.93%</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同时，项目</w:t>
      </w:r>
      <w:r>
        <w:rPr>
          <w:rFonts w:ascii="仿宋_GB2312" w:eastAsia="仿宋_GB2312" w:hAnsi="仿宋_GB2312" w:cs="仿宋_GB2312" w:hint="eastAsia"/>
          <w:sz w:val="32"/>
          <w:szCs w:val="40"/>
        </w:rPr>
        <w:t>存在方案备案不及时、补助标准测算不够</w:t>
      </w:r>
      <w:r>
        <w:rPr>
          <w:rFonts w:ascii="仿宋_GB2312" w:eastAsia="仿宋_GB2312" w:hAnsi="仿宋_GB2312" w:cs="仿宋_GB2312" w:hint="eastAsia"/>
          <w:sz w:val="32"/>
          <w:szCs w:val="40"/>
        </w:rPr>
        <w:t>细化</w:t>
      </w:r>
      <w:r>
        <w:rPr>
          <w:rFonts w:ascii="仿宋_GB2312" w:eastAsia="仿宋_GB2312" w:hAnsi="仿宋_GB2312" w:cs="仿宋_GB2312" w:hint="eastAsia"/>
          <w:sz w:val="32"/>
          <w:szCs w:val="40"/>
        </w:rPr>
        <w:t>、部分档案资料不完整，过程留痕不够规范等问题。</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产出</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产出指标分值</w:t>
      </w:r>
      <w:r>
        <w:rPr>
          <w:rFonts w:ascii="仿宋_GB2312" w:eastAsia="仿宋_GB2312" w:hAnsi="仿宋_GB2312" w:cs="仿宋_GB2312" w:hint="eastAsia"/>
          <w:sz w:val="32"/>
          <w:szCs w:val="40"/>
        </w:rPr>
        <w:t>40</w:t>
      </w:r>
      <w:r>
        <w:rPr>
          <w:rFonts w:ascii="仿宋_GB2312" w:eastAsia="仿宋_GB2312" w:hAnsi="仿宋_GB2312" w:cs="仿宋_GB2312" w:hint="eastAsia"/>
          <w:sz w:val="32"/>
          <w:szCs w:val="40"/>
        </w:rPr>
        <w:t>分，评价得分</w:t>
      </w:r>
      <w:r>
        <w:rPr>
          <w:rFonts w:ascii="仿宋_GB2312" w:eastAsia="仿宋_GB2312" w:hAnsi="仿宋_GB2312" w:cs="仿宋_GB2312" w:hint="eastAsia"/>
          <w:sz w:val="32"/>
          <w:szCs w:val="40"/>
        </w:rPr>
        <w:t>31.62</w:t>
      </w:r>
      <w:r>
        <w:rPr>
          <w:rFonts w:ascii="仿宋_GB2312" w:eastAsia="仿宋_GB2312" w:hAnsi="仿宋_GB2312" w:cs="仿宋_GB2312" w:hint="eastAsia"/>
          <w:sz w:val="32"/>
          <w:szCs w:val="40"/>
        </w:rPr>
        <w:t>分，得分率</w:t>
      </w:r>
      <w:r>
        <w:rPr>
          <w:rFonts w:ascii="仿宋_GB2312" w:eastAsia="仿宋_GB2312" w:hAnsi="仿宋_GB2312" w:cs="仿宋_GB2312" w:hint="eastAsia"/>
          <w:sz w:val="32"/>
          <w:szCs w:val="40"/>
        </w:rPr>
        <w:t>79.05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秸秆直接还田和离田堆肥任务均已完成目标任务。秸秆综合利用率均达到</w:t>
      </w:r>
      <w:r>
        <w:rPr>
          <w:rFonts w:ascii="仿宋_GB2312" w:eastAsia="仿宋_GB2312" w:hAnsi="仿宋_GB2312" w:cs="仿宋_GB2312" w:hint="eastAsia"/>
          <w:sz w:val="32"/>
          <w:szCs w:val="40"/>
        </w:rPr>
        <w:t>96%</w:t>
      </w:r>
      <w:r>
        <w:rPr>
          <w:rFonts w:ascii="仿宋_GB2312" w:eastAsia="仿宋_GB2312" w:hAnsi="仿宋_GB2312" w:cs="仿宋_GB2312" w:hint="eastAsia"/>
          <w:sz w:val="32"/>
          <w:szCs w:val="40"/>
        </w:rPr>
        <w:t>以上的目标要求。但受申报主体、极端天气等因素影响，秸秆饲料化利用任务完成情况不理想，基料化和能源化利用未开展。质量达标方面，堆肥最终检测结果满足技术要求，但存在机具保单覆盖不全、翻抛频次不</w:t>
      </w:r>
      <w:r>
        <w:rPr>
          <w:rFonts w:ascii="仿宋_GB2312" w:eastAsia="仿宋_GB2312" w:hAnsi="仿宋_GB2312" w:cs="仿宋_GB2312" w:hint="eastAsia"/>
          <w:sz w:val="32"/>
          <w:szCs w:val="40"/>
        </w:rPr>
        <w:lastRenderedPageBreak/>
        <w:t>符合合同要求、黄贮窖池验收依据不足等问题。完成及时性方面，三区（市）项目实施均不同程度存在延期问题，秸秆还田效果监测与评价报告均未按时完成。</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效益</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效益指标分值</w:t>
      </w:r>
      <w:r>
        <w:rPr>
          <w:rFonts w:ascii="仿宋_GB2312" w:eastAsia="仿宋_GB2312" w:hAnsi="仿宋_GB2312" w:cs="仿宋_GB2312" w:hint="eastAsia"/>
          <w:sz w:val="32"/>
          <w:szCs w:val="40"/>
        </w:rPr>
        <w:t>45</w:t>
      </w:r>
      <w:r>
        <w:rPr>
          <w:rFonts w:ascii="仿宋_GB2312" w:eastAsia="仿宋_GB2312" w:hAnsi="仿宋_GB2312" w:cs="仿宋_GB2312" w:hint="eastAsia"/>
          <w:sz w:val="32"/>
          <w:szCs w:val="40"/>
        </w:rPr>
        <w:t>分，评价得分</w:t>
      </w:r>
      <w:r>
        <w:rPr>
          <w:rFonts w:ascii="仿宋_GB2312" w:eastAsia="仿宋_GB2312" w:hAnsi="仿宋_GB2312" w:cs="仿宋_GB2312" w:hint="eastAsia"/>
          <w:sz w:val="32"/>
          <w:szCs w:val="40"/>
        </w:rPr>
        <w:t>40.1</w:t>
      </w:r>
      <w:r>
        <w:rPr>
          <w:rFonts w:ascii="仿宋_GB2312" w:eastAsia="仿宋_GB2312" w:hAnsi="仿宋_GB2312" w:cs="仿宋_GB2312" w:hint="eastAsia"/>
          <w:sz w:val="32"/>
          <w:szCs w:val="40"/>
        </w:rPr>
        <w:t>分，得分率</w:t>
      </w:r>
      <w:r>
        <w:rPr>
          <w:rFonts w:ascii="仿宋_GB2312" w:eastAsia="仿宋_GB2312" w:hAnsi="仿宋_GB2312" w:cs="仿宋_GB2312" w:hint="eastAsia"/>
          <w:sz w:val="32"/>
          <w:szCs w:val="40"/>
        </w:rPr>
        <w:t>89.11</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各区（市）均制定了项目实施方案并成立工作领导小组，形成具有区域适用性的秸秆综合利用技术规程。积极</w:t>
      </w:r>
      <w:r>
        <w:rPr>
          <w:rFonts w:ascii="仿宋_GB2312" w:eastAsia="仿宋_GB2312" w:hAnsi="仿宋_GB2312" w:cs="仿宋_GB2312" w:hint="eastAsia"/>
          <w:sz w:val="32"/>
          <w:szCs w:val="40"/>
        </w:rPr>
        <w:t>总结形成典型</w:t>
      </w:r>
      <w:r>
        <w:rPr>
          <w:rFonts w:ascii="仿宋_GB2312" w:eastAsia="仿宋_GB2312" w:hAnsi="仿宋_GB2312" w:cs="仿宋_GB2312" w:hint="eastAsia"/>
          <w:sz w:val="32"/>
          <w:szCs w:val="40"/>
        </w:rPr>
        <w:t>案例</w:t>
      </w:r>
      <w:r>
        <w:rPr>
          <w:rFonts w:ascii="仿宋_GB2312" w:eastAsia="仿宋_GB2312" w:hAnsi="仿宋_GB2312" w:cs="仿宋_GB2312" w:hint="eastAsia"/>
          <w:sz w:val="32"/>
          <w:szCs w:val="40"/>
        </w:rPr>
        <w:t>和创新</w:t>
      </w:r>
      <w:r>
        <w:rPr>
          <w:rFonts w:ascii="仿宋_GB2312" w:eastAsia="仿宋_GB2312" w:hAnsi="仿宋_GB2312" w:cs="仿宋_GB2312" w:hint="eastAsia"/>
          <w:sz w:val="32"/>
          <w:szCs w:val="40"/>
        </w:rPr>
        <w:t>模式</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并通过</w:t>
      </w:r>
      <w:r>
        <w:rPr>
          <w:rFonts w:ascii="仿宋_GB2312" w:eastAsia="仿宋_GB2312" w:hAnsi="仿宋_GB2312" w:cs="仿宋_GB2312" w:hint="eastAsia"/>
          <w:sz w:val="32"/>
          <w:szCs w:val="40"/>
        </w:rPr>
        <w:t>媒体</w:t>
      </w:r>
      <w:r>
        <w:rPr>
          <w:rFonts w:ascii="仿宋_GB2312" w:eastAsia="仿宋_GB2312" w:hAnsi="仿宋_GB2312" w:cs="仿宋_GB2312" w:hint="eastAsia"/>
          <w:sz w:val="32"/>
          <w:szCs w:val="40"/>
        </w:rPr>
        <w:t>平台进行</w:t>
      </w:r>
      <w:r>
        <w:rPr>
          <w:rFonts w:ascii="仿宋_GB2312" w:eastAsia="仿宋_GB2312" w:hAnsi="仿宋_GB2312" w:cs="仿宋_GB2312" w:hint="eastAsia"/>
          <w:sz w:val="32"/>
          <w:szCs w:val="40"/>
        </w:rPr>
        <w:t>宣传</w:t>
      </w:r>
      <w:r>
        <w:rPr>
          <w:rFonts w:ascii="仿宋_GB2312" w:eastAsia="仿宋_GB2312" w:hAnsi="仿宋_GB2312" w:cs="仿宋_GB2312" w:hint="eastAsia"/>
          <w:sz w:val="32"/>
          <w:szCs w:val="40"/>
        </w:rPr>
        <w:t>。项目覆盖区域未</w:t>
      </w:r>
      <w:r>
        <w:rPr>
          <w:rFonts w:ascii="仿宋_GB2312" w:eastAsia="仿宋_GB2312" w:hAnsi="仿宋_GB2312" w:cs="仿宋_GB2312" w:hint="eastAsia"/>
          <w:sz w:val="32"/>
          <w:szCs w:val="40"/>
        </w:rPr>
        <w:t>发现</w:t>
      </w:r>
      <w:r>
        <w:rPr>
          <w:rFonts w:ascii="仿宋_GB2312" w:eastAsia="仿宋_GB2312" w:hAnsi="仿宋_GB2312" w:cs="仿宋_GB2312" w:hint="eastAsia"/>
          <w:sz w:val="32"/>
          <w:szCs w:val="40"/>
        </w:rPr>
        <w:t>病虫草害明显加重的情况，“秸秆深翻</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尿素</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腐熟剂”处理在土壤养分改善方面</w:t>
      </w:r>
      <w:r>
        <w:rPr>
          <w:rFonts w:ascii="仿宋_GB2312" w:eastAsia="仿宋_GB2312" w:hAnsi="仿宋_GB2312" w:cs="仿宋_GB2312" w:hint="eastAsia"/>
          <w:sz w:val="32"/>
          <w:szCs w:val="40"/>
        </w:rPr>
        <w:t>效果</w:t>
      </w:r>
      <w:r>
        <w:rPr>
          <w:rFonts w:ascii="仿宋_GB2312" w:eastAsia="仿宋_GB2312" w:hAnsi="仿宋_GB2312" w:cs="仿宋_GB2312" w:hint="eastAsia"/>
          <w:sz w:val="32"/>
          <w:szCs w:val="40"/>
        </w:rPr>
        <w:t>较好，禁烧范围内未发现露天焚烧秸秆现象。</w:t>
      </w:r>
      <w:r>
        <w:rPr>
          <w:rFonts w:ascii="仿宋_GB2312" w:eastAsia="仿宋_GB2312" w:hAnsi="仿宋_GB2312" w:cs="仿宋_GB2312" w:hint="eastAsia"/>
          <w:sz w:val="32"/>
          <w:szCs w:val="40"/>
        </w:rPr>
        <w:t>但</w:t>
      </w:r>
      <w:r>
        <w:rPr>
          <w:rFonts w:ascii="仿宋_GB2312" w:eastAsia="仿宋_GB2312" w:hAnsi="仿宋_GB2312" w:cs="仿宋_GB2312" w:hint="eastAsia"/>
          <w:sz w:val="32"/>
          <w:szCs w:val="40"/>
        </w:rPr>
        <w:t>三区（市）暂存点布局尚不完善，对推动全市收储运体系建设作用发挥不明显</w:t>
      </w:r>
      <w:r>
        <w:rPr>
          <w:rFonts w:ascii="仿宋_GB2312" w:eastAsia="仿宋_GB2312" w:hAnsi="仿宋_GB2312" w:cs="仿宋_GB2312" w:hint="eastAsia"/>
          <w:sz w:val="32"/>
          <w:szCs w:val="40"/>
        </w:rPr>
        <w:t>。</w:t>
      </w:r>
    </w:p>
    <w:p w:rsidR="00267EF2" w:rsidRDefault="00A312EF">
      <w:pPr>
        <w:pStyle w:val="1"/>
        <w:keepNext w:val="0"/>
        <w:keepLines w:val="0"/>
        <w:widowControl w:val="0"/>
        <w:spacing w:before="0" w:after="0" w:line="560" w:lineRule="exact"/>
        <w:ind w:firstLine="640"/>
        <w:jc w:val="both"/>
        <w:rPr>
          <w:bCs w:val="0"/>
          <w:color w:val="auto"/>
          <w:kern w:val="2"/>
          <w:sz w:val="32"/>
          <w:szCs w:val="32"/>
          <w:lang w:val="en-US"/>
        </w:rPr>
      </w:pPr>
      <w:bookmarkStart w:id="13" w:name="_Toc25841"/>
      <w:r>
        <w:rPr>
          <w:rFonts w:ascii="黑体" w:hAnsi="黑体" w:cs="黑体" w:hint="eastAsia"/>
          <w:sz w:val="32"/>
          <w:szCs w:val="40"/>
        </w:rPr>
        <w:t>四、项目实施成效</w:t>
      </w:r>
      <w:bookmarkEnd w:id="13"/>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年青岛市农作物秸秆综合利用项目在西海岸新区、即墨区、莱西市</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个区（市）实施。通过秸秆科学还田、离田堆肥、饲料化利用</w:t>
      </w:r>
      <w:r>
        <w:rPr>
          <w:rFonts w:ascii="仿宋_GB2312" w:eastAsia="仿宋_GB2312" w:hAnsi="仿宋_GB2312" w:cs="仿宋_GB2312" w:hint="eastAsia"/>
          <w:sz w:val="32"/>
          <w:szCs w:val="40"/>
        </w:rPr>
        <w:t>等方式，已完成秸秆直接还田</w:t>
      </w:r>
      <w:r>
        <w:rPr>
          <w:rFonts w:ascii="仿宋_GB2312" w:eastAsia="仿宋_GB2312" w:hAnsi="仿宋_GB2312" w:cs="仿宋_GB2312" w:hint="eastAsia"/>
          <w:sz w:val="32"/>
          <w:szCs w:val="40"/>
        </w:rPr>
        <w:t>4.60</w:t>
      </w:r>
      <w:r>
        <w:rPr>
          <w:rFonts w:ascii="仿宋_GB2312" w:eastAsia="仿宋_GB2312" w:hAnsi="仿宋_GB2312" w:cs="仿宋_GB2312" w:hint="eastAsia"/>
          <w:sz w:val="32"/>
          <w:szCs w:val="40"/>
        </w:rPr>
        <w:t>万亩，离田堆肥使用秸秆</w:t>
      </w:r>
      <w:r>
        <w:rPr>
          <w:rFonts w:ascii="仿宋_GB2312" w:eastAsia="仿宋_GB2312" w:hAnsi="仿宋_GB2312" w:cs="仿宋_GB2312" w:hint="eastAsia"/>
          <w:sz w:val="32"/>
          <w:szCs w:val="40"/>
        </w:rPr>
        <w:t>3.93</w:t>
      </w:r>
      <w:r>
        <w:rPr>
          <w:rFonts w:ascii="仿宋_GB2312" w:eastAsia="仿宋_GB2312" w:hAnsi="仿宋_GB2312" w:cs="仿宋_GB2312" w:hint="eastAsia"/>
          <w:sz w:val="32"/>
          <w:szCs w:val="40"/>
        </w:rPr>
        <w:t>万吨、堆肥</w:t>
      </w:r>
      <w:r>
        <w:rPr>
          <w:rFonts w:ascii="仿宋_GB2312" w:eastAsia="仿宋_GB2312" w:hAnsi="仿宋_GB2312" w:cs="仿宋_GB2312" w:hint="eastAsia"/>
          <w:sz w:val="32"/>
          <w:szCs w:val="40"/>
        </w:rPr>
        <w:t>3.91</w:t>
      </w:r>
      <w:r>
        <w:rPr>
          <w:rFonts w:ascii="仿宋_GB2312" w:eastAsia="仿宋_GB2312" w:hAnsi="仿宋_GB2312" w:cs="仿宋_GB2312" w:hint="eastAsia"/>
          <w:sz w:val="32"/>
          <w:szCs w:val="40"/>
        </w:rPr>
        <w:t>万方，饲料化利用秸秆</w:t>
      </w:r>
      <w:r>
        <w:rPr>
          <w:rFonts w:ascii="仿宋_GB2312" w:eastAsia="仿宋_GB2312" w:hAnsi="仿宋_GB2312" w:cs="仿宋_GB2312" w:hint="eastAsia"/>
          <w:sz w:val="32"/>
          <w:szCs w:val="40"/>
        </w:rPr>
        <w:t>1.04</w:t>
      </w:r>
      <w:r>
        <w:rPr>
          <w:rFonts w:ascii="仿宋_GB2312" w:eastAsia="仿宋_GB2312" w:hAnsi="仿宋_GB2312" w:cs="仿宋_GB2312" w:hint="eastAsia"/>
          <w:sz w:val="32"/>
          <w:szCs w:val="40"/>
        </w:rPr>
        <w:t>万吨、新建黄贮窖池</w:t>
      </w:r>
      <w:r>
        <w:rPr>
          <w:rFonts w:ascii="仿宋_GB2312" w:eastAsia="仿宋_GB2312" w:hAnsi="仿宋_GB2312" w:cs="仿宋_GB2312" w:hint="eastAsia"/>
          <w:sz w:val="32"/>
          <w:szCs w:val="40"/>
        </w:rPr>
        <w:t>0.33</w:t>
      </w:r>
      <w:r>
        <w:rPr>
          <w:rFonts w:ascii="仿宋_GB2312" w:eastAsia="仿宋_GB2312" w:hAnsi="仿宋_GB2312" w:cs="仿宋_GB2312" w:hint="eastAsia"/>
          <w:sz w:val="32"/>
          <w:szCs w:val="40"/>
        </w:rPr>
        <w:t>万立方米，三区（市）秸秆综合利用率均达到</w:t>
      </w:r>
      <w:r>
        <w:rPr>
          <w:rFonts w:ascii="仿宋_GB2312" w:eastAsia="仿宋_GB2312" w:hAnsi="仿宋_GB2312" w:cs="仿宋_GB2312" w:hint="eastAsia"/>
          <w:sz w:val="32"/>
          <w:szCs w:val="40"/>
        </w:rPr>
        <w:t>96%</w:t>
      </w:r>
      <w:r>
        <w:rPr>
          <w:rFonts w:ascii="仿宋_GB2312" w:eastAsia="仿宋_GB2312" w:hAnsi="仿宋_GB2312" w:cs="仿宋_GB2312" w:hint="eastAsia"/>
          <w:sz w:val="32"/>
          <w:szCs w:val="40"/>
        </w:rPr>
        <w:t>以上。项目带动了秸秆收储运体系不断完善，总结形成典型模式和运行机制，并通过</w:t>
      </w:r>
      <w:r>
        <w:rPr>
          <w:rFonts w:ascii="仿宋_GB2312" w:eastAsia="仿宋_GB2312" w:hAnsi="仿宋_GB2312" w:cs="仿宋_GB2312" w:hint="eastAsia"/>
          <w:sz w:val="32"/>
          <w:szCs w:val="40"/>
        </w:rPr>
        <w:t>媒体</w:t>
      </w:r>
      <w:r>
        <w:rPr>
          <w:rFonts w:ascii="仿宋_GB2312" w:eastAsia="仿宋_GB2312" w:hAnsi="仿宋_GB2312" w:cs="仿宋_GB2312" w:hint="eastAsia"/>
          <w:sz w:val="32"/>
          <w:szCs w:val="40"/>
        </w:rPr>
        <w:t>平台进行</w:t>
      </w:r>
      <w:r>
        <w:rPr>
          <w:rFonts w:ascii="仿宋_GB2312" w:eastAsia="仿宋_GB2312" w:hAnsi="仿宋_GB2312" w:cs="仿宋_GB2312" w:hint="eastAsia"/>
          <w:sz w:val="32"/>
          <w:szCs w:val="40"/>
        </w:rPr>
        <w:t>宣传</w:t>
      </w:r>
      <w:r>
        <w:rPr>
          <w:rFonts w:ascii="仿宋_GB2312" w:eastAsia="仿宋_GB2312" w:hAnsi="仿宋_GB2312" w:cs="仿宋_GB2312" w:hint="eastAsia"/>
          <w:sz w:val="32"/>
          <w:szCs w:val="40"/>
        </w:rPr>
        <w:t>。</w:t>
      </w:r>
    </w:p>
    <w:p w:rsidR="00267EF2" w:rsidRDefault="00A312EF">
      <w:pPr>
        <w:pStyle w:val="1"/>
        <w:keepNext w:val="0"/>
        <w:keepLines w:val="0"/>
        <w:widowControl w:val="0"/>
        <w:spacing w:before="0" w:after="0" w:line="560" w:lineRule="exact"/>
        <w:ind w:firstLine="640"/>
        <w:jc w:val="both"/>
        <w:rPr>
          <w:bCs w:val="0"/>
          <w:color w:val="auto"/>
          <w:kern w:val="2"/>
          <w:sz w:val="32"/>
          <w:szCs w:val="32"/>
          <w:lang w:val="en-US"/>
        </w:rPr>
      </w:pPr>
      <w:bookmarkStart w:id="14" w:name="_Toc9787"/>
      <w:r>
        <w:rPr>
          <w:rFonts w:hint="eastAsia"/>
          <w:bCs w:val="0"/>
          <w:color w:val="auto"/>
          <w:kern w:val="2"/>
          <w:sz w:val="32"/>
          <w:szCs w:val="32"/>
          <w:lang w:val="en-US"/>
        </w:rPr>
        <w:t>五</w:t>
      </w:r>
      <w:r>
        <w:rPr>
          <w:rFonts w:hint="eastAsia"/>
          <w:bCs w:val="0"/>
          <w:color w:val="auto"/>
          <w:kern w:val="2"/>
          <w:sz w:val="32"/>
          <w:szCs w:val="32"/>
          <w:lang w:val="en-US"/>
        </w:rPr>
        <w:t>、发现的问题及原因分析</w:t>
      </w:r>
      <w:bookmarkEnd w:id="14"/>
    </w:p>
    <w:p w:rsidR="00267EF2" w:rsidRDefault="00A312EF">
      <w:pPr>
        <w:spacing w:line="560" w:lineRule="exact"/>
        <w:ind w:firstLineChars="200" w:firstLine="640"/>
        <w:rPr>
          <w:rFonts w:ascii="Times New Roman" w:eastAsia="楷体_GB2312" w:hAnsi="Times New Roman" w:cs="Times New Roman"/>
          <w:sz w:val="32"/>
          <w:szCs w:val="40"/>
        </w:rPr>
      </w:pPr>
      <w:r>
        <w:rPr>
          <w:rFonts w:ascii="Times New Roman" w:eastAsia="楷体_GB2312" w:hAnsi="Times New Roman" w:cs="Times New Roman" w:hint="eastAsia"/>
          <w:sz w:val="32"/>
          <w:szCs w:val="40"/>
        </w:rPr>
        <w:t>（</w:t>
      </w:r>
      <w:r>
        <w:rPr>
          <w:rFonts w:ascii="Times New Roman" w:eastAsia="楷体_GB2312" w:hAnsi="Times New Roman" w:cs="Times New Roman" w:hint="eastAsia"/>
          <w:sz w:val="32"/>
          <w:szCs w:val="40"/>
        </w:rPr>
        <w:t>一</w:t>
      </w:r>
      <w:r>
        <w:rPr>
          <w:rFonts w:ascii="Times New Roman" w:eastAsia="楷体_GB2312" w:hAnsi="Times New Roman" w:cs="Times New Roman" w:hint="eastAsia"/>
          <w:sz w:val="32"/>
          <w:szCs w:val="40"/>
        </w:rPr>
        <w:t>）</w:t>
      </w:r>
      <w:r>
        <w:rPr>
          <w:rFonts w:ascii="Times New Roman" w:eastAsia="楷体_GB2312" w:hAnsi="Times New Roman" w:cs="Times New Roman" w:hint="eastAsia"/>
          <w:sz w:val="32"/>
          <w:szCs w:val="40"/>
        </w:rPr>
        <w:t>项目未按合同约定支付款项，预算执行率低</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项目预算资金</w:t>
      </w:r>
      <w:r>
        <w:rPr>
          <w:rFonts w:ascii="仿宋_GB2312" w:eastAsia="仿宋_GB2312" w:hAnsi="仿宋_GB2312" w:cs="仿宋_GB2312" w:hint="eastAsia"/>
          <w:sz w:val="32"/>
          <w:szCs w:val="40"/>
        </w:rPr>
        <w:t>1442</w:t>
      </w:r>
      <w:r>
        <w:rPr>
          <w:rFonts w:ascii="仿宋_GB2312" w:eastAsia="仿宋_GB2312" w:hAnsi="仿宋_GB2312" w:cs="仿宋_GB2312" w:hint="eastAsia"/>
          <w:sz w:val="32"/>
          <w:szCs w:val="40"/>
        </w:rPr>
        <w:t>万元，截至</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31</w:t>
      </w:r>
      <w:r>
        <w:rPr>
          <w:rFonts w:ascii="仿宋_GB2312" w:eastAsia="仿宋_GB2312" w:hAnsi="仿宋_GB2312" w:cs="仿宋_GB2312" w:hint="eastAsia"/>
          <w:sz w:val="32"/>
          <w:szCs w:val="40"/>
        </w:rPr>
        <w:t>日执行</w:t>
      </w:r>
      <w:r>
        <w:rPr>
          <w:rFonts w:ascii="仿宋_GB2312" w:eastAsia="仿宋_GB2312" w:hAnsi="仿宋_GB2312" w:cs="仿宋_GB2312" w:hint="eastAsia"/>
          <w:sz w:val="32"/>
          <w:szCs w:val="40"/>
        </w:rPr>
        <w:lastRenderedPageBreak/>
        <w:t>数为</w:t>
      </w:r>
      <w:r>
        <w:rPr>
          <w:rFonts w:ascii="仿宋_GB2312" w:eastAsia="仿宋_GB2312" w:hAnsi="仿宋_GB2312" w:cs="仿宋_GB2312" w:hint="eastAsia"/>
          <w:sz w:val="32"/>
          <w:szCs w:val="40"/>
        </w:rPr>
        <w:t>0</w:t>
      </w:r>
      <w:r>
        <w:rPr>
          <w:rFonts w:ascii="仿宋_GB2312" w:eastAsia="仿宋_GB2312" w:hAnsi="仿宋_GB2312" w:cs="仿宋_GB2312" w:hint="eastAsia"/>
          <w:sz w:val="32"/>
          <w:szCs w:val="40"/>
        </w:rPr>
        <w:t>元，截至评价日（</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6</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日）拨付</w:t>
      </w:r>
      <w:r>
        <w:rPr>
          <w:rFonts w:ascii="仿宋_GB2312" w:eastAsia="仿宋_GB2312" w:hAnsi="仿宋_GB2312" w:cs="仿宋_GB2312" w:hint="eastAsia"/>
          <w:sz w:val="32"/>
          <w:szCs w:val="40"/>
        </w:rPr>
        <w:t>71.13</w:t>
      </w:r>
      <w:r>
        <w:rPr>
          <w:rFonts w:ascii="仿宋_GB2312" w:eastAsia="仿宋_GB2312" w:hAnsi="仿宋_GB2312" w:cs="仿宋_GB2312" w:hint="eastAsia"/>
          <w:sz w:val="32"/>
          <w:szCs w:val="40"/>
        </w:rPr>
        <w:t>万元，执行率</w:t>
      </w:r>
      <w:r>
        <w:rPr>
          <w:rFonts w:ascii="仿宋_GB2312" w:eastAsia="仿宋_GB2312" w:hAnsi="仿宋_GB2312" w:cs="仿宋_GB2312" w:hint="eastAsia"/>
          <w:sz w:val="32"/>
          <w:szCs w:val="40"/>
        </w:rPr>
        <w:t>4.93%</w:t>
      </w:r>
      <w:r>
        <w:rPr>
          <w:rFonts w:ascii="仿宋_GB2312" w:eastAsia="仿宋_GB2312" w:hAnsi="仿宋_GB2312" w:cs="仿宋_GB2312" w:hint="eastAsia"/>
          <w:sz w:val="32"/>
          <w:szCs w:val="40"/>
        </w:rPr>
        <w:t>。</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一是</w:t>
      </w:r>
      <w:r>
        <w:rPr>
          <w:rFonts w:ascii="仿宋_GB2312" w:eastAsia="仿宋_GB2312" w:hAnsi="仿宋_GB2312" w:cs="仿宋_GB2312" w:hint="eastAsia"/>
          <w:sz w:val="32"/>
          <w:szCs w:val="40"/>
        </w:rPr>
        <w:t>西海岸新区还田合同金额</w:t>
      </w:r>
      <w:r>
        <w:rPr>
          <w:rFonts w:ascii="仿宋_GB2312" w:eastAsia="仿宋_GB2312" w:hAnsi="仿宋_GB2312" w:cs="仿宋_GB2312" w:hint="eastAsia"/>
          <w:sz w:val="32"/>
          <w:szCs w:val="40"/>
        </w:rPr>
        <w:t>89.6</w:t>
      </w:r>
      <w:r>
        <w:rPr>
          <w:rFonts w:ascii="仿宋_GB2312" w:eastAsia="仿宋_GB2312" w:hAnsi="仿宋_GB2312" w:cs="仿宋_GB2312" w:hint="eastAsia"/>
          <w:sz w:val="32"/>
          <w:szCs w:val="40"/>
        </w:rPr>
        <w:t>万元，堆肥合同金额</w:t>
      </w:r>
      <w:r>
        <w:rPr>
          <w:rFonts w:ascii="仿宋_GB2312" w:eastAsia="仿宋_GB2312" w:hAnsi="仿宋_GB2312" w:cs="仿宋_GB2312" w:hint="eastAsia"/>
          <w:sz w:val="32"/>
          <w:szCs w:val="40"/>
        </w:rPr>
        <w:t>358.61</w:t>
      </w:r>
      <w:r>
        <w:rPr>
          <w:rFonts w:ascii="仿宋_GB2312" w:eastAsia="仿宋_GB2312" w:hAnsi="仿宋_GB2312" w:cs="仿宋_GB2312" w:hint="eastAsia"/>
          <w:sz w:val="32"/>
          <w:szCs w:val="40"/>
        </w:rPr>
        <w:t>万元，合同均约定“合同签订后支付</w:t>
      </w:r>
      <w:r>
        <w:rPr>
          <w:rFonts w:ascii="仿宋_GB2312" w:eastAsia="仿宋_GB2312" w:hAnsi="仿宋_GB2312" w:cs="仿宋_GB2312" w:hint="eastAsia"/>
          <w:sz w:val="32"/>
          <w:szCs w:val="40"/>
        </w:rPr>
        <w:t>30%</w:t>
      </w:r>
      <w:r>
        <w:rPr>
          <w:rFonts w:ascii="仿宋_GB2312" w:eastAsia="仿宋_GB2312" w:hAnsi="仿宋_GB2312" w:cs="仿宋_GB2312" w:hint="eastAsia"/>
          <w:sz w:val="32"/>
          <w:szCs w:val="40"/>
        </w:rPr>
        <w:t>预付款，项目完成前最高支付至</w:t>
      </w:r>
      <w:r>
        <w:rPr>
          <w:rFonts w:ascii="仿宋_GB2312" w:eastAsia="仿宋_GB2312" w:hAnsi="仿宋_GB2312" w:cs="仿宋_GB2312" w:hint="eastAsia"/>
          <w:sz w:val="32"/>
          <w:szCs w:val="40"/>
        </w:rPr>
        <w:t>70%</w:t>
      </w:r>
      <w:r>
        <w:rPr>
          <w:rFonts w:ascii="仿宋_GB2312" w:eastAsia="仿宋_GB2312" w:hAnsi="仿宋_GB2312" w:cs="仿宋_GB2312" w:hint="eastAsia"/>
          <w:sz w:val="32"/>
          <w:szCs w:val="40"/>
        </w:rPr>
        <w:t>，验收合格付清全款”，但合同签订、项目完成、验收合格后均未按合同约定付款。截至评价日，仅拨付</w:t>
      </w:r>
      <w:r>
        <w:rPr>
          <w:rFonts w:ascii="仿宋_GB2312" w:eastAsia="仿宋_GB2312" w:hAnsi="仿宋_GB2312" w:cs="仿宋_GB2312" w:hint="eastAsia"/>
          <w:sz w:val="32"/>
          <w:szCs w:val="40"/>
        </w:rPr>
        <w:t>54.63</w:t>
      </w:r>
      <w:r>
        <w:rPr>
          <w:rFonts w:ascii="仿宋_GB2312" w:eastAsia="仿宋_GB2312" w:hAnsi="仿宋_GB2312" w:cs="仿宋_GB2312" w:hint="eastAsia"/>
          <w:sz w:val="32"/>
          <w:szCs w:val="40"/>
        </w:rPr>
        <w:t>万元，资金执行率</w:t>
      </w:r>
      <w:r>
        <w:rPr>
          <w:rFonts w:ascii="仿宋_GB2312" w:eastAsia="仿宋_GB2312" w:hAnsi="仿宋_GB2312" w:cs="仿宋_GB2312" w:hint="eastAsia"/>
          <w:sz w:val="32"/>
          <w:szCs w:val="40"/>
        </w:rPr>
        <w:t>11.38%</w:t>
      </w:r>
      <w:r>
        <w:rPr>
          <w:rFonts w:ascii="仿宋_GB2312" w:eastAsia="仿宋_GB2312" w:hAnsi="仿宋_GB2312" w:cs="仿宋_GB2312" w:hint="eastAsia"/>
          <w:sz w:val="32"/>
          <w:szCs w:val="40"/>
        </w:rPr>
        <w:t>。</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二是</w:t>
      </w:r>
      <w:r>
        <w:rPr>
          <w:rFonts w:ascii="仿宋_GB2312" w:eastAsia="仿宋_GB2312" w:hAnsi="仿宋_GB2312" w:cs="仿宋_GB2312" w:hint="eastAsia"/>
          <w:sz w:val="32"/>
          <w:szCs w:val="40"/>
        </w:rPr>
        <w:t>即墨区还田合同金额</w:t>
      </w:r>
      <w:r>
        <w:rPr>
          <w:rFonts w:ascii="仿宋_GB2312" w:eastAsia="仿宋_GB2312" w:hAnsi="仿宋_GB2312" w:cs="仿宋_GB2312" w:hint="eastAsia"/>
          <w:sz w:val="32"/>
          <w:szCs w:val="40"/>
        </w:rPr>
        <w:t>91</w:t>
      </w:r>
      <w:r>
        <w:rPr>
          <w:rFonts w:ascii="仿宋_GB2312" w:eastAsia="仿宋_GB2312" w:hAnsi="仿宋_GB2312" w:cs="仿宋_GB2312" w:hint="eastAsia"/>
          <w:sz w:val="32"/>
          <w:szCs w:val="40"/>
        </w:rPr>
        <w:t>万元，约定验收合格后一次性付清；堆肥合同金额</w:t>
      </w:r>
      <w:r>
        <w:rPr>
          <w:rFonts w:ascii="仿宋_GB2312" w:eastAsia="仿宋_GB2312" w:hAnsi="仿宋_GB2312" w:cs="仿宋_GB2312" w:hint="eastAsia"/>
          <w:sz w:val="32"/>
          <w:szCs w:val="40"/>
        </w:rPr>
        <w:t>345.4</w:t>
      </w:r>
      <w:r>
        <w:rPr>
          <w:rFonts w:ascii="仿宋_GB2312" w:eastAsia="仿宋_GB2312" w:hAnsi="仿宋_GB2312" w:cs="仿宋_GB2312" w:hint="eastAsia"/>
          <w:sz w:val="32"/>
          <w:szCs w:val="40"/>
        </w:rPr>
        <w:t>万元，约定“支付合同总金额</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作为预付款”，验收合格后付清全款，但合同签订、验收合格后均未按合同约定付款。预算安排</w:t>
      </w:r>
      <w:r>
        <w:rPr>
          <w:rFonts w:ascii="仿宋_GB2312" w:eastAsia="仿宋_GB2312" w:hAnsi="仿宋_GB2312" w:cs="仿宋_GB2312" w:hint="eastAsia"/>
          <w:sz w:val="32"/>
          <w:szCs w:val="40"/>
        </w:rPr>
        <w:t>480</w:t>
      </w:r>
      <w:r>
        <w:rPr>
          <w:rFonts w:ascii="仿宋_GB2312" w:eastAsia="仿宋_GB2312" w:hAnsi="仿宋_GB2312" w:cs="仿宋_GB2312" w:hint="eastAsia"/>
          <w:sz w:val="32"/>
          <w:szCs w:val="40"/>
        </w:rPr>
        <w:t>万元，截至评价日，已申请</w:t>
      </w:r>
      <w:r>
        <w:rPr>
          <w:rFonts w:ascii="仿宋_GB2312" w:eastAsia="仿宋_GB2312" w:hAnsi="仿宋_GB2312" w:cs="仿宋_GB2312" w:hint="eastAsia"/>
          <w:sz w:val="32"/>
          <w:szCs w:val="40"/>
        </w:rPr>
        <w:t>471.15</w:t>
      </w:r>
      <w:r>
        <w:rPr>
          <w:rFonts w:ascii="仿宋_GB2312" w:eastAsia="仿宋_GB2312" w:hAnsi="仿宋_GB2312" w:cs="仿宋_GB2312" w:hint="eastAsia"/>
          <w:sz w:val="32"/>
          <w:szCs w:val="40"/>
        </w:rPr>
        <w:t>万元，仅</w:t>
      </w:r>
      <w:r>
        <w:rPr>
          <w:rFonts w:ascii="仿宋_GB2312" w:eastAsia="仿宋_GB2312" w:hAnsi="仿宋_GB2312" w:cs="仿宋_GB2312" w:hint="eastAsia"/>
          <w:sz w:val="32"/>
          <w:szCs w:val="40"/>
        </w:rPr>
        <w:t>拨付</w:t>
      </w:r>
      <w:r>
        <w:rPr>
          <w:rFonts w:ascii="仿宋_GB2312" w:eastAsia="仿宋_GB2312" w:hAnsi="仿宋_GB2312" w:cs="仿宋_GB2312" w:hint="eastAsia"/>
          <w:sz w:val="32"/>
          <w:szCs w:val="40"/>
        </w:rPr>
        <w:t>16.5</w:t>
      </w:r>
      <w:r>
        <w:rPr>
          <w:rFonts w:ascii="仿宋_GB2312" w:eastAsia="仿宋_GB2312" w:hAnsi="仿宋_GB2312" w:cs="仿宋_GB2312" w:hint="eastAsia"/>
          <w:sz w:val="32"/>
          <w:szCs w:val="40"/>
        </w:rPr>
        <w:t>万元，资金执行率</w:t>
      </w:r>
      <w:r>
        <w:rPr>
          <w:rFonts w:ascii="仿宋_GB2312" w:eastAsia="仿宋_GB2312" w:hAnsi="仿宋_GB2312" w:cs="仿宋_GB2312" w:hint="eastAsia"/>
          <w:sz w:val="32"/>
          <w:szCs w:val="40"/>
        </w:rPr>
        <w:t>3.44%</w:t>
      </w:r>
      <w:r>
        <w:rPr>
          <w:rFonts w:ascii="仿宋_GB2312" w:eastAsia="仿宋_GB2312" w:hAnsi="仿宋_GB2312" w:cs="仿宋_GB2312" w:hint="eastAsia"/>
          <w:sz w:val="32"/>
          <w:szCs w:val="40"/>
        </w:rPr>
        <w:t>。</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三是</w:t>
      </w:r>
      <w:r>
        <w:rPr>
          <w:rFonts w:ascii="仿宋_GB2312" w:eastAsia="仿宋_GB2312" w:hAnsi="仿宋_GB2312" w:cs="仿宋_GB2312" w:hint="eastAsia"/>
          <w:sz w:val="32"/>
          <w:szCs w:val="40"/>
        </w:rPr>
        <w:t>莱西市还田合同约定“乙方完成全部服务内容，并经甲方验收合格且按照甲方的要求提供相关资料后，甲方一次性无息支付合同价款，具体支付时间以财政拨款为准”，堆肥合同约定“项目完成并验收合格、资金到位后，向乙方支付全部货款”。还田和堆肥项目已于</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日完成验收，饲料化项目已于</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4</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日验收，截至评价日尚未拨付资金。</w:t>
      </w:r>
    </w:p>
    <w:p w:rsidR="00267EF2" w:rsidRDefault="00A312EF">
      <w:pPr>
        <w:spacing w:line="560" w:lineRule="exact"/>
        <w:ind w:firstLineChars="200" w:firstLine="640"/>
        <w:rPr>
          <w:rFonts w:ascii="Times New Roman" w:eastAsia="楷体_GB2312" w:hAnsi="Times New Roman" w:cs="Times New Roman"/>
          <w:sz w:val="32"/>
          <w:szCs w:val="40"/>
        </w:rPr>
      </w:pPr>
      <w:r>
        <w:rPr>
          <w:rFonts w:ascii="Times New Roman" w:eastAsia="楷体_GB2312" w:hAnsi="Times New Roman" w:cs="Times New Roman" w:hint="eastAsia"/>
          <w:sz w:val="32"/>
          <w:szCs w:val="40"/>
        </w:rPr>
        <w:t>（</w:t>
      </w:r>
      <w:r>
        <w:rPr>
          <w:rFonts w:ascii="Times New Roman" w:eastAsia="楷体_GB2312" w:hAnsi="Times New Roman" w:cs="Times New Roman" w:hint="eastAsia"/>
          <w:sz w:val="32"/>
          <w:szCs w:val="40"/>
        </w:rPr>
        <w:t>二</w:t>
      </w:r>
      <w:r>
        <w:rPr>
          <w:rFonts w:ascii="Times New Roman" w:eastAsia="楷体_GB2312" w:hAnsi="Times New Roman" w:cs="Times New Roman" w:hint="eastAsia"/>
          <w:sz w:val="32"/>
          <w:szCs w:val="40"/>
        </w:rPr>
        <w:t>）</w:t>
      </w:r>
      <w:r>
        <w:rPr>
          <w:rFonts w:ascii="Times New Roman" w:eastAsia="楷体_GB2312" w:hAnsi="Times New Roman" w:cs="Times New Roman" w:hint="eastAsia"/>
          <w:sz w:val="32"/>
          <w:szCs w:val="40"/>
        </w:rPr>
        <w:t>项目部分任务未按合同、方案约定时间完成</w:t>
      </w:r>
    </w:p>
    <w:p w:rsidR="00267EF2" w:rsidRDefault="00A312EF">
      <w:pPr>
        <w:spacing w:line="560" w:lineRule="exact"/>
        <w:ind w:firstLineChars="200" w:firstLine="640"/>
        <w:rPr>
          <w:rFonts w:ascii="仿宋_GB2312" w:eastAsia="仿宋_GB2312" w:hAnsi="仿宋_GB2312" w:cs="仿宋_GB2312"/>
          <w:b/>
          <w:bCs/>
          <w:sz w:val="32"/>
          <w:szCs w:val="40"/>
        </w:rPr>
      </w:pPr>
      <w:r>
        <w:rPr>
          <w:rFonts w:ascii="仿宋_GB2312" w:eastAsia="仿宋_GB2312" w:hAnsi="仿宋_GB2312" w:cs="仿宋_GB2312" w:hint="eastAsia"/>
          <w:sz w:val="32"/>
          <w:szCs w:val="40"/>
        </w:rPr>
        <w:t>受申报主体、极端天气等因素影响，农作物秸秆综合利用部分任务未完成目标。莱西市方案设定饲料化利</w:t>
      </w:r>
      <w:r>
        <w:rPr>
          <w:rFonts w:ascii="仿宋_GB2312" w:eastAsia="仿宋_GB2312" w:hAnsi="仿宋_GB2312" w:cs="仿宋_GB2312" w:hint="eastAsia"/>
          <w:sz w:val="32"/>
          <w:szCs w:val="40"/>
        </w:rPr>
        <w:t>用目标</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万吨，经项目变更后，实际完成</w:t>
      </w:r>
      <w:r>
        <w:rPr>
          <w:rFonts w:ascii="仿宋_GB2312" w:eastAsia="仿宋_GB2312" w:hAnsi="仿宋_GB2312" w:cs="仿宋_GB2312" w:hint="eastAsia"/>
          <w:sz w:val="32"/>
          <w:szCs w:val="40"/>
        </w:rPr>
        <w:t>6673.96</w:t>
      </w:r>
      <w:r>
        <w:rPr>
          <w:rFonts w:ascii="仿宋_GB2312" w:eastAsia="仿宋_GB2312" w:hAnsi="仿宋_GB2312" w:cs="仿宋_GB2312" w:hint="eastAsia"/>
          <w:sz w:val="32"/>
          <w:szCs w:val="40"/>
        </w:rPr>
        <w:t>吨；新建黄贮窖池</w:t>
      </w:r>
      <w:r>
        <w:rPr>
          <w:rFonts w:ascii="仿宋_GB2312" w:eastAsia="仿宋_GB2312" w:hAnsi="仿宋_GB2312" w:cs="仿宋_GB2312" w:hint="eastAsia"/>
          <w:sz w:val="32"/>
          <w:szCs w:val="40"/>
        </w:rPr>
        <w:lastRenderedPageBreak/>
        <w:t>目标</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万</w:t>
      </w:r>
      <w:r>
        <w:rPr>
          <w:rFonts w:ascii="仿宋_GB2312" w:eastAsia="仿宋_GB2312" w:hAnsi="仿宋_GB2312" w:cs="仿宋_GB2312" w:hint="eastAsia"/>
          <w:sz w:val="32"/>
          <w:szCs w:val="40"/>
        </w:rPr>
        <w:t>m</w:t>
      </w:r>
      <w:r>
        <w:rPr>
          <w:rFonts w:ascii="仿宋_GB2312" w:eastAsia="仿宋_GB2312" w:hAnsi="仿宋_GB2312" w:cs="仿宋_GB2312" w:hint="eastAsia"/>
          <w:sz w:val="32"/>
          <w:szCs w:val="40"/>
        </w:rPr>
        <w:t>³，经项目变更后，实际完成</w:t>
      </w:r>
      <w:r>
        <w:rPr>
          <w:rFonts w:ascii="仿宋_GB2312" w:eastAsia="仿宋_GB2312" w:hAnsi="仿宋_GB2312" w:cs="仿宋_GB2312" w:hint="eastAsia"/>
          <w:sz w:val="32"/>
          <w:szCs w:val="40"/>
        </w:rPr>
        <w:t>3337m</w:t>
      </w:r>
      <w:r>
        <w:rPr>
          <w:rFonts w:ascii="仿宋_GB2312" w:eastAsia="仿宋_GB2312" w:hAnsi="仿宋_GB2312" w:cs="仿宋_GB2312" w:hint="eastAsia"/>
          <w:sz w:val="32"/>
          <w:szCs w:val="40"/>
        </w:rPr>
        <w:t>³；秸秆基料利用目标</w:t>
      </w:r>
      <w:r>
        <w:rPr>
          <w:rFonts w:ascii="仿宋_GB2312" w:eastAsia="仿宋_GB2312" w:hAnsi="仿宋_GB2312" w:cs="仿宋_GB2312" w:hint="eastAsia"/>
          <w:sz w:val="32"/>
          <w:szCs w:val="40"/>
        </w:rPr>
        <w:t>0.16</w:t>
      </w:r>
      <w:r>
        <w:rPr>
          <w:rFonts w:ascii="仿宋_GB2312" w:eastAsia="仿宋_GB2312" w:hAnsi="仿宋_GB2312" w:cs="仿宋_GB2312" w:hint="eastAsia"/>
          <w:sz w:val="32"/>
          <w:szCs w:val="40"/>
        </w:rPr>
        <w:t>万吨、秸秆能源利用目标</w:t>
      </w:r>
      <w:r>
        <w:rPr>
          <w:rFonts w:ascii="仿宋_GB2312" w:eastAsia="仿宋_GB2312" w:hAnsi="仿宋_GB2312" w:cs="仿宋_GB2312" w:hint="eastAsia"/>
          <w:sz w:val="32"/>
          <w:szCs w:val="40"/>
        </w:rPr>
        <w:t>0.7</w:t>
      </w:r>
      <w:r>
        <w:rPr>
          <w:rFonts w:ascii="仿宋_GB2312" w:eastAsia="仿宋_GB2312" w:hAnsi="仿宋_GB2312" w:cs="仿宋_GB2312" w:hint="eastAsia"/>
          <w:sz w:val="32"/>
          <w:szCs w:val="40"/>
        </w:rPr>
        <w:t>万吨，经项目变更后，取消开展相关工作。即墨区秸秆饲料利用目标</w:t>
      </w:r>
      <w:r>
        <w:rPr>
          <w:rFonts w:ascii="仿宋_GB2312" w:eastAsia="仿宋_GB2312" w:hAnsi="仿宋_GB2312" w:cs="仿宋_GB2312" w:hint="eastAsia"/>
          <w:sz w:val="32"/>
          <w:szCs w:val="40"/>
        </w:rPr>
        <w:t>5000</w:t>
      </w:r>
      <w:r>
        <w:rPr>
          <w:rFonts w:ascii="仿宋_GB2312" w:eastAsia="仿宋_GB2312" w:hAnsi="仿宋_GB2312" w:cs="仿宋_GB2312" w:hint="eastAsia"/>
          <w:sz w:val="32"/>
          <w:szCs w:val="40"/>
        </w:rPr>
        <w:t>吨，经项目变更后，实际完成</w:t>
      </w:r>
      <w:r>
        <w:rPr>
          <w:rFonts w:ascii="仿宋_GB2312" w:eastAsia="仿宋_GB2312" w:hAnsi="仿宋_GB2312" w:cs="仿宋_GB2312" w:hint="eastAsia"/>
          <w:sz w:val="32"/>
          <w:szCs w:val="40"/>
        </w:rPr>
        <w:t>3762.75</w:t>
      </w:r>
      <w:r>
        <w:rPr>
          <w:rFonts w:ascii="仿宋_GB2312" w:eastAsia="仿宋_GB2312" w:hAnsi="仿宋_GB2312" w:cs="仿宋_GB2312" w:hint="eastAsia"/>
          <w:sz w:val="32"/>
          <w:szCs w:val="40"/>
        </w:rPr>
        <w:t>吨。</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因秋季持续降雨影响收储，莱西市在完成饲料化项目初验后，于</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18</w:t>
      </w:r>
      <w:r>
        <w:rPr>
          <w:rFonts w:ascii="仿宋_GB2312" w:eastAsia="仿宋_GB2312" w:hAnsi="仿宋_GB2312" w:cs="仿宋_GB2312" w:hint="eastAsia"/>
          <w:sz w:val="32"/>
          <w:szCs w:val="40"/>
        </w:rPr>
        <w:t>日首次申请调剂。基料化、能源化利用同样受极端天气影响，中标单位分别于</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9</w:t>
      </w:r>
      <w:r>
        <w:rPr>
          <w:rFonts w:ascii="仿宋_GB2312" w:eastAsia="仿宋_GB2312" w:hAnsi="仿宋_GB2312" w:cs="仿宋_GB2312" w:hint="eastAsia"/>
          <w:sz w:val="32"/>
          <w:szCs w:val="40"/>
        </w:rPr>
        <w:t>日和</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19</w:t>
      </w:r>
      <w:r>
        <w:rPr>
          <w:rFonts w:ascii="仿宋_GB2312" w:eastAsia="仿宋_GB2312" w:hAnsi="仿宋_GB2312" w:cs="仿宋_GB2312" w:hint="eastAsia"/>
          <w:sz w:val="32"/>
          <w:szCs w:val="40"/>
        </w:rPr>
        <w:t>日提出放弃说明，直至</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18</w:t>
      </w:r>
      <w:r>
        <w:rPr>
          <w:rFonts w:ascii="仿宋_GB2312" w:eastAsia="仿宋_GB2312" w:hAnsi="仿宋_GB2312" w:cs="仿宋_GB2312" w:hint="eastAsia"/>
          <w:sz w:val="32"/>
          <w:szCs w:val="40"/>
        </w:rPr>
        <w:t>日申请二</w:t>
      </w:r>
      <w:r>
        <w:rPr>
          <w:rFonts w:ascii="仿宋_GB2312" w:eastAsia="仿宋_GB2312" w:hAnsi="仿宋_GB2312" w:cs="仿宋_GB2312" w:hint="eastAsia"/>
          <w:sz w:val="32"/>
          <w:szCs w:val="40"/>
        </w:rPr>
        <w:t>次调剂。调剂后资金调整用于堆肥项目，已于</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26</w:t>
      </w:r>
      <w:r>
        <w:rPr>
          <w:rFonts w:ascii="仿宋_GB2312" w:eastAsia="仿宋_GB2312" w:hAnsi="仿宋_GB2312" w:cs="仿宋_GB2312" w:hint="eastAsia"/>
          <w:sz w:val="32"/>
          <w:szCs w:val="40"/>
        </w:rPr>
        <w:t>日完成招标并签订合同，合同约定秸秆收集量</w:t>
      </w:r>
      <w:r>
        <w:rPr>
          <w:rFonts w:ascii="仿宋_GB2312" w:eastAsia="仿宋_GB2312" w:hAnsi="仿宋_GB2312" w:cs="仿宋_GB2312" w:hint="eastAsia"/>
          <w:sz w:val="32"/>
          <w:szCs w:val="40"/>
        </w:rPr>
        <w:t>11800</w:t>
      </w:r>
      <w:r>
        <w:rPr>
          <w:rFonts w:ascii="仿宋_GB2312" w:eastAsia="仿宋_GB2312" w:hAnsi="仿宋_GB2312" w:cs="仿宋_GB2312" w:hint="eastAsia"/>
          <w:sz w:val="32"/>
          <w:szCs w:val="40"/>
        </w:rPr>
        <w:t>吨，</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9</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30</w:t>
      </w:r>
      <w:r>
        <w:rPr>
          <w:rFonts w:ascii="仿宋_GB2312" w:eastAsia="仿宋_GB2312" w:hAnsi="仿宋_GB2312" w:cs="仿宋_GB2312" w:hint="eastAsia"/>
          <w:sz w:val="32"/>
          <w:szCs w:val="40"/>
        </w:rPr>
        <w:t>日前完成堆肥任务。截至</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7</w:t>
      </w:r>
      <w:r>
        <w:rPr>
          <w:rFonts w:ascii="仿宋_GB2312" w:eastAsia="仿宋_GB2312" w:hAnsi="仿宋_GB2312" w:cs="仿宋_GB2312" w:hint="eastAsia"/>
          <w:sz w:val="32"/>
          <w:szCs w:val="40"/>
        </w:rPr>
        <w:t>月底，山东渥田宝生物科技有限公司完成小麦秸秆收集</w:t>
      </w:r>
      <w:r>
        <w:rPr>
          <w:rFonts w:ascii="仿宋_GB2312" w:eastAsia="仿宋_GB2312" w:hAnsi="仿宋_GB2312" w:cs="仿宋_GB2312" w:hint="eastAsia"/>
          <w:sz w:val="32"/>
          <w:szCs w:val="40"/>
        </w:rPr>
        <w:t>6125.883</w:t>
      </w:r>
      <w:r>
        <w:rPr>
          <w:rFonts w:ascii="仿宋_GB2312" w:eastAsia="仿宋_GB2312" w:hAnsi="仿宋_GB2312" w:cs="仿宋_GB2312" w:hint="eastAsia"/>
          <w:sz w:val="32"/>
          <w:szCs w:val="40"/>
        </w:rPr>
        <w:t>吨，莱西市艾月家庭农场完成小麦秸秆收集</w:t>
      </w:r>
      <w:r>
        <w:rPr>
          <w:rFonts w:ascii="仿宋_GB2312" w:eastAsia="仿宋_GB2312" w:hAnsi="仿宋_GB2312" w:cs="仿宋_GB2312" w:hint="eastAsia"/>
          <w:sz w:val="32"/>
          <w:szCs w:val="40"/>
        </w:rPr>
        <w:t>781.405</w:t>
      </w:r>
      <w:r>
        <w:rPr>
          <w:rFonts w:ascii="仿宋_GB2312" w:eastAsia="仿宋_GB2312" w:hAnsi="仿宋_GB2312" w:cs="仿宋_GB2312" w:hint="eastAsia"/>
          <w:sz w:val="32"/>
          <w:szCs w:val="40"/>
        </w:rPr>
        <w:t>吨，合计完成</w:t>
      </w:r>
      <w:r>
        <w:rPr>
          <w:rFonts w:ascii="仿宋_GB2312" w:eastAsia="仿宋_GB2312" w:hAnsi="仿宋_GB2312" w:cs="仿宋_GB2312" w:hint="eastAsia"/>
          <w:sz w:val="32"/>
          <w:szCs w:val="40"/>
        </w:rPr>
        <w:t>6907.288</w:t>
      </w:r>
      <w:r>
        <w:rPr>
          <w:rFonts w:ascii="仿宋_GB2312" w:eastAsia="仿宋_GB2312" w:hAnsi="仿宋_GB2312" w:cs="仿宋_GB2312" w:hint="eastAsia"/>
          <w:sz w:val="32"/>
          <w:szCs w:val="40"/>
        </w:rPr>
        <w:t>吨。剩余秸秆因小麦收储窗口期短、农户小麦秸秆就地还田比例较高，可收集离田资源不足，经评估已不具备继续收储小麦秸秆的可行性，剩余任务变更为秋季秸秆。经与莱西市农业农村局沟通落实，预计</w:t>
      </w:r>
      <w:r>
        <w:rPr>
          <w:rFonts w:ascii="仿宋_GB2312" w:eastAsia="仿宋_GB2312" w:hAnsi="仿宋_GB2312" w:cs="仿宋_GB2312" w:hint="eastAsia"/>
          <w:sz w:val="32"/>
          <w:szCs w:val="40"/>
        </w:rPr>
        <w:t>2027</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月底前完成堆</w:t>
      </w:r>
      <w:r>
        <w:rPr>
          <w:rFonts w:ascii="仿宋_GB2312" w:eastAsia="仿宋_GB2312" w:hAnsi="仿宋_GB2312" w:cs="仿宋_GB2312" w:hint="eastAsia"/>
          <w:sz w:val="32"/>
          <w:szCs w:val="40"/>
        </w:rPr>
        <w:t>肥任务。</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项目部分任务未按合同、方案约定时间完成。直接还田方面：即墨区合同约定</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11</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20</w:t>
      </w:r>
      <w:r>
        <w:rPr>
          <w:rFonts w:ascii="仿宋_GB2312" w:eastAsia="仿宋_GB2312" w:hAnsi="仿宋_GB2312" w:cs="仿宋_GB2312" w:hint="eastAsia"/>
          <w:sz w:val="32"/>
          <w:szCs w:val="40"/>
        </w:rPr>
        <w:t>日前完成，实际完成时间为</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11</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26</w:t>
      </w:r>
      <w:r>
        <w:rPr>
          <w:rFonts w:ascii="仿宋_GB2312" w:eastAsia="仿宋_GB2312" w:hAnsi="仿宋_GB2312" w:cs="仿宋_GB2312" w:hint="eastAsia"/>
          <w:sz w:val="32"/>
          <w:szCs w:val="40"/>
        </w:rPr>
        <w:t>日；莱西市应于</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月底前完成并验收，实际验收时间为</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日。堆肥方面：西海岸新区合同约定</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日前完成，实际完成时间为</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18</w:t>
      </w:r>
      <w:r>
        <w:rPr>
          <w:rFonts w:ascii="仿宋_GB2312" w:eastAsia="仿宋_GB2312" w:hAnsi="仿宋_GB2312" w:cs="仿宋_GB2312" w:hint="eastAsia"/>
          <w:sz w:val="32"/>
          <w:szCs w:val="40"/>
        </w:rPr>
        <w:t>日；即墨区和莱西市应于</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lastRenderedPageBreak/>
        <w:t>月底前完成并验收，实际验收时间分别为</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4</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21</w:t>
      </w:r>
      <w:r>
        <w:rPr>
          <w:rFonts w:ascii="仿宋_GB2312" w:eastAsia="仿宋_GB2312" w:hAnsi="仿宋_GB2312" w:cs="仿宋_GB2312" w:hint="eastAsia"/>
          <w:sz w:val="32"/>
          <w:szCs w:val="40"/>
        </w:rPr>
        <w:t>日和</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日。饲料化利用方面：莱西市应于</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月底前完成并验收，实际验收时间为</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4</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日。秸秆还田效果监测与评价报告方面：三区（市）均应于</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6</w:t>
      </w:r>
      <w:r>
        <w:rPr>
          <w:rFonts w:ascii="仿宋_GB2312" w:eastAsia="仿宋_GB2312" w:hAnsi="仿宋_GB2312" w:cs="仿宋_GB2312" w:hint="eastAsia"/>
          <w:sz w:val="32"/>
          <w:szCs w:val="40"/>
        </w:rPr>
        <w:t>月底前完成，西海岸新区完成时间为</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7</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4</w:t>
      </w:r>
      <w:r>
        <w:rPr>
          <w:rFonts w:ascii="仿宋_GB2312" w:eastAsia="仿宋_GB2312" w:hAnsi="仿宋_GB2312" w:cs="仿宋_GB2312" w:hint="eastAsia"/>
          <w:sz w:val="32"/>
          <w:szCs w:val="40"/>
        </w:rPr>
        <w:t>日，即墨区为</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7</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14</w:t>
      </w:r>
      <w:r>
        <w:rPr>
          <w:rFonts w:ascii="仿宋_GB2312" w:eastAsia="仿宋_GB2312" w:hAnsi="仿宋_GB2312" w:cs="仿宋_GB2312" w:hint="eastAsia"/>
          <w:sz w:val="32"/>
          <w:szCs w:val="40"/>
        </w:rPr>
        <w:t>日，莱西市完成时间为</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7</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20</w:t>
      </w:r>
      <w:r>
        <w:rPr>
          <w:rFonts w:ascii="仿宋_GB2312" w:eastAsia="仿宋_GB2312" w:hAnsi="仿宋_GB2312" w:cs="仿宋_GB2312" w:hint="eastAsia"/>
          <w:sz w:val="32"/>
          <w:szCs w:val="40"/>
        </w:rPr>
        <w:t>日。</w:t>
      </w:r>
    </w:p>
    <w:p w:rsidR="00267EF2" w:rsidRDefault="00A312EF">
      <w:pPr>
        <w:spacing w:line="560" w:lineRule="exact"/>
        <w:ind w:firstLineChars="200" w:firstLine="640"/>
        <w:rPr>
          <w:rFonts w:ascii="仿宋_GB2312" w:eastAsia="仿宋_GB2312" w:hAnsi="仿宋_GB2312" w:cs="仿宋_GB2312"/>
          <w:b/>
          <w:bCs/>
          <w:sz w:val="32"/>
          <w:szCs w:val="40"/>
        </w:rPr>
      </w:pPr>
      <w:r>
        <w:rPr>
          <w:rFonts w:ascii="Times New Roman" w:eastAsia="楷体_GB2312" w:hAnsi="Times New Roman" w:cs="Times New Roman" w:hint="eastAsia"/>
          <w:sz w:val="32"/>
          <w:szCs w:val="40"/>
        </w:rPr>
        <w:t>（三）补助标准测算不够</w:t>
      </w:r>
      <w:r>
        <w:rPr>
          <w:rFonts w:ascii="Times New Roman" w:eastAsia="楷体_GB2312" w:hAnsi="Times New Roman" w:cs="Times New Roman" w:hint="eastAsia"/>
          <w:sz w:val="32"/>
          <w:szCs w:val="40"/>
        </w:rPr>
        <w:t>细化，还田作业模式执行不一致</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一是</w:t>
      </w:r>
      <w:r>
        <w:rPr>
          <w:rFonts w:ascii="仿宋_GB2312" w:eastAsia="仿宋_GB2312" w:hAnsi="仿宋_GB2312" w:cs="仿宋_GB2312" w:hint="eastAsia"/>
          <w:sz w:val="32"/>
          <w:szCs w:val="40"/>
        </w:rPr>
        <w:t>根据《青岛市</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年农作物秸秆综合利用重点县建设实施方案》（青农计财字〔</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31</w:t>
      </w:r>
      <w:r>
        <w:rPr>
          <w:rFonts w:ascii="仿宋_GB2312" w:eastAsia="仿宋_GB2312" w:hAnsi="仿宋_GB2312" w:cs="仿宋_GB2312" w:hint="eastAsia"/>
          <w:sz w:val="32"/>
          <w:szCs w:val="40"/>
        </w:rPr>
        <w:t>号），</w:t>
      </w:r>
      <w:r>
        <w:rPr>
          <w:rFonts w:ascii="仿宋_GB2312" w:eastAsia="仿宋_GB2312" w:hAnsi="仿宋_GB2312" w:cs="仿宋_GB2312" w:hint="eastAsia"/>
          <w:sz w:val="32"/>
          <w:szCs w:val="40"/>
        </w:rPr>
        <w:t>秸秆还田补助标准为</w:t>
      </w:r>
      <w:r>
        <w:rPr>
          <w:rFonts w:ascii="仿宋_GB2312" w:eastAsia="仿宋_GB2312" w:hAnsi="仿宋_GB2312" w:cs="仿宋_GB2312" w:hint="eastAsia"/>
          <w:sz w:val="32"/>
          <w:szCs w:val="40"/>
        </w:rPr>
        <w:t>45</w:t>
      </w:r>
      <w:r>
        <w:rPr>
          <w:rFonts w:ascii="仿宋_GB2312" w:eastAsia="仿宋_GB2312" w:hAnsi="仿宋_GB2312" w:cs="仿宋_GB2312" w:hint="eastAsia"/>
          <w:sz w:val="32"/>
          <w:szCs w:val="40"/>
        </w:rPr>
        <w:t>元</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亩，</w:t>
      </w:r>
      <w:r>
        <w:rPr>
          <w:rFonts w:ascii="仿宋_GB2312" w:eastAsia="仿宋_GB2312" w:hAnsi="仿宋_GB2312" w:cs="仿宋_GB2312" w:hint="eastAsia"/>
          <w:sz w:val="32"/>
          <w:szCs w:val="40"/>
        </w:rPr>
        <w:t>秸秆离田堆肥补助标准为</w:t>
      </w:r>
      <w:r>
        <w:rPr>
          <w:rFonts w:ascii="仿宋_GB2312" w:eastAsia="仿宋_GB2312" w:hAnsi="仿宋_GB2312" w:cs="仿宋_GB2312" w:hint="eastAsia"/>
          <w:sz w:val="32"/>
          <w:szCs w:val="40"/>
        </w:rPr>
        <w:t>220</w:t>
      </w:r>
      <w:r>
        <w:rPr>
          <w:rFonts w:ascii="仿宋_GB2312" w:eastAsia="仿宋_GB2312" w:hAnsi="仿宋_GB2312" w:cs="仿宋_GB2312" w:hint="eastAsia"/>
          <w:sz w:val="32"/>
          <w:szCs w:val="40"/>
        </w:rPr>
        <w:t>元</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吨，秸秆基料利用补助标准为</w:t>
      </w:r>
      <w:r>
        <w:rPr>
          <w:rFonts w:ascii="仿宋_GB2312" w:eastAsia="仿宋_GB2312" w:hAnsi="仿宋_GB2312" w:cs="仿宋_GB2312" w:hint="eastAsia"/>
          <w:sz w:val="32"/>
          <w:szCs w:val="40"/>
        </w:rPr>
        <w:t>220</w:t>
      </w:r>
      <w:r>
        <w:rPr>
          <w:rFonts w:ascii="仿宋_GB2312" w:eastAsia="仿宋_GB2312" w:hAnsi="仿宋_GB2312" w:cs="仿宋_GB2312" w:hint="eastAsia"/>
          <w:sz w:val="32"/>
          <w:szCs w:val="40"/>
        </w:rPr>
        <w:t>元</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吨，秸秆饲料利用补助标准为</w:t>
      </w:r>
      <w:r>
        <w:rPr>
          <w:rFonts w:ascii="仿宋_GB2312" w:eastAsia="仿宋_GB2312" w:hAnsi="仿宋_GB2312" w:cs="仿宋_GB2312" w:hint="eastAsia"/>
          <w:sz w:val="32"/>
          <w:szCs w:val="40"/>
        </w:rPr>
        <w:t>50</w:t>
      </w:r>
      <w:r>
        <w:rPr>
          <w:rFonts w:ascii="仿宋_GB2312" w:eastAsia="仿宋_GB2312" w:hAnsi="仿宋_GB2312" w:cs="仿宋_GB2312" w:hint="eastAsia"/>
          <w:sz w:val="32"/>
          <w:szCs w:val="40"/>
        </w:rPr>
        <w:t>元</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吨，秸秆能源化利用补助标准为</w:t>
      </w:r>
      <w:r>
        <w:rPr>
          <w:rFonts w:ascii="仿宋_GB2312" w:eastAsia="仿宋_GB2312" w:hAnsi="仿宋_GB2312" w:cs="仿宋_GB2312" w:hint="eastAsia"/>
          <w:sz w:val="32"/>
          <w:szCs w:val="40"/>
        </w:rPr>
        <w:t>50</w:t>
      </w:r>
      <w:r>
        <w:rPr>
          <w:rFonts w:ascii="仿宋_GB2312" w:eastAsia="仿宋_GB2312" w:hAnsi="仿宋_GB2312" w:cs="仿宋_GB2312" w:hint="eastAsia"/>
          <w:sz w:val="32"/>
          <w:szCs w:val="40"/>
        </w:rPr>
        <w:t>元</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吨</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各区（市）实际均按照以上标准执行</w:t>
      </w:r>
      <w:r>
        <w:rPr>
          <w:rFonts w:ascii="仿宋_GB2312" w:eastAsia="仿宋_GB2312" w:hAnsi="仿宋_GB2312" w:cs="仿宋_GB2312" w:hint="eastAsia"/>
          <w:sz w:val="32"/>
          <w:szCs w:val="40"/>
        </w:rPr>
        <w:t>。市级方案虽</w:t>
      </w:r>
      <w:r>
        <w:rPr>
          <w:rFonts w:ascii="仿宋_GB2312" w:eastAsia="仿宋_GB2312" w:hAnsi="仿宋_GB2312" w:cs="仿宋_GB2312" w:hint="eastAsia"/>
          <w:sz w:val="32"/>
          <w:szCs w:val="40"/>
        </w:rPr>
        <w:t>明确</w:t>
      </w:r>
      <w:r>
        <w:rPr>
          <w:rFonts w:ascii="仿宋_GB2312" w:eastAsia="仿宋_GB2312" w:hAnsi="仿宋_GB2312" w:cs="仿宋_GB2312" w:hint="eastAsia"/>
          <w:sz w:val="32"/>
          <w:szCs w:val="40"/>
        </w:rPr>
        <w:t>了</w:t>
      </w:r>
      <w:r>
        <w:rPr>
          <w:rFonts w:ascii="仿宋_GB2312" w:eastAsia="仿宋_GB2312" w:hAnsi="仿宋_GB2312" w:cs="仿宋_GB2312" w:hint="eastAsia"/>
          <w:sz w:val="32"/>
          <w:szCs w:val="40"/>
        </w:rPr>
        <w:t>各项</w:t>
      </w:r>
      <w:r>
        <w:rPr>
          <w:rFonts w:ascii="仿宋_GB2312" w:eastAsia="仿宋_GB2312" w:hAnsi="仿宋_GB2312" w:cs="仿宋_GB2312" w:hint="eastAsia"/>
          <w:sz w:val="32"/>
          <w:szCs w:val="40"/>
        </w:rPr>
        <w:t>补助标准，但</w:t>
      </w:r>
      <w:r>
        <w:rPr>
          <w:rFonts w:ascii="仿宋_GB2312" w:eastAsia="仿宋_GB2312" w:hAnsi="仿宋_GB2312" w:cs="仿宋_GB2312" w:hint="eastAsia"/>
          <w:sz w:val="32"/>
          <w:szCs w:val="40"/>
        </w:rPr>
        <w:t>未细化</w:t>
      </w:r>
      <w:r>
        <w:rPr>
          <w:rFonts w:ascii="仿宋_GB2312" w:eastAsia="仿宋_GB2312" w:hAnsi="仿宋_GB2312" w:cs="仿宋_GB2312" w:hint="eastAsia"/>
          <w:sz w:val="32"/>
          <w:szCs w:val="40"/>
        </w:rPr>
        <w:t>成本构成、利润空间</w:t>
      </w:r>
      <w:r>
        <w:rPr>
          <w:rFonts w:ascii="仿宋_GB2312" w:eastAsia="仿宋_GB2312" w:hAnsi="仿宋_GB2312" w:cs="仿宋_GB2312" w:hint="eastAsia"/>
          <w:sz w:val="32"/>
          <w:szCs w:val="40"/>
        </w:rPr>
        <w:t>等</w:t>
      </w:r>
      <w:r>
        <w:rPr>
          <w:rFonts w:ascii="仿宋_GB2312" w:eastAsia="仿宋_GB2312" w:hAnsi="仿宋_GB2312" w:cs="仿宋_GB2312" w:hint="eastAsia"/>
          <w:sz w:val="32"/>
          <w:szCs w:val="40"/>
        </w:rPr>
        <w:t>测算过程，</w:t>
      </w:r>
      <w:r>
        <w:rPr>
          <w:rFonts w:ascii="仿宋_GB2312" w:eastAsia="仿宋_GB2312" w:hAnsi="仿宋_GB2312" w:cs="仿宋_GB2312" w:hint="eastAsia"/>
          <w:sz w:val="32"/>
          <w:szCs w:val="40"/>
        </w:rPr>
        <w:t>且</w:t>
      </w:r>
      <w:r>
        <w:rPr>
          <w:rFonts w:ascii="仿宋_GB2312" w:eastAsia="仿宋_GB2312" w:hAnsi="仿宋_GB2312" w:cs="仿宋_GB2312" w:hint="eastAsia"/>
          <w:sz w:val="32"/>
          <w:szCs w:val="40"/>
        </w:rPr>
        <w:t>补助标准的确定未</w:t>
      </w:r>
      <w:r>
        <w:rPr>
          <w:rFonts w:ascii="仿宋_GB2312" w:eastAsia="仿宋_GB2312" w:hAnsi="仿宋_GB2312" w:cs="仿宋_GB2312" w:hint="eastAsia"/>
          <w:sz w:val="32"/>
          <w:szCs w:val="40"/>
        </w:rPr>
        <w:t>经询价、</w:t>
      </w:r>
      <w:r>
        <w:rPr>
          <w:rFonts w:ascii="仿宋_GB2312" w:eastAsia="仿宋_GB2312" w:hAnsi="仿宋_GB2312" w:cs="仿宋_GB2312" w:hint="eastAsia"/>
          <w:sz w:val="32"/>
          <w:szCs w:val="40"/>
        </w:rPr>
        <w:t>专家评审</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或成本分析、调研、会议决策等程序</w:t>
      </w:r>
      <w:r>
        <w:rPr>
          <w:rFonts w:ascii="仿宋_GB2312" w:eastAsia="仿宋_GB2312" w:hAnsi="仿宋_GB2312" w:cs="仿宋_GB2312" w:hint="eastAsia"/>
          <w:sz w:val="32"/>
          <w:szCs w:val="40"/>
        </w:rPr>
        <w:t>。同时，堆肥、基料利用补助均为</w:t>
      </w:r>
      <w:r>
        <w:rPr>
          <w:rFonts w:ascii="仿宋_GB2312" w:eastAsia="仿宋_GB2312" w:hAnsi="仿宋_GB2312" w:cs="仿宋_GB2312" w:hint="eastAsia"/>
          <w:sz w:val="32"/>
          <w:szCs w:val="40"/>
        </w:rPr>
        <w:t>220</w:t>
      </w:r>
      <w:r>
        <w:rPr>
          <w:rFonts w:ascii="仿宋_GB2312" w:eastAsia="仿宋_GB2312" w:hAnsi="仿宋_GB2312" w:cs="仿宋_GB2312" w:hint="eastAsia"/>
          <w:sz w:val="32"/>
          <w:szCs w:val="40"/>
        </w:rPr>
        <w:t>元</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吨，饲料利用、能源利用补助均为</w:t>
      </w:r>
      <w:r>
        <w:rPr>
          <w:rFonts w:ascii="仿宋_GB2312" w:eastAsia="仿宋_GB2312" w:hAnsi="仿宋_GB2312" w:cs="仿宋_GB2312" w:hint="eastAsia"/>
          <w:sz w:val="32"/>
          <w:szCs w:val="40"/>
        </w:rPr>
        <w:t>50</w:t>
      </w:r>
      <w:r>
        <w:rPr>
          <w:rFonts w:ascii="仿宋_GB2312" w:eastAsia="仿宋_GB2312" w:hAnsi="仿宋_GB2312" w:cs="仿宋_GB2312" w:hint="eastAsia"/>
          <w:sz w:val="32"/>
          <w:szCs w:val="40"/>
        </w:rPr>
        <w:t>元</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吨，前者为后者的</w:t>
      </w:r>
      <w:r>
        <w:rPr>
          <w:rFonts w:ascii="仿宋_GB2312" w:eastAsia="仿宋_GB2312" w:hAnsi="仿宋_GB2312" w:cs="仿宋_GB2312" w:hint="eastAsia"/>
          <w:sz w:val="32"/>
          <w:szCs w:val="40"/>
        </w:rPr>
        <w:t>4</w:t>
      </w:r>
      <w:r>
        <w:rPr>
          <w:rFonts w:ascii="仿宋_GB2312" w:eastAsia="仿宋_GB2312" w:hAnsi="仿宋_GB2312" w:cs="仿宋_GB2312" w:hint="eastAsia"/>
          <w:sz w:val="32"/>
          <w:szCs w:val="40"/>
        </w:rPr>
        <w:t>倍以上，各类型补助标准差异较大，缺乏相对合理的比价关系</w:t>
      </w:r>
      <w:r>
        <w:rPr>
          <w:rFonts w:ascii="仿宋_GB2312" w:eastAsia="仿宋_GB2312" w:hAnsi="仿宋_GB2312" w:cs="仿宋_GB2312" w:hint="eastAsia"/>
          <w:sz w:val="32"/>
          <w:szCs w:val="40"/>
        </w:rPr>
        <w:t>。</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二是</w:t>
      </w:r>
      <w:r>
        <w:rPr>
          <w:rFonts w:ascii="仿宋_GB2312" w:eastAsia="仿宋_GB2312" w:hAnsi="仿宋_GB2312" w:cs="仿宋_GB2312" w:hint="eastAsia"/>
          <w:sz w:val="32"/>
          <w:szCs w:val="40"/>
        </w:rPr>
        <w:t>还田作业模式执行不一致。根据市级方案要求，应“大力推广玉米秸秆先粉碎覆盖农田，再撒施尿素、腐熟剂，最后深翻地下的‘三步法’还田模式”。方案同时明确“深耕翻作业环节不享受补助”。从三区（市）合同约定来看，</w:t>
      </w:r>
      <w:r>
        <w:rPr>
          <w:rFonts w:ascii="仿宋_GB2312" w:eastAsia="仿宋_GB2312" w:hAnsi="仿宋_GB2312" w:cs="仿宋_GB2312" w:hint="eastAsia"/>
          <w:sz w:val="32"/>
          <w:szCs w:val="40"/>
        </w:rPr>
        <w:lastRenderedPageBreak/>
        <w:t>西海岸新区合同明确将深耕翻作业纳入项目实施内容；即墨区还田合同要求“选取玉米秸秆粉碎深翻（≥</w:t>
      </w:r>
      <w:r>
        <w:rPr>
          <w:rFonts w:ascii="仿宋_GB2312" w:eastAsia="仿宋_GB2312" w:hAnsi="仿宋_GB2312" w:cs="仿宋_GB2312" w:hint="eastAsia"/>
          <w:sz w:val="32"/>
          <w:szCs w:val="40"/>
        </w:rPr>
        <w:t>25</w:t>
      </w:r>
      <w:r>
        <w:rPr>
          <w:rFonts w:ascii="仿宋_GB2312" w:eastAsia="仿宋_GB2312" w:hAnsi="仿宋_GB2312" w:cs="仿宋_GB2312" w:hint="eastAsia"/>
          <w:sz w:val="32"/>
          <w:szCs w:val="40"/>
        </w:rPr>
        <w:t>厘米）的地块，撒施尿素、腐熟剂”；莱西市还田合同要求“对玉米收获后计划实施深耕翻作业（≥</w:t>
      </w:r>
      <w:r>
        <w:rPr>
          <w:rFonts w:ascii="仿宋_GB2312" w:eastAsia="仿宋_GB2312" w:hAnsi="仿宋_GB2312" w:cs="仿宋_GB2312" w:hint="eastAsia"/>
          <w:sz w:val="32"/>
          <w:szCs w:val="40"/>
        </w:rPr>
        <w:t>25</w:t>
      </w:r>
      <w:r>
        <w:rPr>
          <w:rFonts w:ascii="仿宋_GB2312" w:eastAsia="仿宋_GB2312" w:hAnsi="仿宋_GB2312" w:cs="仿宋_GB2312" w:hint="eastAsia"/>
          <w:sz w:val="32"/>
          <w:szCs w:val="40"/>
        </w:rPr>
        <w:t>厘米）的地块，在耕翻之前撒施尿素和微生物菌剂（腐熟剂）”。即墨区、莱西市将深翻作为地块选取的前置条件，未纳入合同约定和验收</w:t>
      </w:r>
      <w:r>
        <w:rPr>
          <w:rFonts w:ascii="仿宋_GB2312" w:eastAsia="仿宋_GB2312" w:hAnsi="仿宋_GB2312" w:cs="仿宋_GB2312" w:hint="eastAsia"/>
          <w:sz w:val="32"/>
          <w:szCs w:val="40"/>
        </w:rPr>
        <w:t>范围，且均未提供深翻深度测量记录。方案明确深耕翻作业环节不享受补助，各区（市）据此在合同中对深翻环节作了不同处理，导致三区（市）“三步法”各环节的合同约定和监管覆盖范围上执行不一致。</w:t>
      </w:r>
    </w:p>
    <w:p w:rsidR="00267EF2" w:rsidRDefault="00A312EF">
      <w:pPr>
        <w:pStyle w:val="20"/>
        <w:widowControl w:val="0"/>
        <w:spacing w:line="560" w:lineRule="exact"/>
        <w:ind w:firstLineChars="200" w:firstLine="640"/>
        <w:jc w:val="both"/>
        <w:rPr>
          <w:rFonts w:ascii="Times New Roman" w:eastAsia="楷体_GB2312" w:hAnsi="Times New Roman" w:cs="Times New Roman"/>
          <w:color w:val="auto"/>
          <w:sz w:val="32"/>
          <w:szCs w:val="40"/>
        </w:rPr>
      </w:pPr>
      <w:r>
        <w:rPr>
          <w:rFonts w:ascii="Times New Roman" w:eastAsia="楷体_GB2312" w:hAnsi="Times New Roman" w:cs="Times New Roman" w:hint="eastAsia"/>
          <w:color w:val="auto"/>
          <w:sz w:val="32"/>
          <w:szCs w:val="40"/>
        </w:rPr>
        <w:t>（</w:t>
      </w:r>
      <w:r>
        <w:rPr>
          <w:rFonts w:ascii="Times New Roman" w:eastAsia="楷体_GB2312" w:hAnsi="Times New Roman" w:cs="Times New Roman" w:hint="eastAsia"/>
          <w:color w:val="auto"/>
          <w:sz w:val="32"/>
          <w:szCs w:val="40"/>
        </w:rPr>
        <w:t>四</w:t>
      </w:r>
      <w:r>
        <w:rPr>
          <w:rFonts w:ascii="Times New Roman" w:eastAsia="楷体_GB2312" w:hAnsi="Times New Roman" w:cs="Times New Roman" w:hint="eastAsia"/>
          <w:color w:val="auto"/>
          <w:sz w:val="32"/>
          <w:szCs w:val="40"/>
        </w:rPr>
        <w:t>）</w:t>
      </w:r>
      <w:r>
        <w:rPr>
          <w:rFonts w:ascii="Times New Roman" w:eastAsia="楷体_GB2312" w:hAnsi="Times New Roman" w:cs="Times New Roman" w:hint="eastAsia"/>
          <w:color w:val="auto"/>
          <w:sz w:val="32"/>
          <w:szCs w:val="40"/>
        </w:rPr>
        <w:t>项目过程实施规范性有待加强</w:t>
      </w:r>
    </w:p>
    <w:p w:rsidR="00267EF2" w:rsidRDefault="00A312EF">
      <w:pPr>
        <w:pStyle w:val="20"/>
        <w:widowControl w:val="0"/>
        <w:spacing w:line="560" w:lineRule="exact"/>
        <w:ind w:firstLineChars="200" w:firstLine="643"/>
        <w:jc w:val="both"/>
        <w:rPr>
          <w:rFonts w:ascii="仿宋_GB2312" w:eastAsia="仿宋_GB2312" w:hAnsi="仿宋_GB2312" w:cs="仿宋_GB2312"/>
          <w:b/>
          <w:bCs/>
          <w:color w:val="auto"/>
          <w:kern w:val="2"/>
          <w:sz w:val="32"/>
          <w:szCs w:val="40"/>
        </w:rPr>
      </w:pPr>
      <w:r>
        <w:rPr>
          <w:rFonts w:ascii="仿宋_GB2312" w:eastAsia="仿宋_GB2312" w:hAnsi="仿宋_GB2312" w:cs="仿宋_GB2312" w:hint="eastAsia"/>
          <w:b/>
          <w:bCs/>
          <w:color w:val="auto"/>
          <w:sz w:val="32"/>
          <w:szCs w:val="40"/>
        </w:rPr>
        <w:t>一是</w:t>
      </w:r>
      <w:r>
        <w:rPr>
          <w:rFonts w:ascii="仿宋_GB2312" w:eastAsia="仿宋_GB2312" w:hAnsi="仿宋_GB2312" w:cs="仿宋_GB2312" w:hint="eastAsia"/>
          <w:color w:val="auto"/>
          <w:sz w:val="32"/>
          <w:szCs w:val="40"/>
        </w:rPr>
        <w:t>方案备案不及时</w:t>
      </w:r>
      <w:r>
        <w:rPr>
          <w:rFonts w:ascii="仿宋_GB2312" w:eastAsia="仿宋_GB2312" w:hAnsi="仿宋_GB2312" w:cs="仿宋_GB2312" w:hint="eastAsia"/>
          <w:color w:val="auto"/>
          <w:kern w:val="2"/>
          <w:sz w:val="32"/>
          <w:szCs w:val="40"/>
        </w:rPr>
        <w:t>。根据《青岛市</w:t>
      </w:r>
      <w:r>
        <w:rPr>
          <w:rFonts w:ascii="仿宋_GB2312" w:eastAsia="仿宋_GB2312" w:hAnsi="仿宋_GB2312" w:cs="仿宋_GB2312" w:hint="eastAsia"/>
          <w:color w:val="auto"/>
          <w:kern w:val="2"/>
          <w:sz w:val="32"/>
          <w:szCs w:val="40"/>
        </w:rPr>
        <w:t>2025</w:t>
      </w:r>
      <w:r>
        <w:rPr>
          <w:rFonts w:ascii="仿宋_GB2312" w:eastAsia="仿宋_GB2312" w:hAnsi="仿宋_GB2312" w:cs="仿宋_GB2312" w:hint="eastAsia"/>
          <w:color w:val="auto"/>
          <w:kern w:val="2"/>
          <w:sz w:val="32"/>
          <w:szCs w:val="40"/>
        </w:rPr>
        <w:t>年农作物秸秆综合利用重点县建设实施方案》（青农计财字〔</w:t>
      </w:r>
      <w:r>
        <w:rPr>
          <w:rFonts w:ascii="仿宋_GB2312" w:eastAsia="仿宋_GB2312" w:hAnsi="仿宋_GB2312" w:cs="仿宋_GB2312" w:hint="eastAsia"/>
          <w:color w:val="auto"/>
          <w:kern w:val="2"/>
          <w:sz w:val="32"/>
          <w:szCs w:val="40"/>
        </w:rPr>
        <w:t>2025</w:t>
      </w:r>
      <w:r>
        <w:rPr>
          <w:rFonts w:ascii="仿宋_GB2312" w:eastAsia="仿宋_GB2312" w:hAnsi="仿宋_GB2312" w:cs="仿宋_GB2312" w:hint="eastAsia"/>
          <w:color w:val="auto"/>
          <w:kern w:val="2"/>
          <w:sz w:val="32"/>
          <w:szCs w:val="40"/>
        </w:rPr>
        <w:t>〕</w:t>
      </w:r>
      <w:r>
        <w:rPr>
          <w:rFonts w:ascii="仿宋_GB2312" w:eastAsia="仿宋_GB2312" w:hAnsi="仿宋_GB2312" w:cs="仿宋_GB2312" w:hint="eastAsia"/>
          <w:color w:val="auto"/>
          <w:kern w:val="2"/>
          <w:sz w:val="32"/>
          <w:szCs w:val="40"/>
        </w:rPr>
        <w:t>31</w:t>
      </w:r>
      <w:r>
        <w:rPr>
          <w:rFonts w:ascii="仿宋_GB2312" w:eastAsia="仿宋_GB2312" w:hAnsi="仿宋_GB2312" w:cs="仿宋_GB2312" w:hint="eastAsia"/>
          <w:color w:val="auto"/>
          <w:kern w:val="2"/>
          <w:sz w:val="32"/>
          <w:szCs w:val="40"/>
        </w:rPr>
        <w:t>号）</w:t>
      </w:r>
      <w:r>
        <w:rPr>
          <w:rFonts w:ascii="仿宋_GB2312" w:eastAsia="仿宋_GB2312" w:hAnsi="仿宋_GB2312" w:cs="仿宋_GB2312" w:hint="eastAsia"/>
          <w:color w:val="auto"/>
          <w:kern w:val="2"/>
          <w:sz w:val="32"/>
          <w:szCs w:val="40"/>
        </w:rPr>
        <w:t>，</w:t>
      </w:r>
      <w:r>
        <w:rPr>
          <w:rFonts w:ascii="仿宋_GB2312" w:eastAsia="仿宋_GB2312" w:hAnsi="仿宋_GB2312" w:cs="仿宋_GB2312" w:hint="eastAsia"/>
          <w:color w:val="auto"/>
          <w:kern w:val="2"/>
          <w:sz w:val="32"/>
          <w:szCs w:val="40"/>
        </w:rPr>
        <w:t>“</w:t>
      </w:r>
      <w:r>
        <w:rPr>
          <w:rFonts w:ascii="仿宋_GB2312" w:eastAsia="仿宋_GB2312" w:hAnsi="仿宋_GB2312" w:cs="仿宋_GB2312" w:hint="eastAsia"/>
          <w:color w:val="auto"/>
          <w:kern w:val="2"/>
          <w:sz w:val="32"/>
          <w:szCs w:val="40"/>
        </w:rPr>
        <w:t>各区（市）</w:t>
      </w:r>
      <w:r>
        <w:rPr>
          <w:rFonts w:ascii="仿宋_GB2312" w:eastAsia="仿宋_GB2312" w:hAnsi="仿宋_GB2312" w:cs="仿宋_GB2312" w:hint="eastAsia"/>
          <w:color w:val="auto"/>
          <w:kern w:val="2"/>
          <w:sz w:val="32"/>
          <w:szCs w:val="40"/>
        </w:rPr>
        <w:t>于</w:t>
      </w:r>
      <w:r>
        <w:rPr>
          <w:rFonts w:ascii="仿宋_GB2312" w:eastAsia="仿宋_GB2312" w:hAnsi="仿宋_GB2312" w:cs="仿宋_GB2312" w:hint="eastAsia"/>
          <w:color w:val="auto"/>
          <w:kern w:val="2"/>
          <w:sz w:val="32"/>
          <w:szCs w:val="40"/>
        </w:rPr>
        <w:t>2025</w:t>
      </w:r>
      <w:r>
        <w:rPr>
          <w:rFonts w:ascii="仿宋_GB2312" w:eastAsia="仿宋_GB2312" w:hAnsi="仿宋_GB2312" w:cs="仿宋_GB2312" w:hint="eastAsia"/>
          <w:color w:val="auto"/>
          <w:kern w:val="2"/>
          <w:sz w:val="32"/>
          <w:szCs w:val="40"/>
        </w:rPr>
        <w:t>年</w:t>
      </w:r>
      <w:r>
        <w:rPr>
          <w:rFonts w:ascii="仿宋_GB2312" w:eastAsia="仿宋_GB2312" w:hAnsi="仿宋_GB2312" w:cs="仿宋_GB2312" w:hint="eastAsia"/>
          <w:color w:val="auto"/>
          <w:kern w:val="2"/>
          <w:sz w:val="32"/>
          <w:szCs w:val="40"/>
        </w:rPr>
        <w:t>6</w:t>
      </w:r>
      <w:r>
        <w:rPr>
          <w:rFonts w:ascii="仿宋_GB2312" w:eastAsia="仿宋_GB2312" w:hAnsi="仿宋_GB2312" w:cs="仿宋_GB2312" w:hint="eastAsia"/>
          <w:color w:val="auto"/>
          <w:kern w:val="2"/>
          <w:sz w:val="32"/>
          <w:szCs w:val="40"/>
        </w:rPr>
        <w:t>月</w:t>
      </w:r>
      <w:r>
        <w:rPr>
          <w:rFonts w:ascii="仿宋_GB2312" w:eastAsia="仿宋_GB2312" w:hAnsi="仿宋_GB2312" w:cs="仿宋_GB2312" w:hint="eastAsia"/>
          <w:color w:val="auto"/>
          <w:kern w:val="2"/>
          <w:sz w:val="32"/>
          <w:szCs w:val="40"/>
        </w:rPr>
        <w:t>30</w:t>
      </w:r>
      <w:r>
        <w:rPr>
          <w:rFonts w:ascii="仿宋_GB2312" w:eastAsia="仿宋_GB2312" w:hAnsi="仿宋_GB2312" w:cs="仿宋_GB2312" w:hint="eastAsia"/>
          <w:color w:val="auto"/>
          <w:kern w:val="2"/>
          <w:sz w:val="32"/>
          <w:szCs w:val="40"/>
        </w:rPr>
        <w:t>日前以正式文件报至市农业农村局绿色发展处”，西海岸新区</w:t>
      </w:r>
      <w:r>
        <w:rPr>
          <w:rFonts w:ascii="仿宋_GB2312" w:eastAsia="仿宋_GB2312" w:hAnsi="仿宋_GB2312" w:cs="仿宋_GB2312" w:hint="eastAsia"/>
          <w:color w:val="auto"/>
          <w:kern w:val="2"/>
          <w:sz w:val="32"/>
          <w:szCs w:val="40"/>
        </w:rPr>
        <w:t>、</w:t>
      </w:r>
      <w:r>
        <w:rPr>
          <w:rFonts w:ascii="仿宋_GB2312" w:eastAsia="仿宋_GB2312" w:hAnsi="仿宋_GB2312" w:cs="仿宋_GB2312" w:hint="eastAsia"/>
          <w:color w:val="auto"/>
          <w:kern w:val="2"/>
          <w:sz w:val="32"/>
          <w:szCs w:val="40"/>
        </w:rPr>
        <w:t>即墨区</w:t>
      </w:r>
      <w:r>
        <w:rPr>
          <w:rFonts w:ascii="仿宋_GB2312" w:eastAsia="仿宋_GB2312" w:hAnsi="仿宋_GB2312" w:cs="仿宋_GB2312" w:hint="eastAsia"/>
          <w:color w:val="auto"/>
          <w:kern w:val="2"/>
          <w:sz w:val="32"/>
          <w:szCs w:val="40"/>
        </w:rPr>
        <w:t>、</w:t>
      </w:r>
      <w:r>
        <w:rPr>
          <w:rFonts w:ascii="仿宋_GB2312" w:eastAsia="仿宋_GB2312" w:hAnsi="仿宋_GB2312" w:cs="仿宋_GB2312" w:hint="eastAsia"/>
          <w:color w:val="auto"/>
          <w:kern w:val="2"/>
          <w:sz w:val="32"/>
          <w:szCs w:val="40"/>
        </w:rPr>
        <w:t>莱西市</w:t>
      </w:r>
      <w:r>
        <w:rPr>
          <w:rFonts w:ascii="仿宋_GB2312" w:eastAsia="仿宋_GB2312" w:hAnsi="仿宋_GB2312" w:cs="仿宋_GB2312" w:hint="eastAsia"/>
          <w:color w:val="auto"/>
          <w:kern w:val="2"/>
          <w:sz w:val="32"/>
          <w:szCs w:val="40"/>
        </w:rPr>
        <w:t>分别于</w:t>
      </w:r>
      <w:r>
        <w:rPr>
          <w:rFonts w:ascii="仿宋_GB2312" w:eastAsia="仿宋_GB2312" w:hAnsi="仿宋_GB2312" w:cs="仿宋_GB2312" w:hint="eastAsia"/>
          <w:color w:val="auto"/>
          <w:kern w:val="2"/>
          <w:sz w:val="32"/>
          <w:szCs w:val="40"/>
        </w:rPr>
        <w:t>7</w:t>
      </w:r>
      <w:r>
        <w:rPr>
          <w:rFonts w:ascii="仿宋_GB2312" w:eastAsia="仿宋_GB2312" w:hAnsi="仿宋_GB2312" w:cs="仿宋_GB2312" w:hint="eastAsia"/>
          <w:color w:val="auto"/>
          <w:kern w:val="2"/>
          <w:sz w:val="32"/>
          <w:szCs w:val="40"/>
        </w:rPr>
        <w:t>月</w:t>
      </w:r>
      <w:r>
        <w:rPr>
          <w:rFonts w:ascii="仿宋_GB2312" w:eastAsia="仿宋_GB2312" w:hAnsi="仿宋_GB2312" w:cs="仿宋_GB2312" w:hint="eastAsia"/>
          <w:color w:val="auto"/>
          <w:kern w:val="2"/>
          <w:sz w:val="32"/>
          <w:szCs w:val="40"/>
        </w:rPr>
        <w:t>17</w:t>
      </w:r>
      <w:r>
        <w:rPr>
          <w:rFonts w:ascii="仿宋_GB2312" w:eastAsia="仿宋_GB2312" w:hAnsi="仿宋_GB2312" w:cs="仿宋_GB2312" w:hint="eastAsia"/>
          <w:color w:val="auto"/>
          <w:kern w:val="2"/>
          <w:sz w:val="32"/>
          <w:szCs w:val="40"/>
        </w:rPr>
        <w:t>日</w:t>
      </w:r>
      <w:r>
        <w:rPr>
          <w:rFonts w:ascii="仿宋_GB2312" w:eastAsia="仿宋_GB2312" w:hAnsi="仿宋_GB2312" w:cs="仿宋_GB2312" w:hint="eastAsia"/>
          <w:color w:val="auto"/>
          <w:kern w:val="2"/>
          <w:sz w:val="32"/>
          <w:szCs w:val="40"/>
        </w:rPr>
        <w:t>、</w:t>
      </w:r>
      <w:r>
        <w:rPr>
          <w:rFonts w:ascii="仿宋_GB2312" w:eastAsia="仿宋_GB2312" w:hAnsi="仿宋_GB2312" w:cs="仿宋_GB2312" w:hint="eastAsia"/>
          <w:color w:val="auto"/>
          <w:kern w:val="2"/>
          <w:sz w:val="32"/>
          <w:szCs w:val="40"/>
        </w:rPr>
        <w:t>7</w:t>
      </w:r>
      <w:r>
        <w:rPr>
          <w:rFonts w:ascii="仿宋_GB2312" w:eastAsia="仿宋_GB2312" w:hAnsi="仿宋_GB2312" w:cs="仿宋_GB2312" w:hint="eastAsia"/>
          <w:color w:val="auto"/>
          <w:kern w:val="2"/>
          <w:sz w:val="32"/>
          <w:szCs w:val="40"/>
        </w:rPr>
        <w:t>月</w:t>
      </w:r>
      <w:r>
        <w:rPr>
          <w:rFonts w:ascii="仿宋_GB2312" w:eastAsia="仿宋_GB2312" w:hAnsi="仿宋_GB2312" w:cs="仿宋_GB2312" w:hint="eastAsia"/>
          <w:color w:val="auto"/>
          <w:kern w:val="2"/>
          <w:sz w:val="32"/>
          <w:szCs w:val="40"/>
        </w:rPr>
        <w:t>2</w:t>
      </w:r>
      <w:r>
        <w:rPr>
          <w:rFonts w:ascii="仿宋_GB2312" w:eastAsia="仿宋_GB2312" w:hAnsi="仿宋_GB2312" w:cs="仿宋_GB2312" w:hint="eastAsia"/>
          <w:color w:val="auto"/>
          <w:kern w:val="2"/>
          <w:sz w:val="32"/>
          <w:szCs w:val="40"/>
        </w:rPr>
        <w:t>日</w:t>
      </w:r>
      <w:r>
        <w:rPr>
          <w:rFonts w:ascii="仿宋_GB2312" w:eastAsia="仿宋_GB2312" w:hAnsi="仿宋_GB2312" w:cs="仿宋_GB2312" w:hint="eastAsia"/>
          <w:color w:val="auto"/>
          <w:kern w:val="2"/>
          <w:sz w:val="32"/>
          <w:szCs w:val="40"/>
        </w:rPr>
        <w:t>、</w:t>
      </w:r>
      <w:r>
        <w:rPr>
          <w:rFonts w:ascii="仿宋_GB2312" w:eastAsia="仿宋_GB2312" w:hAnsi="仿宋_GB2312" w:cs="仿宋_GB2312" w:hint="eastAsia"/>
          <w:color w:val="auto"/>
          <w:kern w:val="2"/>
          <w:sz w:val="32"/>
          <w:szCs w:val="40"/>
        </w:rPr>
        <w:t>7</w:t>
      </w:r>
      <w:r>
        <w:rPr>
          <w:rFonts w:ascii="仿宋_GB2312" w:eastAsia="仿宋_GB2312" w:hAnsi="仿宋_GB2312" w:cs="仿宋_GB2312" w:hint="eastAsia"/>
          <w:color w:val="auto"/>
          <w:kern w:val="2"/>
          <w:sz w:val="32"/>
          <w:szCs w:val="40"/>
        </w:rPr>
        <w:t>月</w:t>
      </w:r>
      <w:r>
        <w:rPr>
          <w:rFonts w:ascii="仿宋_GB2312" w:eastAsia="仿宋_GB2312" w:hAnsi="仿宋_GB2312" w:cs="仿宋_GB2312" w:hint="eastAsia"/>
          <w:color w:val="auto"/>
          <w:kern w:val="2"/>
          <w:sz w:val="32"/>
          <w:szCs w:val="40"/>
        </w:rPr>
        <w:t>8</w:t>
      </w:r>
      <w:r>
        <w:rPr>
          <w:rFonts w:ascii="仿宋_GB2312" w:eastAsia="仿宋_GB2312" w:hAnsi="仿宋_GB2312" w:cs="仿宋_GB2312" w:hint="eastAsia"/>
          <w:color w:val="auto"/>
          <w:kern w:val="2"/>
          <w:sz w:val="32"/>
          <w:szCs w:val="40"/>
        </w:rPr>
        <w:t>日印发</w:t>
      </w:r>
      <w:r>
        <w:rPr>
          <w:rFonts w:ascii="仿宋_GB2312" w:eastAsia="仿宋_GB2312" w:hAnsi="仿宋_GB2312" w:cs="仿宋_GB2312" w:hint="eastAsia"/>
          <w:color w:val="auto"/>
          <w:kern w:val="2"/>
          <w:sz w:val="32"/>
          <w:szCs w:val="40"/>
        </w:rPr>
        <w:t>，</w:t>
      </w:r>
      <w:r>
        <w:rPr>
          <w:rFonts w:ascii="仿宋_GB2312" w:eastAsia="仿宋_GB2312" w:hAnsi="仿宋_GB2312" w:cs="仿宋_GB2312" w:hint="eastAsia"/>
          <w:color w:val="auto"/>
          <w:kern w:val="2"/>
          <w:sz w:val="32"/>
          <w:szCs w:val="40"/>
        </w:rPr>
        <w:t>均晚于规定时间</w:t>
      </w:r>
      <w:r>
        <w:rPr>
          <w:rFonts w:ascii="仿宋_GB2312" w:eastAsia="仿宋_GB2312" w:hAnsi="仿宋_GB2312" w:cs="仿宋_GB2312" w:hint="eastAsia"/>
          <w:color w:val="auto"/>
          <w:kern w:val="2"/>
          <w:sz w:val="32"/>
          <w:szCs w:val="40"/>
        </w:rPr>
        <w:t>。市级方案于</w:t>
      </w:r>
      <w:r>
        <w:rPr>
          <w:rFonts w:ascii="仿宋_GB2312" w:eastAsia="仿宋_GB2312" w:hAnsi="仿宋_GB2312" w:cs="仿宋_GB2312" w:hint="eastAsia"/>
          <w:color w:val="auto"/>
          <w:kern w:val="2"/>
          <w:sz w:val="32"/>
          <w:szCs w:val="40"/>
        </w:rPr>
        <w:t>2025</w:t>
      </w:r>
      <w:r>
        <w:rPr>
          <w:rFonts w:ascii="仿宋_GB2312" w:eastAsia="仿宋_GB2312" w:hAnsi="仿宋_GB2312" w:cs="仿宋_GB2312" w:hint="eastAsia"/>
          <w:color w:val="auto"/>
          <w:kern w:val="2"/>
          <w:sz w:val="32"/>
          <w:szCs w:val="40"/>
        </w:rPr>
        <w:t>年</w:t>
      </w:r>
      <w:r>
        <w:rPr>
          <w:rFonts w:ascii="仿宋_GB2312" w:eastAsia="仿宋_GB2312" w:hAnsi="仿宋_GB2312" w:cs="仿宋_GB2312" w:hint="eastAsia"/>
          <w:color w:val="auto"/>
          <w:kern w:val="2"/>
          <w:sz w:val="32"/>
          <w:szCs w:val="40"/>
        </w:rPr>
        <w:t>6</w:t>
      </w:r>
      <w:r>
        <w:rPr>
          <w:rFonts w:ascii="仿宋_GB2312" w:eastAsia="仿宋_GB2312" w:hAnsi="仿宋_GB2312" w:cs="仿宋_GB2312" w:hint="eastAsia"/>
          <w:color w:val="auto"/>
          <w:kern w:val="2"/>
          <w:sz w:val="32"/>
          <w:szCs w:val="40"/>
        </w:rPr>
        <w:t>月</w:t>
      </w:r>
      <w:r>
        <w:rPr>
          <w:rFonts w:ascii="仿宋_GB2312" w:eastAsia="仿宋_GB2312" w:hAnsi="仿宋_GB2312" w:cs="仿宋_GB2312" w:hint="eastAsia"/>
          <w:color w:val="auto"/>
          <w:kern w:val="2"/>
          <w:sz w:val="32"/>
          <w:szCs w:val="40"/>
        </w:rPr>
        <w:t>25</w:t>
      </w:r>
      <w:r>
        <w:rPr>
          <w:rFonts w:ascii="仿宋_GB2312" w:eastAsia="仿宋_GB2312" w:hAnsi="仿宋_GB2312" w:cs="仿宋_GB2312" w:hint="eastAsia"/>
          <w:color w:val="auto"/>
          <w:kern w:val="2"/>
          <w:sz w:val="32"/>
          <w:szCs w:val="40"/>
        </w:rPr>
        <w:t>日正式印发，距备案截止日期较近，区市需在市级方案框架下细化编制本级方案，一定程度上影响了备案进度。</w:t>
      </w:r>
    </w:p>
    <w:p w:rsidR="00267EF2" w:rsidRDefault="00A312EF">
      <w:pPr>
        <w:pStyle w:val="20"/>
        <w:widowControl w:val="0"/>
        <w:spacing w:line="560" w:lineRule="exact"/>
        <w:ind w:firstLineChars="200" w:firstLine="643"/>
        <w:jc w:val="both"/>
        <w:rPr>
          <w:rFonts w:ascii="仿宋_GB2312" w:eastAsia="仿宋_GB2312" w:hAnsi="仿宋_GB2312" w:cs="仿宋_GB2312"/>
          <w:b/>
          <w:bCs/>
          <w:color w:val="auto"/>
          <w:kern w:val="2"/>
          <w:sz w:val="32"/>
          <w:szCs w:val="40"/>
        </w:rPr>
      </w:pPr>
      <w:r>
        <w:rPr>
          <w:rFonts w:ascii="仿宋_GB2312" w:eastAsia="仿宋_GB2312" w:hAnsi="仿宋_GB2312" w:cs="仿宋_GB2312" w:hint="eastAsia"/>
          <w:b/>
          <w:bCs/>
          <w:color w:val="auto"/>
          <w:kern w:val="2"/>
          <w:sz w:val="32"/>
          <w:szCs w:val="40"/>
        </w:rPr>
        <w:t>二是</w:t>
      </w:r>
      <w:r>
        <w:rPr>
          <w:rFonts w:ascii="仿宋_GB2312" w:eastAsia="仿宋_GB2312" w:hAnsi="仿宋_GB2312" w:cs="仿宋_GB2312" w:hint="eastAsia"/>
          <w:color w:val="auto"/>
          <w:kern w:val="2"/>
          <w:sz w:val="32"/>
          <w:szCs w:val="40"/>
        </w:rPr>
        <w:t>部分档案资料不完整，过程留痕不够规范。西海岸新区收购台账记录不够完整，部分运输车辆车牌号未记录，翻堆照片无水印日期。黄贮过程控制资料留存不完整。根据市级方案附件《玉米秸秆黄贮及黄贮窖池建设技术要求》，黄贮过程涉及秸秆切碎长度（≤</w:t>
      </w:r>
      <w:r>
        <w:rPr>
          <w:rFonts w:ascii="仿宋_GB2312" w:eastAsia="仿宋_GB2312" w:hAnsi="仿宋_GB2312" w:cs="仿宋_GB2312" w:hint="eastAsia"/>
          <w:color w:val="auto"/>
          <w:kern w:val="2"/>
          <w:sz w:val="32"/>
          <w:szCs w:val="40"/>
        </w:rPr>
        <w:t>5cm</w:t>
      </w:r>
      <w:r>
        <w:rPr>
          <w:rFonts w:ascii="仿宋_GB2312" w:eastAsia="仿宋_GB2312" w:hAnsi="仿宋_GB2312" w:cs="仿宋_GB2312" w:hint="eastAsia"/>
          <w:color w:val="auto"/>
          <w:kern w:val="2"/>
          <w:sz w:val="32"/>
          <w:szCs w:val="40"/>
        </w:rPr>
        <w:t>）、含水率（</w:t>
      </w:r>
      <w:r>
        <w:rPr>
          <w:rFonts w:ascii="仿宋_GB2312" w:eastAsia="仿宋_GB2312" w:hAnsi="仿宋_GB2312" w:cs="仿宋_GB2312" w:hint="eastAsia"/>
          <w:color w:val="auto"/>
          <w:kern w:val="2"/>
          <w:sz w:val="32"/>
          <w:szCs w:val="40"/>
        </w:rPr>
        <w:t>60%-70%</w:t>
      </w:r>
      <w:r>
        <w:rPr>
          <w:rFonts w:ascii="仿宋_GB2312" w:eastAsia="仿宋_GB2312" w:hAnsi="仿宋_GB2312" w:cs="仿宋_GB2312" w:hint="eastAsia"/>
          <w:color w:val="auto"/>
          <w:kern w:val="2"/>
          <w:sz w:val="32"/>
          <w:szCs w:val="40"/>
        </w:rPr>
        <w:t>）、</w:t>
      </w:r>
      <w:r>
        <w:rPr>
          <w:rFonts w:ascii="仿宋_GB2312" w:eastAsia="仿宋_GB2312" w:hAnsi="仿宋_GB2312" w:cs="仿宋_GB2312" w:hint="eastAsia"/>
          <w:color w:val="auto"/>
          <w:kern w:val="2"/>
          <w:sz w:val="32"/>
          <w:szCs w:val="40"/>
        </w:rPr>
        <w:lastRenderedPageBreak/>
        <w:t>发酵剂添加、装填压实、密封、发酵时间（</w:t>
      </w:r>
      <w:r>
        <w:rPr>
          <w:rFonts w:ascii="仿宋_GB2312" w:eastAsia="仿宋_GB2312" w:hAnsi="仿宋_GB2312" w:cs="仿宋_GB2312" w:hint="eastAsia"/>
          <w:color w:val="auto"/>
          <w:kern w:val="2"/>
          <w:sz w:val="32"/>
          <w:szCs w:val="40"/>
        </w:rPr>
        <w:t>40-60</w:t>
      </w:r>
      <w:r>
        <w:rPr>
          <w:rFonts w:ascii="仿宋_GB2312" w:eastAsia="仿宋_GB2312" w:hAnsi="仿宋_GB2312" w:cs="仿宋_GB2312" w:hint="eastAsia"/>
          <w:color w:val="auto"/>
          <w:kern w:val="2"/>
          <w:sz w:val="32"/>
          <w:szCs w:val="40"/>
        </w:rPr>
        <w:t>天）等技术要求，但即墨区和莱西市上述记录缺失，黄贮质量验收缺乏过程</w:t>
      </w:r>
      <w:r>
        <w:rPr>
          <w:rFonts w:ascii="仿宋_GB2312" w:eastAsia="仿宋_GB2312" w:hAnsi="仿宋_GB2312" w:cs="仿宋_GB2312" w:hint="eastAsia"/>
          <w:color w:val="auto"/>
          <w:kern w:val="2"/>
          <w:sz w:val="32"/>
          <w:szCs w:val="40"/>
        </w:rPr>
        <w:t>资料支撑。莱西市黄贮窖池工程变更与验收时间间隔较短。青岛普瑞纳奶牛养殖专业合作社黄贮窖池工程变更单日期为</w:t>
      </w:r>
      <w:r>
        <w:rPr>
          <w:rFonts w:ascii="仿宋_GB2312" w:eastAsia="仿宋_GB2312" w:hAnsi="仿宋_GB2312" w:cs="仿宋_GB2312" w:hint="eastAsia"/>
          <w:color w:val="auto"/>
          <w:kern w:val="2"/>
          <w:sz w:val="32"/>
          <w:szCs w:val="40"/>
        </w:rPr>
        <w:t>2025</w:t>
      </w:r>
      <w:r>
        <w:rPr>
          <w:rFonts w:ascii="仿宋_GB2312" w:eastAsia="仿宋_GB2312" w:hAnsi="仿宋_GB2312" w:cs="仿宋_GB2312" w:hint="eastAsia"/>
          <w:color w:val="auto"/>
          <w:kern w:val="2"/>
          <w:sz w:val="32"/>
          <w:szCs w:val="40"/>
        </w:rPr>
        <w:t>年</w:t>
      </w:r>
      <w:r>
        <w:rPr>
          <w:rFonts w:ascii="仿宋_GB2312" w:eastAsia="仿宋_GB2312" w:hAnsi="仿宋_GB2312" w:cs="仿宋_GB2312" w:hint="eastAsia"/>
          <w:color w:val="auto"/>
          <w:kern w:val="2"/>
          <w:sz w:val="32"/>
          <w:szCs w:val="40"/>
        </w:rPr>
        <w:t>10</w:t>
      </w:r>
      <w:r>
        <w:rPr>
          <w:rFonts w:ascii="仿宋_GB2312" w:eastAsia="仿宋_GB2312" w:hAnsi="仿宋_GB2312" w:cs="仿宋_GB2312" w:hint="eastAsia"/>
          <w:color w:val="auto"/>
          <w:kern w:val="2"/>
          <w:sz w:val="32"/>
          <w:szCs w:val="40"/>
        </w:rPr>
        <w:t>月</w:t>
      </w:r>
      <w:r>
        <w:rPr>
          <w:rFonts w:ascii="仿宋_GB2312" w:eastAsia="仿宋_GB2312" w:hAnsi="仿宋_GB2312" w:cs="仿宋_GB2312" w:hint="eastAsia"/>
          <w:color w:val="auto"/>
          <w:kern w:val="2"/>
          <w:sz w:val="32"/>
          <w:szCs w:val="40"/>
        </w:rPr>
        <w:t>5</w:t>
      </w:r>
      <w:r>
        <w:rPr>
          <w:rFonts w:ascii="仿宋_GB2312" w:eastAsia="仿宋_GB2312" w:hAnsi="仿宋_GB2312" w:cs="仿宋_GB2312" w:hint="eastAsia"/>
          <w:color w:val="auto"/>
          <w:kern w:val="2"/>
          <w:sz w:val="32"/>
          <w:szCs w:val="40"/>
        </w:rPr>
        <w:t>日，工程竣工验收表日期为</w:t>
      </w:r>
      <w:r>
        <w:rPr>
          <w:rFonts w:ascii="仿宋_GB2312" w:eastAsia="仿宋_GB2312" w:hAnsi="仿宋_GB2312" w:cs="仿宋_GB2312" w:hint="eastAsia"/>
          <w:color w:val="auto"/>
          <w:kern w:val="2"/>
          <w:sz w:val="32"/>
          <w:szCs w:val="40"/>
        </w:rPr>
        <w:t>2025</w:t>
      </w:r>
      <w:r>
        <w:rPr>
          <w:rFonts w:ascii="仿宋_GB2312" w:eastAsia="仿宋_GB2312" w:hAnsi="仿宋_GB2312" w:cs="仿宋_GB2312" w:hint="eastAsia"/>
          <w:color w:val="auto"/>
          <w:kern w:val="2"/>
          <w:sz w:val="32"/>
          <w:szCs w:val="40"/>
        </w:rPr>
        <w:t>年</w:t>
      </w:r>
      <w:r>
        <w:rPr>
          <w:rFonts w:ascii="仿宋_GB2312" w:eastAsia="仿宋_GB2312" w:hAnsi="仿宋_GB2312" w:cs="仿宋_GB2312" w:hint="eastAsia"/>
          <w:color w:val="auto"/>
          <w:kern w:val="2"/>
          <w:sz w:val="32"/>
          <w:szCs w:val="40"/>
        </w:rPr>
        <w:t>10</w:t>
      </w:r>
      <w:r>
        <w:rPr>
          <w:rFonts w:ascii="仿宋_GB2312" w:eastAsia="仿宋_GB2312" w:hAnsi="仿宋_GB2312" w:cs="仿宋_GB2312" w:hint="eastAsia"/>
          <w:color w:val="auto"/>
          <w:kern w:val="2"/>
          <w:sz w:val="32"/>
          <w:szCs w:val="40"/>
        </w:rPr>
        <w:t>月</w:t>
      </w:r>
      <w:r>
        <w:rPr>
          <w:rFonts w:ascii="仿宋_GB2312" w:eastAsia="仿宋_GB2312" w:hAnsi="仿宋_GB2312" w:cs="仿宋_GB2312" w:hint="eastAsia"/>
          <w:color w:val="auto"/>
          <w:kern w:val="2"/>
          <w:sz w:val="32"/>
          <w:szCs w:val="40"/>
        </w:rPr>
        <w:t>6</w:t>
      </w:r>
      <w:r>
        <w:rPr>
          <w:rFonts w:ascii="仿宋_GB2312" w:eastAsia="仿宋_GB2312" w:hAnsi="仿宋_GB2312" w:cs="仿宋_GB2312" w:hint="eastAsia"/>
          <w:color w:val="auto"/>
          <w:kern w:val="2"/>
          <w:sz w:val="32"/>
          <w:szCs w:val="40"/>
        </w:rPr>
        <w:t>日，两者相差</w:t>
      </w:r>
      <w:r>
        <w:rPr>
          <w:rFonts w:ascii="仿宋_GB2312" w:eastAsia="仿宋_GB2312" w:hAnsi="仿宋_GB2312" w:cs="仿宋_GB2312" w:hint="eastAsia"/>
          <w:color w:val="auto"/>
          <w:kern w:val="2"/>
          <w:sz w:val="32"/>
          <w:szCs w:val="40"/>
        </w:rPr>
        <w:t>1</w:t>
      </w:r>
      <w:r>
        <w:rPr>
          <w:rFonts w:ascii="仿宋_GB2312" w:eastAsia="仿宋_GB2312" w:hAnsi="仿宋_GB2312" w:cs="仿宋_GB2312" w:hint="eastAsia"/>
          <w:color w:val="auto"/>
          <w:kern w:val="2"/>
          <w:sz w:val="32"/>
          <w:szCs w:val="40"/>
        </w:rPr>
        <w:t>天。变更内容涉及增加挖土方、砌体、混凝土、钢筋、地面等多项工程量，变更与验收时间间隔较短。</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三是</w:t>
      </w:r>
      <w:r>
        <w:rPr>
          <w:rFonts w:ascii="仿宋_GB2312" w:eastAsia="仿宋_GB2312" w:hAnsi="仿宋_GB2312" w:cs="仿宋_GB2312" w:hint="eastAsia"/>
          <w:sz w:val="32"/>
          <w:szCs w:val="40"/>
        </w:rPr>
        <w:t>个别环节执行与合同和方案要求存在偏差</w:t>
      </w:r>
      <w:r>
        <w:rPr>
          <w:rFonts w:ascii="仿宋_GB2312" w:eastAsia="仿宋_GB2312" w:hAnsi="仿宋_GB2312" w:cs="仿宋_GB2312" w:hint="eastAsia"/>
          <w:sz w:val="32"/>
          <w:szCs w:val="40"/>
        </w:rPr>
        <w:t>。西海岸新区合同要求“一切涉及到的机具设备均有相关保险”，实施单位仅提供了部分拖拉机的保单，与作业机械统计表中登记的拖拉机数量差距较大，且保单日期晚于还田作业开始时间。堆肥翻抛频次方面，即墨区和莱西市合同均要求“堆体温度低于</w:t>
      </w:r>
      <w:r>
        <w:rPr>
          <w:rFonts w:ascii="仿宋_GB2312" w:eastAsia="仿宋_GB2312" w:hAnsi="仿宋_GB2312" w:cs="仿宋_GB2312" w:hint="eastAsia"/>
          <w:sz w:val="32"/>
          <w:szCs w:val="40"/>
        </w:rPr>
        <w:t>55</w:t>
      </w:r>
      <w:r>
        <w:rPr>
          <w:rFonts w:ascii="仿宋_GB2312" w:eastAsia="仿宋_GB2312" w:hAnsi="仿宋_GB2312" w:cs="仿宋_GB2312" w:hint="eastAsia"/>
          <w:sz w:val="32"/>
          <w:szCs w:val="40"/>
        </w:rPr>
        <w:t>℃以后，每</w:t>
      </w:r>
      <w:r>
        <w:rPr>
          <w:rFonts w:ascii="仿宋_GB2312" w:eastAsia="仿宋_GB2312" w:hAnsi="仿宋_GB2312" w:cs="仿宋_GB2312" w:hint="eastAsia"/>
          <w:sz w:val="32"/>
          <w:szCs w:val="40"/>
        </w:rPr>
        <w:t>7</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天翻抛一次”。根据即墨区第五批次发酵翻抛温度记录，</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22</w:t>
      </w:r>
      <w:r>
        <w:rPr>
          <w:rFonts w:ascii="仿宋_GB2312" w:eastAsia="仿宋_GB2312" w:hAnsi="仿宋_GB2312" w:cs="仿宋_GB2312" w:hint="eastAsia"/>
          <w:sz w:val="32"/>
          <w:szCs w:val="40"/>
        </w:rPr>
        <w:t>日翻抛后，下次翻抛时间为</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日；</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5</w:t>
      </w:r>
      <w:r>
        <w:rPr>
          <w:rFonts w:ascii="仿宋_GB2312" w:eastAsia="仿宋_GB2312" w:hAnsi="仿宋_GB2312" w:cs="仿宋_GB2312" w:hint="eastAsia"/>
          <w:sz w:val="32"/>
          <w:szCs w:val="40"/>
        </w:rPr>
        <w:t>日翻抛后，下次翻抛时间为</w:t>
      </w:r>
      <w:r>
        <w:rPr>
          <w:rFonts w:ascii="仿宋_GB2312" w:eastAsia="仿宋_GB2312" w:hAnsi="仿宋_GB2312" w:cs="仿宋_GB2312" w:hint="eastAsia"/>
          <w:sz w:val="32"/>
          <w:szCs w:val="40"/>
        </w:rPr>
        <w:t>1</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18</w:t>
      </w:r>
      <w:r>
        <w:rPr>
          <w:rFonts w:ascii="仿宋_GB2312" w:eastAsia="仿宋_GB2312" w:hAnsi="仿宋_GB2312" w:cs="仿宋_GB2312" w:hint="eastAsia"/>
          <w:sz w:val="32"/>
          <w:szCs w:val="40"/>
        </w:rPr>
        <w:t>日</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均超过合同约定时间</w:t>
      </w:r>
      <w:r>
        <w:rPr>
          <w:rFonts w:ascii="仿宋_GB2312" w:eastAsia="仿宋_GB2312" w:hAnsi="仿宋_GB2312" w:cs="仿宋_GB2312" w:hint="eastAsia"/>
          <w:sz w:val="32"/>
          <w:szCs w:val="40"/>
        </w:rPr>
        <w:t>。根据莱西市堆肥生产翻堆台账，</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12</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10</w:t>
      </w:r>
      <w:r>
        <w:rPr>
          <w:rFonts w:ascii="仿宋_GB2312" w:eastAsia="仿宋_GB2312" w:hAnsi="仿宋_GB2312" w:cs="仿宋_GB2312" w:hint="eastAsia"/>
          <w:sz w:val="32"/>
          <w:szCs w:val="40"/>
        </w:rPr>
        <w:t>日翻抛后，下次翻抛时间为</w:t>
      </w:r>
      <w:r>
        <w:rPr>
          <w:rFonts w:ascii="仿宋_GB2312" w:eastAsia="仿宋_GB2312" w:hAnsi="仿宋_GB2312" w:cs="仿宋_GB2312" w:hint="eastAsia"/>
          <w:sz w:val="32"/>
          <w:szCs w:val="40"/>
        </w:rPr>
        <w:t>2026</w:t>
      </w:r>
      <w:r>
        <w:rPr>
          <w:rFonts w:ascii="仿宋_GB2312" w:eastAsia="仿宋_GB2312" w:hAnsi="仿宋_GB2312" w:cs="仿宋_GB2312" w:hint="eastAsia"/>
          <w:sz w:val="32"/>
          <w:szCs w:val="40"/>
        </w:rPr>
        <w:t>年</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月</w:t>
      </w:r>
      <w:r>
        <w:rPr>
          <w:rFonts w:ascii="仿宋_GB2312" w:eastAsia="仿宋_GB2312" w:hAnsi="仿宋_GB2312" w:cs="仿宋_GB2312" w:hint="eastAsia"/>
          <w:sz w:val="32"/>
          <w:szCs w:val="40"/>
        </w:rPr>
        <w:t>6</w:t>
      </w:r>
      <w:r>
        <w:rPr>
          <w:rFonts w:ascii="仿宋_GB2312" w:eastAsia="仿宋_GB2312" w:hAnsi="仿宋_GB2312" w:cs="仿宋_GB2312" w:hint="eastAsia"/>
          <w:sz w:val="32"/>
          <w:szCs w:val="40"/>
        </w:rPr>
        <w:t>日，超过合同约定时间。</w:t>
      </w:r>
      <w:r>
        <w:rPr>
          <w:rFonts w:ascii="仿宋_GB2312" w:eastAsia="仿宋_GB2312" w:hAnsi="仿宋_GB2312" w:cs="仿宋_GB2312" w:hint="eastAsia"/>
          <w:sz w:val="32"/>
          <w:szCs w:val="40"/>
        </w:rPr>
        <w:t>莱西市黄贮窖池验收资料与方案技术要求存在偏差。市级方案要求黄贮窖池建设应满足选址、窖型、窖壁（厚度≥</w:t>
      </w:r>
      <w:r>
        <w:rPr>
          <w:rFonts w:ascii="仿宋_GB2312" w:eastAsia="仿宋_GB2312" w:hAnsi="仿宋_GB2312" w:cs="仿宋_GB2312" w:hint="eastAsia"/>
          <w:sz w:val="32"/>
          <w:szCs w:val="40"/>
        </w:rPr>
        <w:t>0.3m</w:t>
      </w:r>
      <w:r>
        <w:rPr>
          <w:rFonts w:ascii="仿宋_GB2312" w:eastAsia="仿宋_GB2312" w:hAnsi="仿宋_GB2312" w:cs="仿宋_GB2312" w:hint="eastAsia"/>
          <w:sz w:val="32"/>
          <w:szCs w:val="40"/>
        </w:rPr>
        <w:t>）、窖底（厚度≥</w:t>
      </w:r>
      <w:r>
        <w:rPr>
          <w:rFonts w:ascii="仿宋_GB2312" w:eastAsia="仿宋_GB2312" w:hAnsi="仿宋_GB2312" w:cs="仿宋_GB2312" w:hint="eastAsia"/>
          <w:sz w:val="32"/>
          <w:szCs w:val="40"/>
        </w:rPr>
        <w:t>0.15m</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3-5</w:t>
      </w:r>
      <w:r>
        <w:rPr>
          <w:rFonts w:ascii="仿宋_GB2312" w:eastAsia="仿宋_GB2312" w:hAnsi="仿宋_GB2312" w:cs="仿宋_GB2312" w:hint="eastAsia"/>
          <w:sz w:val="32"/>
          <w:szCs w:val="40"/>
        </w:rPr>
        <w:t>‰坡度）、容积（高度</w:t>
      </w:r>
      <w:r>
        <w:rPr>
          <w:rFonts w:ascii="仿宋_GB2312" w:eastAsia="仿宋_GB2312" w:hAnsi="仿宋_GB2312" w:cs="仿宋_GB2312" w:hint="eastAsia"/>
          <w:sz w:val="32"/>
          <w:szCs w:val="40"/>
        </w:rPr>
        <w:t>3m</w:t>
      </w:r>
      <w:r>
        <w:rPr>
          <w:rFonts w:ascii="仿宋_GB2312" w:eastAsia="仿宋_GB2312" w:hAnsi="仿宋_GB2312" w:cs="仿宋_GB2312" w:hint="eastAsia"/>
          <w:sz w:val="32"/>
          <w:szCs w:val="40"/>
        </w:rPr>
        <w:t>左右）、排水（断面尺寸≥</w:t>
      </w:r>
      <w:r>
        <w:rPr>
          <w:rFonts w:ascii="仿宋_GB2312" w:eastAsia="仿宋_GB2312" w:hAnsi="仿宋_GB2312" w:cs="仿宋_GB2312" w:hint="eastAsia"/>
          <w:sz w:val="32"/>
          <w:szCs w:val="40"/>
        </w:rPr>
        <w:t>30cm</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30cm</w:t>
      </w:r>
      <w:r>
        <w:rPr>
          <w:rFonts w:ascii="仿宋_GB2312" w:eastAsia="仿宋_GB2312" w:hAnsi="仿宋_GB2312" w:cs="仿宋_GB2312" w:hint="eastAsia"/>
          <w:sz w:val="32"/>
          <w:szCs w:val="40"/>
        </w:rPr>
        <w:t>）等多项技术要求。根据莱西市提供的资料，益农和强牛窖池高度分别约</w:t>
      </w:r>
      <w:r>
        <w:rPr>
          <w:rFonts w:ascii="仿宋_GB2312" w:eastAsia="仿宋_GB2312" w:hAnsi="仿宋_GB2312" w:cs="仿宋_GB2312" w:hint="eastAsia"/>
          <w:sz w:val="32"/>
          <w:szCs w:val="40"/>
        </w:rPr>
        <w:t>2.5</w:t>
      </w:r>
      <w:r>
        <w:rPr>
          <w:rFonts w:ascii="仿宋_GB2312" w:eastAsia="仿宋_GB2312" w:hAnsi="仿宋_GB2312" w:cs="仿宋_GB2312" w:hint="eastAsia"/>
          <w:sz w:val="32"/>
          <w:szCs w:val="40"/>
        </w:rPr>
        <w:t>米和</w:t>
      </w:r>
      <w:r>
        <w:rPr>
          <w:rFonts w:ascii="仿宋_GB2312" w:eastAsia="仿宋_GB2312" w:hAnsi="仿宋_GB2312" w:cs="仿宋_GB2312" w:hint="eastAsia"/>
          <w:sz w:val="32"/>
          <w:szCs w:val="40"/>
        </w:rPr>
        <w:t>2</w:t>
      </w:r>
      <w:r>
        <w:rPr>
          <w:rFonts w:ascii="仿宋_GB2312" w:eastAsia="仿宋_GB2312" w:hAnsi="仿宋_GB2312" w:cs="仿宋_GB2312" w:hint="eastAsia"/>
          <w:sz w:val="32"/>
          <w:szCs w:val="40"/>
        </w:rPr>
        <w:t>米，与市级方案“高度控制在</w:t>
      </w:r>
      <w:r>
        <w:rPr>
          <w:rFonts w:ascii="仿宋_GB2312" w:eastAsia="仿宋_GB2312" w:hAnsi="仿宋_GB2312" w:cs="仿宋_GB2312" w:hint="eastAsia"/>
          <w:sz w:val="32"/>
          <w:szCs w:val="40"/>
        </w:rPr>
        <w:t>3</w:t>
      </w:r>
      <w:r>
        <w:rPr>
          <w:rFonts w:ascii="仿宋_GB2312" w:eastAsia="仿宋_GB2312" w:hAnsi="仿宋_GB2312" w:cs="仿宋_GB2312" w:hint="eastAsia"/>
          <w:sz w:val="32"/>
          <w:szCs w:val="40"/>
        </w:rPr>
        <w:t>米左右”</w:t>
      </w:r>
      <w:r>
        <w:rPr>
          <w:rFonts w:ascii="仿宋_GB2312" w:eastAsia="仿宋_GB2312" w:hAnsi="仿宋_GB2312" w:cs="仿宋_GB2312" w:hint="eastAsia"/>
          <w:sz w:val="32"/>
          <w:szCs w:val="40"/>
        </w:rPr>
        <w:lastRenderedPageBreak/>
        <w:t>的技术要求存在出入；同时，排水沟、钢筋配置等部分技术指标的验收资料不够完整。</w:t>
      </w:r>
    </w:p>
    <w:p w:rsidR="00267EF2" w:rsidRDefault="00A312EF">
      <w:pPr>
        <w:spacing w:line="560" w:lineRule="exact"/>
        <w:ind w:firstLineChars="200" w:firstLine="640"/>
        <w:rPr>
          <w:rFonts w:ascii="Times New Roman" w:eastAsia="楷体_GB2312" w:hAnsi="Times New Roman" w:cs="Times New Roman"/>
          <w:sz w:val="32"/>
          <w:szCs w:val="40"/>
        </w:rPr>
      </w:pPr>
      <w:r>
        <w:rPr>
          <w:rFonts w:ascii="Times New Roman" w:eastAsia="楷体_GB2312" w:hAnsi="Times New Roman" w:cs="Times New Roman" w:hint="eastAsia"/>
          <w:sz w:val="32"/>
          <w:szCs w:val="40"/>
        </w:rPr>
        <w:t>（五）收储运体系建设推进力度不足，农户离田渠道不畅</w:t>
      </w:r>
    </w:p>
    <w:p w:rsidR="00267EF2" w:rsidRDefault="00A312EF">
      <w:pPr>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根据《秸秆收储运体系建设规范》（</w:t>
      </w:r>
      <w:r>
        <w:rPr>
          <w:rFonts w:ascii="仿宋_GB2312" w:eastAsia="仿宋_GB2312" w:hAnsi="仿宋_GB2312" w:cs="仿宋_GB2312" w:hint="eastAsia"/>
          <w:sz w:val="32"/>
          <w:szCs w:val="40"/>
        </w:rPr>
        <w:t>GB/T 42118-2022</w:t>
      </w:r>
      <w:r>
        <w:rPr>
          <w:rFonts w:ascii="仿宋_GB2312" w:eastAsia="仿宋_GB2312" w:hAnsi="仿宋_GB2312" w:cs="仿宋_GB2312" w:hint="eastAsia"/>
          <w:sz w:val="32"/>
          <w:szCs w:val="40"/>
        </w:rPr>
        <w:t>），秸秆收储运体系由秸秆收集系统、秸秆存储系统和秸秆运输系统三个子系统构成。规范要求：一是具有满足区域内秸秆收集需求的专业化收集队伍和装备；二是具备可以满足区域内秸秆存储的固定存储场地；三是具有专业化转运设备和运输队伍；四是具有一支专业化的收储运体系运行管理团队，负责收储运三个系统的运行协调。同时，根据《青岛市</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年农作物秸秆综合利用重点县建设实施方案》（青农计财字〔</w:t>
      </w:r>
      <w:r>
        <w:rPr>
          <w:rFonts w:ascii="仿宋_GB2312" w:eastAsia="仿宋_GB2312" w:hAnsi="仿宋_GB2312" w:cs="仿宋_GB2312" w:hint="eastAsia"/>
          <w:sz w:val="32"/>
          <w:szCs w:val="40"/>
        </w:rPr>
        <w:t>2025</w:t>
      </w:r>
      <w:r>
        <w:rPr>
          <w:rFonts w:ascii="仿宋_GB2312" w:eastAsia="仿宋_GB2312" w:hAnsi="仿宋_GB2312" w:cs="仿宋_GB2312" w:hint="eastAsia"/>
          <w:sz w:val="32"/>
          <w:szCs w:val="40"/>
        </w:rPr>
        <w:t>〕</w:t>
      </w:r>
      <w:r>
        <w:rPr>
          <w:rFonts w:ascii="仿宋_GB2312" w:eastAsia="仿宋_GB2312" w:hAnsi="仿宋_GB2312" w:cs="仿宋_GB2312" w:hint="eastAsia"/>
          <w:sz w:val="32"/>
          <w:szCs w:val="40"/>
        </w:rPr>
        <w:t>31</w:t>
      </w:r>
      <w:r>
        <w:rPr>
          <w:rFonts w:ascii="仿宋_GB2312" w:eastAsia="仿宋_GB2312" w:hAnsi="仿宋_GB2312" w:cs="仿宋_GB2312" w:hint="eastAsia"/>
          <w:sz w:val="32"/>
          <w:szCs w:val="40"/>
        </w:rPr>
        <w:t>号），应“依托农事服务中心或农机合作社，布局建设秸秆收储中心或收储点，提高收储供应能力”。评价发现，</w:t>
      </w:r>
      <w:r>
        <w:rPr>
          <w:rFonts w:ascii="仿宋_GB2312" w:eastAsia="仿宋_GB2312" w:hAnsi="仿宋_GB2312" w:cs="仿宋_GB2312" w:hint="eastAsia"/>
          <w:sz w:val="32"/>
          <w:szCs w:val="40"/>
        </w:rPr>
        <w:t>收储运体系建设方面，</w:t>
      </w:r>
      <w:r>
        <w:rPr>
          <w:rFonts w:ascii="仿宋_GB2312" w:eastAsia="仿宋_GB2312" w:hAnsi="仿宋_GB2312" w:cs="仿宋_GB2312" w:hint="eastAsia"/>
          <w:sz w:val="32"/>
          <w:szCs w:val="40"/>
        </w:rPr>
        <w:t>三区（市）均依托既有企业作为收储运主体，配备了秸秆收集打包机具及运输车辆，基本具备收集能力，但收储范围主要覆盖规模化种植区域，普通散户秸秆离田渠道不畅。三区（市）暂存点布局尚不完善，对推动全市收储运体系建设作用发挥不明显。</w:t>
      </w:r>
    </w:p>
    <w:p w:rsidR="00267EF2" w:rsidRDefault="00A312EF">
      <w:pPr>
        <w:pStyle w:val="1"/>
        <w:keepNext w:val="0"/>
        <w:keepLines w:val="0"/>
        <w:widowControl w:val="0"/>
        <w:spacing w:before="0" w:after="0" w:line="560" w:lineRule="exact"/>
        <w:ind w:firstLine="640"/>
        <w:jc w:val="both"/>
        <w:rPr>
          <w:bCs w:val="0"/>
          <w:color w:val="auto"/>
          <w:kern w:val="2"/>
          <w:sz w:val="32"/>
          <w:szCs w:val="32"/>
          <w:lang w:val="en-US"/>
        </w:rPr>
      </w:pPr>
      <w:bookmarkStart w:id="15" w:name="_Toc9769"/>
      <w:r>
        <w:rPr>
          <w:rFonts w:hint="eastAsia"/>
          <w:bCs w:val="0"/>
          <w:color w:val="auto"/>
          <w:kern w:val="2"/>
          <w:sz w:val="32"/>
          <w:szCs w:val="32"/>
          <w:lang w:val="en-US"/>
        </w:rPr>
        <w:t>六、相关建议</w:t>
      </w:r>
      <w:bookmarkEnd w:id="15"/>
    </w:p>
    <w:p w:rsidR="00267EF2" w:rsidRDefault="00A312EF">
      <w:pPr>
        <w:spacing w:line="560" w:lineRule="exact"/>
        <w:ind w:firstLineChars="200" w:firstLine="640"/>
        <w:rPr>
          <w:rFonts w:ascii="Times New Roman" w:eastAsia="楷体_GB2312" w:hAnsi="Times New Roman" w:cs="Times New Roman"/>
          <w:sz w:val="32"/>
          <w:szCs w:val="40"/>
        </w:rPr>
      </w:pPr>
      <w:r>
        <w:rPr>
          <w:rFonts w:ascii="Times New Roman" w:eastAsia="楷体_GB2312" w:hAnsi="Times New Roman" w:cs="Times New Roman" w:hint="eastAsia"/>
          <w:sz w:val="32"/>
          <w:szCs w:val="40"/>
        </w:rPr>
        <w:t>（一）严格落实合同付款约定，加快预算执行进度</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一是</w:t>
      </w:r>
      <w:r>
        <w:rPr>
          <w:rFonts w:ascii="仿宋_GB2312" w:eastAsia="仿宋_GB2312" w:hAnsi="仿宋_GB2312" w:cs="仿宋_GB2312" w:hint="eastAsia"/>
          <w:sz w:val="32"/>
          <w:szCs w:val="40"/>
        </w:rPr>
        <w:t>严格落实合同约定的付款条款。西海岸新区和即墨区合同中虽有预付款条款，但实际均未按约定执行；莱西市合同以“财政拨款时间为准”，未约定具体付款时限。建议</w:t>
      </w:r>
      <w:r>
        <w:rPr>
          <w:rFonts w:ascii="仿宋_GB2312" w:eastAsia="仿宋_GB2312" w:hAnsi="仿宋_GB2312" w:cs="仿宋_GB2312" w:hint="eastAsia"/>
          <w:sz w:val="32"/>
          <w:szCs w:val="40"/>
        </w:rPr>
        <w:lastRenderedPageBreak/>
        <w:t>各区（市）统一在合同中明确约定预付款比例和付款时限，同步明确违约责任，增强合</w:t>
      </w:r>
      <w:r>
        <w:rPr>
          <w:rFonts w:ascii="仿宋_GB2312" w:eastAsia="仿宋_GB2312" w:hAnsi="仿宋_GB2312" w:cs="仿宋_GB2312" w:hint="eastAsia"/>
          <w:sz w:val="32"/>
          <w:szCs w:val="40"/>
        </w:rPr>
        <w:t>同约束力，确保合同约定的付款条款有效执行。</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二是</w:t>
      </w:r>
      <w:r>
        <w:rPr>
          <w:rFonts w:ascii="仿宋_GB2312" w:eastAsia="仿宋_GB2312" w:hAnsi="仿宋_GB2312" w:cs="仿宋_GB2312" w:hint="eastAsia"/>
          <w:sz w:val="32"/>
          <w:szCs w:val="40"/>
        </w:rPr>
        <w:t>加快预算执行进度。建议各区（市）加快推进项目建设及验收工作，项目完成后按照合同约定和进度及时拨付资金。</w:t>
      </w:r>
    </w:p>
    <w:p w:rsidR="00267EF2" w:rsidRDefault="00A312EF">
      <w:pPr>
        <w:spacing w:line="560" w:lineRule="exact"/>
        <w:ind w:firstLineChars="200" w:firstLine="640"/>
        <w:rPr>
          <w:rFonts w:ascii="Times New Roman" w:eastAsia="楷体_GB2312" w:hAnsi="Times New Roman" w:cs="Times New Roman"/>
          <w:sz w:val="32"/>
          <w:szCs w:val="40"/>
        </w:rPr>
      </w:pPr>
      <w:r>
        <w:rPr>
          <w:rFonts w:ascii="Times New Roman" w:eastAsia="楷体_GB2312" w:hAnsi="Times New Roman" w:cs="Times New Roman" w:hint="eastAsia"/>
          <w:sz w:val="32"/>
          <w:szCs w:val="40"/>
        </w:rPr>
        <w:t>（</w:t>
      </w:r>
      <w:r>
        <w:rPr>
          <w:rFonts w:ascii="Times New Roman" w:eastAsia="楷体_GB2312" w:hAnsi="Times New Roman" w:cs="Times New Roman" w:hint="eastAsia"/>
          <w:sz w:val="32"/>
          <w:szCs w:val="40"/>
        </w:rPr>
        <w:t>二</w:t>
      </w:r>
      <w:r>
        <w:rPr>
          <w:rFonts w:ascii="Times New Roman" w:eastAsia="楷体_GB2312" w:hAnsi="Times New Roman" w:cs="Times New Roman" w:hint="eastAsia"/>
          <w:sz w:val="32"/>
          <w:szCs w:val="40"/>
        </w:rPr>
        <w:t>）</w:t>
      </w:r>
      <w:r>
        <w:rPr>
          <w:rFonts w:ascii="Times New Roman" w:eastAsia="楷体_GB2312" w:hAnsi="Times New Roman" w:cs="Times New Roman" w:hint="eastAsia"/>
          <w:sz w:val="32"/>
          <w:szCs w:val="40"/>
        </w:rPr>
        <w:t>推进各项目标任务按时完成</w:t>
      </w:r>
      <w:r>
        <w:rPr>
          <w:rFonts w:ascii="Times New Roman" w:eastAsia="楷体_GB2312" w:hAnsi="Times New Roman" w:cs="Times New Roman" w:hint="eastAsia"/>
          <w:sz w:val="32"/>
          <w:szCs w:val="40"/>
        </w:rPr>
        <w:t>，加强过程监控</w:t>
      </w:r>
      <w:r>
        <w:rPr>
          <w:rFonts w:ascii="Times New Roman" w:eastAsia="楷体_GB2312" w:hAnsi="Times New Roman" w:cs="Times New Roman" w:hint="eastAsia"/>
          <w:sz w:val="32"/>
          <w:szCs w:val="40"/>
        </w:rPr>
        <w:t>纠偏</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一是</w:t>
      </w:r>
      <w:r>
        <w:rPr>
          <w:rFonts w:ascii="仿宋_GB2312" w:eastAsia="仿宋_GB2312" w:hAnsi="仿宋_GB2312" w:cs="仿宋_GB2312" w:hint="eastAsia"/>
          <w:sz w:val="32"/>
          <w:szCs w:val="40"/>
        </w:rPr>
        <w:t>科学合理确定目标任务。建议</w:t>
      </w:r>
      <w:r>
        <w:rPr>
          <w:rFonts w:ascii="仿宋_GB2312" w:eastAsia="仿宋_GB2312" w:hAnsi="仿宋_GB2312" w:cs="仿宋_GB2312" w:hint="eastAsia"/>
          <w:sz w:val="32"/>
          <w:szCs w:val="40"/>
        </w:rPr>
        <w:t>区（市）</w:t>
      </w:r>
      <w:r>
        <w:rPr>
          <w:rFonts w:ascii="仿宋_GB2312" w:eastAsia="仿宋_GB2312" w:hAnsi="仿宋_GB2312" w:cs="仿宋_GB2312" w:hint="eastAsia"/>
          <w:sz w:val="32"/>
          <w:szCs w:val="40"/>
        </w:rPr>
        <w:t>在后续项目申报前，对各养殖主体实际收储能力、秸秆资源分布和市场需求进行全面摸底调查，在充分掌握实际情况的基础上合理确定目标任务，确保任务目标与实施能力相匹配。对于确需完成的任务，应通过增加遴选主体数量、扩大收储范围或分区域实施等方式，保障目标可达性。</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二是</w:t>
      </w:r>
      <w:r>
        <w:rPr>
          <w:rFonts w:ascii="仿宋_GB2312" w:eastAsia="仿宋_GB2312" w:hAnsi="仿宋_GB2312" w:cs="仿宋_GB2312" w:hint="eastAsia"/>
          <w:sz w:val="32"/>
          <w:szCs w:val="40"/>
        </w:rPr>
        <w:t>建立极端天气快速响应机制。建议各区（市）在项目实施过程中建立气象预警与项目调度的联动机制，遇极端天气可能影响任务完成时，应在影响发生后及时研判并启动资金调剂或方案调整程序，避免拖到任务截止前才被动应对。同时，在方案制定阶段应充分考虑极端天气等不确定因素，预留一定的弹性空间。建议加快调剂后项目的实施进度，确保调整后的堆肥任务按期完成。后续项目应充分考虑小麦秸秆收储窗口期短、农户就地还田比例高等实际因素，科学评估秸秆可收集量，合理确定目标任务，避免因资源不足导致任务无法完成。</w:t>
      </w:r>
    </w:p>
    <w:p w:rsidR="00267EF2" w:rsidRDefault="00A312EF">
      <w:pPr>
        <w:spacing w:line="560" w:lineRule="exact"/>
        <w:ind w:firstLineChars="200" w:firstLine="643"/>
        <w:rPr>
          <w:rFonts w:ascii="仿宋_GB2312" w:eastAsia="仿宋_GB2312" w:hAnsi="仿宋_GB2312" w:cs="仿宋_GB2312"/>
          <w:sz w:val="32"/>
          <w:szCs w:val="40"/>
        </w:rPr>
      </w:pPr>
      <w:r>
        <w:rPr>
          <w:rFonts w:ascii="仿宋_GB2312" w:eastAsia="仿宋_GB2312" w:hAnsi="仿宋_GB2312" w:cs="仿宋_GB2312" w:hint="eastAsia"/>
          <w:b/>
          <w:bCs/>
          <w:sz w:val="32"/>
          <w:szCs w:val="40"/>
        </w:rPr>
        <w:t>三是</w:t>
      </w:r>
      <w:r>
        <w:rPr>
          <w:rFonts w:ascii="仿宋_GB2312" w:eastAsia="仿宋_GB2312" w:hAnsi="仿宋_GB2312" w:cs="仿宋_GB2312" w:hint="eastAsia"/>
          <w:sz w:val="32"/>
          <w:szCs w:val="40"/>
        </w:rPr>
        <w:t>严格执行项目验收时限。建议各区</w:t>
      </w:r>
      <w:r>
        <w:rPr>
          <w:rFonts w:ascii="仿宋_GB2312" w:eastAsia="仿宋_GB2312" w:hAnsi="仿宋_GB2312" w:cs="仿宋_GB2312" w:hint="eastAsia"/>
          <w:sz w:val="32"/>
          <w:szCs w:val="40"/>
        </w:rPr>
        <w:t>（市）严格按照</w:t>
      </w:r>
      <w:r>
        <w:rPr>
          <w:rFonts w:ascii="仿宋_GB2312" w:eastAsia="仿宋_GB2312" w:hAnsi="仿宋_GB2312" w:cs="仿宋_GB2312" w:hint="eastAsia"/>
          <w:sz w:val="32"/>
          <w:szCs w:val="40"/>
        </w:rPr>
        <w:lastRenderedPageBreak/>
        <w:t>方案规定的时间节点组织验收，确需延期的应在到期前向主管部门书面报告并说明原因，未经批准不得擅自延期。对于因极端天气等不可抗力因素确实无法按期完成的任务，应及时启动资金调剂或方案调整程序，确保项目整体有序推进。</w:t>
      </w:r>
    </w:p>
    <w:p w:rsidR="00267EF2" w:rsidRDefault="00A312EF">
      <w:pPr>
        <w:spacing w:line="560" w:lineRule="exact"/>
        <w:ind w:firstLineChars="200" w:firstLine="640"/>
        <w:rPr>
          <w:rFonts w:ascii="仿宋_GB2312" w:eastAsia="仿宋_GB2312" w:hAnsi="仿宋_GB2312" w:cs="仿宋_GB2312"/>
          <w:sz w:val="32"/>
          <w:szCs w:val="40"/>
        </w:rPr>
      </w:pPr>
      <w:r>
        <w:rPr>
          <w:rFonts w:ascii="Times New Roman" w:eastAsia="楷体_GB2312" w:hAnsi="Times New Roman" w:cs="Times New Roman" w:hint="eastAsia"/>
          <w:sz w:val="32"/>
          <w:szCs w:val="40"/>
        </w:rPr>
        <w:t>（三）</w:t>
      </w:r>
      <w:r>
        <w:rPr>
          <w:rFonts w:ascii="Times New Roman" w:eastAsia="楷体_GB2312" w:hAnsi="Times New Roman" w:cs="Times New Roman" w:hint="eastAsia"/>
          <w:sz w:val="32"/>
          <w:szCs w:val="40"/>
        </w:rPr>
        <w:t>细化补助标准测算，统一还田作业标准</w:t>
      </w:r>
    </w:p>
    <w:p w:rsidR="00267EF2" w:rsidRDefault="00A312EF">
      <w:pPr>
        <w:pStyle w:val="20"/>
        <w:widowControl w:val="0"/>
        <w:spacing w:line="560" w:lineRule="exact"/>
        <w:ind w:firstLineChars="200" w:firstLine="643"/>
        <w:jc w:val="both"/>
        <w:rPr>
          <w:rFonts w:ascii="仿宋_GB2312" w:eastAsia="仿宋_GB2312" w:hAnsi="仿宋_GB2312" w:cs="仿宋_GB2312"/>
          <w:color w:val="auto"/>
          <w:kern w:val="2"/>
          <w:sz w:val="32"/>
          <w:szCs w:val="40"/>
        </w:rPr>
      </w:pPr>
      <w:r>
        <w:rPr>
          <w:rFonts w:ascii="仿宋_GB2312" w:eastAsia="仿宋_GB2312" w:hAnsi="仿宋_GB2312" w:cs="仿宋_GB2312" w:hint="eastAsia"/>
          <w:b/>
          <w:bCs/>
          <w:color w:val="auto"/>
          <w:kern w:val="2"/>
          <w:sz w:val="32"/>
          <w:szCs w:val="40"/>
        </w:rPr>
        <w:t>一是</w:t>
      </w:r>
      <w:r>
        <w:rPr>
          <w:rFonts w:ascii="仿宋_GB2312" w:eastAsia="仿宋_GB2312" w:hAnsi="仿宋_GB2312" w:cs="仿宋_GB2312" w:hint="eastAsia"/>
          <w:color w:val="auto"/>
          <w:kern w:val="2"/>
          <w:sz w:val="32"/>
          <w:szCs w:val="40"/>
        </w:rPr>
        <w:t>建议</w:t>
      </w:r>
      <w:r>
        <w:rPr>
          <w:rFonts w:ascii="仿宋_GB2312" w:eastAsia="仿宋_GB2312" w:hAnsi="仿宋_GB2312" w:cs="仿宋_GB2312" w:hint="eastAsia"/>
          <w:color w:val="auto"/>
          <w:kern w:val="2"/>
          <w:sz w:val="32"/>
          <w:szCs w:val="40"/>
        </w:rPr>
        <w:t>部门</w:t>
      </w:r>
      <w:r>
        <w:rPr>
          <w:rFonts w:ascii="仿宋_GB2312" w:eastAsia="仿宋_GB2312" w:hAnsi="仿宋_GB2312" w:cs="仿宋_GB2312" w:hint="eastAsia"/>
          <w:color w:val="auto"/>
          <w:kern w:val="2"/>
          <w:sz w:val="32"/>
          <w:szCs w:val="40"/>
        </w:rPr>
        <w:t>结合青岛市实际收储运成本和有机肥销售收入</w:t>
      </w:r>
      <w:r>
        <w:rPr>
          <w:rFonts w:ascii="仿宋_GB2312" w:eastAsia="仿宋_GB2312" w:hAnsi="仿宋_GB2312" w:cs="仿宋_GB2312" w:hint="eastAsia"/>
          <w:color w:val="auto"/>
          <w:kern w:val="2"/>
          <w:sz w:val="32"/>
          <w:szCs w:val="40"/>
        </w:rPr>
        <w:t>等</w:t>
      </w:r>
      <w:r>
        <w:rPr>
          <w:rFonts w:ascii="仿宋_GB2312" w:eastAsia="仿宋_GB2312" w:hAnsi="仿宋_GB2312" w:cs="仿宋_GB2312" w:hint="eastAsia"/>
          <w:color w:val="auto"/>
          <w:kern w:val="2"/>
          <w:sz w:val="32"/>
          <w:szCs w:val="40"/>
        </w:rPr>
        <w:t>情况，</w:t>
      </w:r>
      <w:r>
        <w:rPr>
          <w:rFonts w:ascii="仿宋_GB2312" w:eastAsia="仿宋_GB2312" w:hAnsi="仿宋_GB2312" w:cs="仿宋_GB2312" w:hint="eastAsia"/>
          <w:color w:val="auto"/>
          <w:kern w:val="2"/>
          <w:sz w:val="32"/>
          <w:szCs w:val="40"/>
        </w:rPr>
        <w:t>开展事前调研论证，精准</w:t>
      </w:r>
      <w:r>
        <w:rPr>
          <w:rFonts w:ascii="仿宋_GB2312" w:eastAsia="仿宋_GB2312" w:hAnsi="仿宋_GB2312" w:cs="仿宋_GB2312" w:hint="eastAsia"/>
          <w:color w:val="auto"/>
          <w:kern w:val="2"/>
          <w:sz w:val="32"/>
          <w:szCs w:val="40"/>
        </w:rPr>
        <w:t>测算各利用类型补助标准，确保补助标准与实际生产成本相匹配，避免财政资金超额补贴，保障实施主体的合理利润空间。建议对各利用类型补助标准进行统筹平衡，综合考虑各利用类型的技术难度、生产成本、市场价值和生态效益，建立各利用类型之间相对合理的比价关系。补助标准的调整应经过专家评审、</w:t>
      </w:r>
      <w:r>
        <w:rPr>
          <w:rFonts w:ascii="仿宋_GB2312" w:eastAsia="仿宋_GB2312" w:hAnsi="仿宋_GB2312" w:cs="仿宋_GB2312" w:hint="eastAsia"/>
          <w:color w:val="auto"/>
          <w:kern w:val="2"/>
          <w:sz w:val="32"/>
          <w:szCs w:val="40"/>
        </w:rPr>
        <w:t>会议</w:t>
      </w:r>
      <w:r>
        <w:rPr>
          <w:rFonts w:ascii="仿宋_GB2312" w:eastAsia="仿宋_GB2312" w:hAnsi="仿宋_GB2312" w:cs="仿宋_GB2312" w:hint="eastAsia"/>
          <w:color w:val="auto"/>
          <w:kern w:val="2"/>
          <w:sz w:val="32"/>
          <w:szCs w:val="40"/>
        </w:rPr>
        <w:t>等相关决策程序</w:t>
      </w:r>
      <w:r>
        <w:rPr>
          <w:rFonts w:ascii="仿宋_GB2312" w:eastAsia="仿宋_GB2312" w:hAnsi="仿宋_GB2312" w:cs="仿宋_GB2312" w:hint="eastAsia"/>
          <w:color w:val="auto"/>
          <w:kern w:val="2"/>
          <w:sz w:val="32"/>
          <w:szCs w:val="40"/>
        </w:rPr>
        <w:t>，</w:t>
      </w:r>
      <w:r>
        <w:rPr>
          <w:rFonts w:ascii="仿宋_GB2312" w:eastAsia="仿宋_GB2312" w:hAnsi="仿宋_GB2312" w:cs="仿宋_GB2312" w:hint="eastAsia"/>
          <w:color w:val="auto"/>
          <w:kern w:val="2"/>
          <w:sz w:val="32"/>
          <w:szCs w:val="40"/>
        </w:rPr>
        <w:t>同时，根据市场行情变化和项目实施效果，定期对补助标准进行评估和动态调整，逐步优化财政资金配置。</w:t>
      </w:r>
    </w:p>
    <w:p w:rsidR="00267EF2" w:rsidRDefault="00A312EF">
      <w:pPr>
        <w:pStyle w:val="20"/>
        <w:widowControl w:val="0"/>
        <w:spacing w:line="560" w:lineRule="exact"/>
        <w:ind w:firstLineChars="200" w:firstLine="643"/>
        <w:jc w:val="both"/>
        <w:rPr>
          <w:rFonts w:ascii="仿宋_GB2312" w:eastAsia="仿宋_GB2312" w:hAnsi="仿宋_GB2312" w:cs="仿宋_GB2312"/>
          <w:color w:val="auto"/>
          <w:kern w:val="2"/>
          <w:sz w:val="32"/>
          <w:szCs w:val="40"/>
        </w:rPr>
      </w:pPr>
      <w:r>
        <w:rPr>
          <w:rFonts w:ascii="仿宋_GB2312" w:eastAsia="仿宋_GB2312" w:hAnsi="仿宋_GB2312" w:cs="仿宋_GB2312" w:hint="eastAsia"/>
          <w:b/>
          <w:bCs/>
          <w:color w:val="auto"/>
          <w:kern w:val="2"/>
          <w:sz w:val="32"/>
          <w:szCs w:val="40"/>
        </w:rPr>
        <w:t>二是</w:t>
      </w:r>
      <w:r>
        <w:rPr>
          <w:rFonts w:ascii="仿宋_GB2312" w:eastAsia="仿宋_GB2312" w:hAnsi="仿宋_GB2312" w:cs="仿宋_GB2312" w:hint="eastAsia"/>
          <w:color w:val="auto"/>
          <w:kern w:val="2"/>
          <w:sz w:val="32"/>
          <w:szCs w:val="40"/>
        </w:rPr>
        <w:t>统一还田作业标准，完整落实“三步法”要求。建议在后续项目合同签订中，严格按照市级方案要求，将秸秆还田“粉碎—撒施—深翻</w:t>
      </w:r>
      <w:r>
        <w:rPr>
          <w:rFonts w:ascii="仿宋_GB2312" w:eastAsia="仿宋_GB2312" w:hAnsi="仿宋_GB2312" w:cs="仿宋_GB2312" w:hint="eastAsia"/>
          <w:color w:val="auto"/>
          <w:kern w:val="2"/>
          <w:sz w:val="32"/>
          <w:szCs w:val="40"/>
        </w:rPr>
        <w:t>”各环节统一纳入合同约定和验收范围，确保玉米秸秆“三步法”还田模式完整落地。对于深翻环节虽不单独给予作业补助，但仍应作为项目监管内容纳入合同管理，明确深翻深度（≥</w:t>
      </w:r>
      <w:r>
        <w:rPr>
          <w:rFonts w:ascii="仿宋_GB2312" w:eastAsia="仿宋_GB2312" w:hAnsi="仿宋_GB2312" w:cs="仿宋_GB2312" w:hint="eastAsia"/>
          <w:color w:val="auto"/>
          <w:kern w:val="2"/>
          <w:sz w:val="32"/>
          <w:szCs w:val="40"/>
        </w:rPr>
        <w:t>25</w:t>
      </w:r>
      <w:r>
        <w:rPr>
          <w:rFonts w:ascii="仿宋_GB2312" w:eastAsia="仿宋_GB2312" w:hAnsi="仿宋_GB2312" w:cs="仿宋_GB2312" w:hint="eastAsia"/>
          <w:color w:val="auto"/>
          <w:kern w:val="2"/>
          <w:sz w:val="32"/>
          <w:szCs w:val="40"/>
        </w:rPr>
        <w:t>厘米）等质量要求，并在验收时提供深度测量记录等佐证资料，确保还田作业质量可查验、可追溯。</w:t>
      </w:r>
    </w:p>
    <w:p w:rsidR="00267EF2" w:rsidRDefault="00A312EF">
      <w:pPr>
        <w:pStyle w:val="20"/>
        <w:widowControl w:val="0"/>
        <w:spacing w:line="560" w:lineRule="exact"/>
        <w:ind w:firstLineChars="200" w:firstLine="640"/>
        <w:jc w:val="both"/>
        <w:rPr>
          <w:rFonts w:ascii="Times New Roman" w:eastAsia="楷体_GB2312" w:hAnsi="Times New Roman" w:cs="Times New Roman"/>
          <w:color w:val="auto"/>
          <w:kern w:val="2"/>
          <w:sz w:val="32"/>
          <w:szCs w:val="40"/>
        </w:rPr>
      </w:pPr>
      <w:r>
        <w:rPr>
          <w:rFonts w:ascii="Times New Roman" w:eastAsia="楷体_GB2312" w:hAnsi="Times New Roman" w:cs="Times New Roman" w:hint="eastAsia"/>
          <w:color w:val="auto"/>
          <w:kern w:val="2"/>
          <w:sz w:val="32"/>
          <w:szCs w:val="40"/>
        </w:rPr>
        <w:t>（四）加强过程监管，完善质量控制体系</w:t>
      </w:r>
    </w:p>
    <w:p w:rsidR="00267EF2" w:rsidRDefault="00A312EF">
      <w:pPr>
        <w:pStyle w:val="20"/>
        <w:widowControl w:val="0"/>
        <w:spacing w:line="560" w:lineRule="exact"/>
        <w:ind w:firstLineChars="200" w:firstLine="643"/>
        <w:jc w:val="both"/>
        <w:rPr>
          <w:rFonts w:ascii="仿宋_GB2312" w:eastAsia="仿宋_GB2312" w:hAnsi="仿宋_GB2312" w:cs="仿宋_GB2312"/>
          <w:color w:val="auto"/>
          <w:kern w:val="2"/>
          <w:sz w:val="32"/>
          <w:szCs w:val="40"/>
        </w:rPr>
      </w:pPr>
      <w:r>
        <w:rPr>
          <w:rFonts w:ascii="仿宋_GB2312" w:eastAsia="仿宋_GB2312" w:hAnsi="仿宋_GB2312" w:cs="仿宋_GB2312" w:hint="eastAsia"/>
          <w:b/>
          <w:bCs/>
          <w:color w:val="auto"/>
          <w:kern w:val="2"/>
          <w:sz w:val="32"/>
          <w:szCs w:val="40"/>
        </w:rPr>
        <w:lastRenderedPageBreak/>
        <w:t>一是</w:t>
      </w:r>
      <w:r>
        <w:rPr>
          <w:rFonts w:ascii="仿宋_GB2312" w:eastAsia="仿宋_GB2312" w:hAnsi="仿宋_GB2312" w:cs="仿宋_GB2312" w:hint="eastAsia"/>
          <w:color w:val="auto"/>
          <w:kern w:val="2"/>
          <w:sz w:val="32"/>
          <w:szCs w:val="40"/>
        </w:rPr>
        <w:t>规范方案备案程序，加强统筹协调。建议市农业农村局在印发年度实施方案时，充分考虑区市细化编制本级方案所需时间，尽量提前印发或适当延长备案时限，避免因市级方案印发时间晚导致区市备案普遍延迟。各区（市）应严格按照市级方案要求，在规定时限内将实施方案报市局备案，确保方案备案的及时性。</w:t>
      </w:r>
    </w:p>
    <w:p w:rsidR="00267EF2" w:rsidRDefault="00A312EF">
      <w:pPr>
        <w:pStyle w:val="20"/>
        <w:widowControl w:val="0"/>
        <w:spacing w:line="560" w:lineRule="exact"/>
        <w:ind w:firstLineChars="200" w:firstLine="643"/>
        <w:jc w:val="both"/>
        <w:rPr>
          <w:rFonts w:ascii="仿宋_GB2312" w:eastAsia="仿宋_GB2312" w:hAnsi="仿宋_GB2312" w:cs="仿宋_GB2312"/>
          <w:color w:val="auto"/>
          <w:kern w:val="2"/>
          <w:sz w:val="32"/>
          <w:szCs w:val="40"/>
        </w:rPr>
      </w:pPr>
      <w:r>
        <w:rPr>
          <w:rFonts w:ascii="仿宋_GB2312" w:eastAsia="仿宋_GB2312" w:hAnsi="仿宋_GB2312" w:cs="仿宋_GB2312" w:hint="eastAsia"/>
          <w:b/>
          <w:bCs/>
          <w:color w:val="auto"/>
          <w:kern w:val="2"/>
          <w:sz w:val="32"/>
          <w:szCs w:val="40"/>
        </w:rPr>
        <w:t>二是</w:t>
      </w:r>
      <w:r>
        <w:rPr>
          <w:rFonts w:ascii="仿宋_GB2312" w:eastAsia="仿宋_GB2312" w:hAnsi="仿宋_GB2312" w:cs="仿宋_GB2312" w:hint="eastAsia"/>
          <w:color w:val="auto"/>
          <w:kern w:val="2"/>
          <w:sz w:val="32"/>
          <w:szCs w:val="40"/>
        </w:rPr>
        <w:t>规范档案资料管理，确保过程留痕完整可溯。建议各区（市）在后续项目中统一台账记录标准，规范影像资料的留存要求。明确黄贮过程控制记录的技术参数和归档要求，实施主体应及时提供秸秆切碎长度、含水率检测、发酵剂添加、装填压实、密封、发酵时间等过程记录。涉及工程量变更的，应完善变更审批程序，确保资料完整、逻辑合理。验收时应将过程资料的完整性和规范性作为重要验收依据。</w:t>
      </w:r>
    </w:p>
    <w:p w:rsidR="00267EF2" w:rsidRDefault="00A312EF">
      <w:pPr>
        <w:pStyle w:val="20"/>
        <w:widowControl w:val="0"/>
        <w:spacing w:line="560" w:lineRule="exact"/>
        <w:ind w:firstLineChars="200" w:firstLine="643"/>
        <w:jc w:val="both"/>
        <w:rPr>
          <w:rFonts w:ascii="仿宋_GB2312" w:eastAsia="仿宋_GB2312" w:hAnsi="仿宋_GB2312" w:cs="仿宋_GB2312"/>
          <w:color w:val="auto"/>
          <w:kern w:val="2"/>
          <w:sz w:val="32"/>
          <w:szCs w:val="40"/>
        </w:rPr>
      </w:pPr>
      <w:r>
        <w:rPr>
          <w:rFonts w:ascii="仿宋_GB2312" w:eastAsia="仿宋_GB2312" w:hAnsi="仿宋_GB2312" w:cs="仿宋_GB2312" w:hint="eastAsia"/>
          <w:b/>
          <w:bCs/>
          <w:color w:val="auto"/>
          <w:kern w:val="2"/>
          <w:sz w:val="32"/>
          <w:szCs w:val="40"/>
        </w:rPr>
        <w:t>三</w:t>
      </w:r>
      <w:r>
        <w:rPr>
          <w:rFonts w:ascii="仿宋_GB2312" w:eastAsia="仿宋_GB2312" w:hAnsi="仿宋_GB2312" w:cs="仿宋_GB2312" w:hint="eastAsia"/>
          <w:b/>
          <w:bCs/>
          <w:color w:val="auto"/>
          <w:kern w:val="2"/>
          <w:sz w:val="32"/>
          <w:szCs w:val="40"/>
        </w:rPr>
        <w:t>是</w:t>
      </w:r>
      <w:r>
        <w:rPr>
          <w:rFonts w:ascii="仿宋_GB2312" w:eastAsia="仿宋_GB2312" w:hAnsi="仿宋_GB2312" w:cs="仿宋_GB2312" w:hint="eastAsia"/>
          <w:color w:val="auto"/>
          <w:kern w:val="2"/>
          <w:sz w:val="32"/>
          <w:szCs w:val="40"/>
        </w:rPr>
        <w:t>强化工序监管，确保质量验收依据充分。建议对堆肥翻抛作业加强监管，确保翻抛频次和时机符合合同要求，验收时结合过程控制资料综合判定质量是否达标，避免仅凭最</w:t>
      </w:r>
      <w:r>
        <w:rPr>
          <w:rFonts w:ascii="仿宋_GB2312" w:eastAsia="仿宋_GB2312" w:hAnsi="仿宋_GB2312" w:cs="仿宋_GB2312" w:hint="eastAsia"/>
          <w:color w:val="auto"/>
          <w:kern w:val="2"/>
          <w:sz w:val="32"/>
          <w:szCs w:val="40"/>
        </w:rPr>
        <w:t>终检测结果判定合格。黄贮窖池建设应严格按照市级方案技术要求进行验收，确保窖池高度等关键指标符合技术标准，排水沟、钢筋配置等隐蔽工程验收资料完整可查。</w:t>
      </w:r>
    </w:p>
    <w:p w:rsidR="00267EF2" w:rsidRDefault="00A312EF">
      <w:pPr>
        <w:pStyle w:val="20"/>
        <w:widowControl w:val="0"/>
        <w:spacing w:line="560" w:lineRule="exact"/>
        <w:ind w:firstLineChars="200" w:firstLine="640"/>
        <w:jc w:val="both"/>
        <w:rPr>
          <w:rFonts w:ascii="仿宋_GB2312" w:eastAsia="仿宋_GB2312" w:hAnsi="仿宋_GB2312" w:cs="仿宋_GB2312"/>
          <w:b/>
          <w:bCs/>
          <w:color w:val="auto"/>
          <w:kern w:val="2"/>
          <w:sz w:val="32"/>
          <w:szCs w:val="40"/>
        </w:rPr>
      </w:pPr>
      <w:r>
        <w:rPr>
          <w:rFonts w:ascii="Times New Roman" w:eastAsia="楷体_GB2312" w:hAnsi="Times New Roman" w:cs="Times New Roman" w:hint="eastAsia"/>
          <w:color w:val="auto"/>
          <w:kern w:val="2"/>
          <w:sz w:val="32"/>
          <w:szCs w:val="40"/>
        </w:rPr>
        <w:t>（五）健全收储运体系，畅通农户秸秆离田渠道</w:t>
      </w:r>
    </w:p>
    <w:p w:rsidR="00267EF2" w:rsidRDefault="00A312EF">
      <w:pPr>
        <w:pStyle w:val="20"/>
        <w:widowControl w:val="0"/>
        <w:spacing w:line="560" w:lineRule="exact"/>
        <w:ind w:firstLineChars="200" w:firstLine="643"/>
        <w:jc w:val="both"/>
        <w:rPr>
          <w:rFonts w:ascii="仿宋_GB2312" w:eastAsia="仿宋_GB2312" w:hAnsi="仿宋_GB2312" w:cs="仿宋_GB2312"/>
          <w:color w:val="auto"/>
          <w:kern w:val="2"/>
          <w:sz w:val="32"/>
          <w:szCs w:val="40"/>
        </w:rPr>
      </w:pPr>
      <w:r>
        <w:rPr>
          <w:rFonts w:ascii="仿宋_GB2312" w:eastAsia="仿宋_GB2312" w:hAnsi="仿宋_GB2312" w:cs="仿宋_GB2312" w:hint="eastAsia"/>
          <w:b/>
          <w:bCs/>
          <w:color w:val="auto"/>
          <w:kern w:val="2"/>
          <w:sz w:val="32"/>
          <w:szCs w:val="40"/>
        </w:rPr>
        <w:t>一是</w:t>
      </w:r>
      <w:r>
        <w:rPr>
          <w:rFonts w:ascii="仿宋_GB2312" w:eastAsia="仿宋_GB2312" w:hAnsi="仿宋_GB2312" w:cs="仿宋_GB2312" w:hint="eastAsia"/>
          <w:color w:val="auto"/>
          <w:kern w:val="2"/>
          <w:sz w:val="32"/>
          <w:szCs w:val="40"/>
        </w:rPr>
        <w:t>推动收储设施布局落地。建议各区（市）按照方案要求，结合本地实际明确收储中心或收储点的布局规划，并纳入项目验收内容，避免完全依赖企业既有资产。</w:t>
      </w:r>
    </w:p>
    <w:p w:rsidR="00267EF2" w:rsidRDefault="00A312EF">
      <w:pPr>
        <w:pStyle w:val="20"/>
        <w:widowControl w:val="0"/>
        <w:spacing w:line="560" w:lineRule="exact"/>
        <w:ind w:firstLineChars="200" w:firstLine="643"/>
        <w:jc w:val="both"/>
        <w:rPr>
          <w:rFonts w:ascii="仿宋_GB2312" w:eastAsia="仿宋_GB2312" w:hAnsi="仿宋_GB2312" w:cs="仿宋_GB2312"/>
          <w:color w:val="auto"/>
          <w:kern w:val="2"/>
          <w:sz w:val="32"/>
          <w:szCs w:val="40"/>
        </w:rPr>
      </w:pPr>
      <w:r>
        <w:rPr>
          <w:rFonts w:ascii="仿宋_GB2312" w:eastAsia="仿宋_GB2312" w:hAnsi="仿宋_GB2312" w:cs="仿宋_GB2312" w:hint="eastAsia"/>
          <w:b/>
          <w:bCs/>
          <w:color w:val="auto"/>
          <w:kern w:val="2"/>
          <w:sz w:val="32"/>
          <w:szCs w:val="40"/>
        </w:rPr>
        <w:t>二是</w:t>
      </w:r>
      <w:r>
        <w:rPr>
          <w:rFonts w:ascii="仿宋_GB2312" w:eastAsia="仿宋_GB2312" w:hAnsi="仿宋_GB2312" w:cs="仿宋_GB2312" w:hint="eastAsia"/>
          <w:color w:val="auto"/>
          <w:kern w:val="2"/>
          <w:sz w:val="32"/>
          <w:szCs w:val="40"/>
        </w:rPr>
        <w:t>因地制宜完善村级收储网络。针对散户秸秆离田渠</w:t>
      </w:r>
      <w:r>
        <w:rPr>
          <w:rFonts w:ascii="仿宋_GB2312" w:eastAsia="仿宋_GB2312" w:hAnsi="仿宋_GB2312" w:cs="仿宋_GB2312" w:hint="eastAsia"/>
          <w:color w:val="auto"/>
          <w:kern w:val="2"/>
          <w:sz w:val="32"/>
          <w:szCs w:val="40"/>
        </w:rPr>
        <w:lastRenderedPageBreak/>
        <w:t>道不畅的问题，可在有条件的村庄依托村集体闲置场所或现有农事服务中心设置临时收储点，方便散户就近暂存。可在收储需求集中的区域先</w:t>
      </w:r>
      <w:r>
        <w:rPr>
          <w:rFonts w:ascii="仿宋_GB2312" w:eastAsia="仿宋_GB2312" w:hAnsi="仿宋_GB2312" w:cs="仿宋_GB2312" w:hint="eastAsia"/>
          <w:color w:val="auto"/>
          <w:kern w:val="2"/>
          <w:sz w:val="32"/>
          <w:szCs w:val="40"/>
        </w:rPr>
        <w:t>行试点，根据试点效果逐步推广。</w:t>
      </w:r>
    </w:p>
    <w:p w:rsidR="00267EF2" w:rsidRDefault="00A312EF">
      <w:pPr>
        <w:pStyle w:val="20"/>
        <w:widowControl w:val="0"/>
        <w:spacing w:line="560" w:lineRule="exact"/>
        <w:ind w:firstLineChars="200" w:firstLine="643"/>
        <w:jc w:val="both"/>
        <w:rPr>
          <w:rFonts w:ascii="仿宋_GB2312" w:eastAsia="仿宋_GB2312" w:hAnsi="仿宋_GB2312" w:cs="仿宋_GB2312"/>
          <w:b/>
          <w:bCs/>
          <w:color w:val="auto"/>
          <w:kern w:val="2"/>
          <w:sz w:val="32"/>
          <w:szCs w:val="40"/>
        </w:rPr>
      </w:pPr>
      <w:r>
        <w:rPr>
          <w:rFonts w:ascii="仿宋_GB2312" w:eastAsia="仿宋_GB2312" w:hAnsi="仿宋_GB2312" w:cs="仿宋_GB2312" w:hint="eastAsia"/>
          <w:b/>
          <w:bCs/>
          <w:color w:val="auto"/>
          <w:kern w:val="2"/>
          <w:sz w:val="32"/>
          <w:szCs w:val="40"/>
        </w:rPr>
        <w:t>三是</w:t>
      </w:r>
      <w:r>
        <w:rPr>
          <w:rFonts w:ascii="仿宋_GB2312" w:eastAsia="仿宋_GB2312" w:hAnsi="仿宋_GB2312" w:cs="仿宋_GB2312" w:hint="eastAsia"/>
          <w:color w:val="auto"/>
          <w:kern w:val="2"/>
          <w:sz w:val="32"/>
          <w:szCs w:val="40"/>
        </w:rPr>
        <w:t>引导收储运主体拓展服务范围。鼓励收储运主体将服务向散户延伸，通过集中转运、定期收储等方式降低散户秸秆离田成本。</w:t>
      </w:r>
    </w:p>
    <w:p w:rsidR="00267EF2" w:rsidRDefault="00267EF2">
      <w:pPr>
        <w:spacing w:line="20" w:lineRule="exact"/>
        <w:rPr>
          <w:rFonts w:ascii="楷体_GB2312" w:eastAsia="楷体_GB2312" w:hAnsi="楷体_GB2312" w:cs="楷体_GB2312"/>
          <w:sz w:val="32"/>
          <w:szCs w:val="32"/>
        </w:rPr>
      </w:pPr>
    </w:p>
    <w:sectPr w:rsidR="00267EF2" w:rsidSect="00267EF2">
      <w:footerReference w:type="default" r:id="rId8"/>
      <w:pgSz w:w="11906" w:h="16838"/>
      <w:pgMar w:top="1440" w:right="1800" w:bottom="1440" w:left="1800" w:header="851" w:footer="1020" w:gutter="0"/>
      <w:pgNumType w:start="1"/>
      <w:cols w:space="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2EF" w:rsidRDefault="00A312EF" w:rsidP="00267EF2">
      <w:r>
        <w:separator/>
      </w:r>
    </w:p>
  </w:endnote>
  <w:endnote w:type="continuationSeparator" w:id="1">
    <w:p w:rsidR="00A312EF" w:rsidRDefault="00A312EF" w:rsidP="0026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embedRegular r:id="rId1" w:subsetted="1" w:fontKey="{B428B964-1FBD-4113-948C-784549A42099}"/>
  </w:font>
  <w:font w:name="黑体">
    <w:altName w:val="SimHei"/>
    <w:panose1 w:val="02010609060101010101"/>
    <w:charset w:val="86"/>
    <w:family w:val="modern"/>
    <w:pitch w:val="fixed"/>
    <w:sig w:usb0="800002BF" w:usb1="38CF7CFA" w:usb2="00000016" w:usb3="00000000" w:csb0="00040001" w:csb1="00000000"/>
    <w:embedRegular r:id="rId2" w:subsetted="1" w:fontKey="{C773864B-F4E2-4ED2-AE7F-68F4650F1F0F}"/>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80000000" w:usb2="00000008"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embedRegular r:id="rId3" w:subsetted="1" w:fontKey="{6F77E03A-28FE-47BB-9299-C94931D43BBD}"/>
  </w:font>
  <w:font w:name="楷体_GB2312">
    <w:panose1 w:val="02010609030101010101"/>
    <w:charset w:val="86"/>
    <w:family w:val="modern"/>
    <w:pitch w:val="fixed"/>
    <w:sig w:usb0="00000001" w:usb1="080E0000" w:usb2="00000010" w:usb3="00000000" w:csb0="00040000" w:csb1="00000000"/>
    <w:embedRegular r:id="rId4" w:subsetted="1" w:fontKey="{72212CFD-0DA4-494E-AF54-86F5A25EEAD7}"/>
  </w:font>
  <w:font w:name="仿宋_GB2312">
    <w:panose1 w:val="02010609030101010101"/>
    <w:charset w:val="86"/>
    <w:family w:val="modern"/>
    <w:pitch w:val="fixed"/>
    <w:sig w:usb0="00000001" w:usb1="080E0000" w:usb2="00000010" w:usb3="00000000" w:csb0="00040000" w:csb1="00000000"/>
    <w:embedRegular r:id="rId5" w:subsetted="1" w:fontKey="{3A75C6F5-7773-4AAA-A7EA-D07A35B6B974}"/>
    <w:embedBold r:id="rId6" w:subsetted="1" w:fontKey="{DB19A7A9-9F83-4E5D-897B-457829C9CAE2}"/>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F2" w:rsidRDefault="00267EF2">
    <w:pPr>
      <w:pStyle w:val="a5"/>
      <w:jc w:val="center"/>
      <w:rPr>
        <w:sz w:val="22"/>
        <w:szCs w:val="36"/>
      </w:rPr>
    </w:pPr>
    <w:r w:rsidRPr="00267EF2">
      <w:rPr>
        <w:sz w:val="22"/>
      </w:rP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filled="f" stroked="f" strokeweight=".5pt">
          <v:textbox style="mso-fit-shape-to-text:t" inset="0,0,0,0">
            <w:txbxContent>
              <w:sdt>
                <w:sdtPr>
                  <w:id w:val="147467835"/>
                </w:sdtPr>
                <w:sdtEndPr>
                  <w:rPr>
                    <w:sz w:val="22"/>
                    <w:szCs w:val="36"/>
                  </w:rPr>
                </w:sdtEndPr>
                <w:sdtContent>
                  <w:p w:rsidR="00267EF2" w:rsidRDefault="00267EF2">
                    <w:pPr>
                      <w:pStyle w:val="a5"/>
                      <w:jc w:val="center"/>
                      <w:rPr>
                        <w:sz w:val="22"/>
                        <w:szCs w:val="36"/>
                      </w:rPr>
                    </w:pPr>
                    <w:r>
                      <w:rPr>
                        <w:sz w:val="22"/>
                        <w:szCs w:val="36"/>
                      </w:rPr>
                      <w:fldChar w:fldCharType="begin"/>
                    </w:r>
                    <w:r w:rsidR="00A312EF">
                      <w:rPr>
                        <w:sz w:val="22"/>
                        <w:szCs w:val="36"/>
                      </w:rPr>
                      <w:instrText>PAGE   \* MERGEFORMAT</w:instrText>
                    </w:r>
                    <w:r>
                      <w:rPr>
                        <w:sz w:val="22"/>
                        <w:szCs w:val="36"/>
                      </w:rPr>
                      <w:fldChar w:fldCharType="separate"/>
                    </w:r>
                    <w:r w:rsidR="00063E00" w:rsidRPr="00063E00">
                      <w:rPr>
                        <w:noProof/>
                        <w:sz w:val="22"/>
                        <w:szCs w:val="36"/>
                        <w:lang w:val="zh-CN"/>
                      </w:rPr>
                      <w:t>19</w:t>
                    </w:r>
                    <w:r>
                      <w:rPr>
                        <w:sz w:val="22"/>
                        <w:szCs w:val="36"/>
                      </w:rPr>
                      <w:fldChar w:fldCharType="end"/>
                    </w:r>
                  </w:p>
                </w:sdtContent>
              </w:sdt>
              <w:p w:rsidR="00267EF2" w:rsidRDefault="00267EF2">
                <w:pPr>
                  <w:rPr>
                    <w:sz w:val="22"/>
                    <w:szCs w:val="36"/>
                  </w:rPr>
                </w:pP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2EF" w:rsidRDefault="00A312EF" w:rsidP="00267EF2">
      <w:r>
        <w:separator/>
      </w:r>
    </w:p>
  </w:footnote>
  <w:footnote w:type="continuationSeparator" w:id="1">
    <w:p w:rsidR="00A312EF" w:rsidRDefault="00A312EF" w:rsidP="00267EF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21272E"/>
    <w:rsid w:val="BEFE2344"/>
    <w:rsid w:val="BF37ACF3"/>
    <w:rsid w:val="BFDF2432"/>
    <w:rsid w:val="BFE1077E"/>
    <w:rsid w:val="C7973A7D"/>
    <w:rsid w:val="CFD53E90"/>
    <w:rsid w:val="D5FDC566"/>
    <w:rsid w:val="DC7EEF3E"/>
    <w:rsid w:val="DDFE8B0B"/>
    <w:rsid w:val="DFD28C89"/>
    <w:rsid w:val="DFFF1081"/>
    <w:rsid w:val="E5BE5506"/>
    <w:rsid w:val="EDB5404C"/>
    <w:rsid w:val="EF30F8A1"/>
    <w:rsid w:val="EF7C2086"/>
    <w:rsid w:val="EFDF4661"/>
    <w:rsid w:val="EFFFF986"/>
    <w:rsid w:val="F2DC3F36"/>
    <w:rsid w:val="F3DB8B8B"/>
    <w:rsid w:val="F3DD64EC"/>
    <w:rsid w:val="F6BF2BD6"/>
    <w:rsid w:val="F7F9F915"/>
    <w:rsid w:val="F8F5251F"/>
    <w:rsid w:val="F9CF864F"/>
    <w:rsid w:val="F9E7E3B7"/>
    <w:rsid w:val="F9FEA519"/>
    <w:rsid w:val="FD530C82"/>
    <w:rsid w:val="FD6110FC"/>
    <w:rsid w:val="FD7613C2"/>
    <w:rsid w:val="FD7B5F47"/>
    <w:rsid w:val="FDEFDC68"/>
    <w:rsid w:val="FEA5F6D4"/>
    <w:rsid w:val="FFEDBD7D"/>
    <w:rsid w:val="FFF35F80"/>
    <w:rsid w:val="FFF7B695"/>
    <w:rsid w:val="FFFEC25C"/>
    <w:rsid w:val="00063E00"/>
    <w:rsid w:val="0013154B"/>
    <w:rsid w:val="001B0A26"/>
    <w:rsid w:val="0021272E"/>
    <w:rsid w:val="00242E47"/>
    <w:rsid w:val="00243C1C"/>
    <w:rsid w:val="00267EF2"/>
    <w:rsid w:val="00392A6C"/>
    <w:rsid w:val="0042651C"/>
    <w:rsid w:val="004D79C3"/>
    <w:rsid w:val="00675752"/>
    <w:rsid w:val="0071660E"/>
    <w:rsid w:val="00780467"/>
    <w:rsid w:val="007B0A78"/>
    <w:rsid w:val="00825DAA"/>
    <w:rsid w:val="00831890"/>
    <w:rsid w:val="009049D8"/>
    <w:rsid w:val="00906052"/>
    <w:rsid w:val="009172EF"/>
    <w:rsid w:val="009F5089"/>
    <w:rsid w:val="00A312EF"/>
    <w:rsid w:val="00A9613B"/>
    <w:rsid w:val="00BA25CB"/>
    <w:rsid w:val="00C252E4"/>
    <w:rsid w:val="00C339C4"/>
    <w:rsid w:val="00C43C81"/>
    <w:rsid w:val="00CB5A10"/>
    <w:rsid w:val="00D62131"/>
    <w:rsid w:val="00DD32CF"/>
    <w:rsid w:val="00DF447A"/>
    <w:rsid w:val="00E23611"/>
    <w:rsid w:val="00E901CF"/>
    <w:rsid w:val="00FD6836"/>
    <w:rsid w:val="00FF11AC"/>
    <w:rsid w:val="013A5B72"/>
    <w:rsid w:val="01423F24"/>
    <w:rsid w:val="01424108"/>
    <w:rsid w:val="01457886"/>
    <w:rsid w:val="01461960"/>
    <w:rsid w:val="01782095"/>
    <w:rsid w:val="0186126D"/>
    <w:rsid w:val="01951FDF"/>
    <w:rsid w:val="01971DE7"/>
    <w:rsid w:val="01E2755F"/>
    <w:rsid w:val="021222D3"/>
    <w:rsid w:val="0212463C"/>
    <w:rsid w:val="021427CE"/>
    <w:rsid w:val="021C0265"/>
    <w:rsid w:val="023B01BC"/>
    <w:rsid w:val="0299738B"/>
    <w:rsid w:val="02A60CC5"/>
    <w:rsid w:val="02C37B4B"/>
    <w:rsid w:val="02DE4871"/>
    <w:rsid w:val="02E564C1"/>
    <w:rsid w:val="03132CE9"/>
    <w:rsid w:val="03247839"/>
    <w:rsid w:val="03262D5A"/>
    <w:rsid w:val="034C3602"/>
    <w:rsid w:val="03790074"/>
    <w:rsid w:val="038B2759"/>
    <w:rsid w:val="039D0680"/>
    <w:rsid w:val="039D70A9"/>
    <w:rsid w:val="03C42CC6"/>
    <w:rsid w:val="03C436EA"/>
    <w:rsid w:val="040B47D2"/>
    <w:rsid w:val="04187028"/>
    <w:rsid w:val="04282065"/>
    <w:rsid w:val="04325E67"/>
    <w:rsid w:val="04675A50"/>
    <w:rsid w:val="04791528"/>
    <w:rsid w:val="0482143C"/>
    <w:rsid w:val="04BD2693"/>
    <w:rsid w:val="050B208B"/>
    <w:rsid w:val="050D1A12"/>
    <w:rsid w:val="05107BBD"/>
    <w:rsid w:val="05281683"/>
    <w:rsid w:val="053C4E0D"/>
    <w:rsid w:val="05464258"/>
    <w:rsid w:val="05492DC2"/>
    <w:rsid w:val="054C7DEB"/>
    <w:rsid w:val="05613B66"/>
    <w:rsid w:val="05783020"/>
    <w:rsid w:val="057834D5"/>
    <w:rsid w:val="057E5747"/>
    <w:rsid w:val="05A4135A"/>
    <w:rsid w:val="05CF6057"/>
    <w:rsid w:val="05E01427"/>
    <w:rsid w:val="06207B25"/>
    <w:rsid w:val="06C57DDA"/>
    <w:rsid w:val="06DB7679"/>
    <w:rsid w:val="06F35FB1"/>
    <w:rsid w:val="07005812"/>
    <w:rsid w:val="070A14B7"/>
    <w:rsid w:val="07136CF3"/>
    <w:rsid w:val="072720DF"/>
    <w:rsid w:val="072B4269"/>
    <w:rsid w:val="07321941"/>
    <w:rsid w:val="0734220D"/>
    <w:rsid w:val="075A534D"/>
    <w:rsid w:val="07754928"/>
    <w:rsid w:val="077B7F68"/>
    <w:rsid w:val="077C0C82"/>
    <w:rsid w:val="07B2273C"/>
    <w:rsid w:val="07C03DF5"/>
    <w:rsid w:val="07FC6546"/>
    <w:rsid w:val="08021D84"/>
    <w:rsid w:val="080A7AC8"/>
    <w:rsid w:val="08276E2E"/>
    <w:rsid w:val="0834245F"/>
    <w:rsid w:val="08401A76"/>
    <w:rsid w:val="08431E7C"/>
    <w:rsid w:val="084A41A0"/>
    <w:rsid w:val="086D5FBC"/>
    <w:rsid w:val="0874714B"/>
    <w:rsid w:val="0878716E"/>
    <w:rsid w:val="08A03BF7"/>
    <w:rsid w:val="08B3215B"/>
    <w:rsid w:val="08CD2BD6"/>
    <w:rsid w:val="08CF0949"/>
    <w:rsid w:val="08D963B8"/>
    <w:rsid w:val="08DF03B0"/>
    <w:rsid w:val="08F648EE"/>
    <w:rsid w:val="095A0970"/>
    <w:rsid w:val="09611C3A"/>
    <w:rsid w:val="09776AB8"/>
    <w:rsid w:val="097F4E64"/>
    <w:rsid w:val="09842C17"/>
    <w:rsid w:val="099B77C5"/>
    <w:rsid w:val="09B40462"/>
    <w:rsid w:val="09D3643E"/>
    <w:rsid w:val="09EC0102"/>
    <w:rsid w:val="09F01883"/>
    <w:rsid w:val="09F23134"/>
    <w:rsid w:val="09FA55B2"/>
    <w:rsid w:val="0A250DC0"/>
    <w:rsid w:val="0A347112"/>
    <w:rsid w:val="0A422AF7"/>
    <w:rsid w:val="0A4476D7"/>
    <w:rsid w:val="0A463778"/>
    <w:rsid w:val="0A555586"/>
    <w:rsid w:val="0A5D050F"/>
    <w:rsid w:val="0A803B0B"/>
    <w:rsid w:val="0AAA48E8"/>
    <w:rsid w:val="0AB900B6"/>
    <w:rsid w:val="0AB94693"/>
    <w:rsid w:val="0ABE2142"/>
    <w:rsid w:val="0AC11B40"/>
    <w:rsid w:val="0AD32091"/>
    <w:rsid w:val="0AED65A2"/>
    <w:rsid w:val="0AFC119D"/>
    <w:rsid w:val="0B0F6A33"/>
    <w:rsid w:val="0B12654C"/>
    <w:rsid w:val="0B1E1179"/>
    <w:rsid w:val="0B3A4F30"/>
    <w:rsid w:val="0B746AD1"/>
    <w:rsid w:val="0B775C8C"/>
    <w:rsid w:val="0B7912FE"/>
    <w:rsid w:val="0B882E7B"/>
    <w:rsid w:val="0B925082"/>
    <w:rsid w:val="0B96065A"/>
    <w:rsid w:val="0B9E444D"/>
    <w:rsid w:val="0BA069A6"/>
    <w:rsid w:val="0BA07177"/>
    <w:rsid w:val="0BB34F02"/>
    <w:rsid w:val="0BBA3F41"/>
    <w:rsid w:val="0BC973C0"/>
    <w:rsid w:val="0BD84830"/>
    <w:rsid w:val="0BF900C5"/>
    <w:rsid w:val="0BFB0CD4"/>
    <w:rsid w:val="0BFE4EEC"/>
    <w:rsid w:val="0C0240FC"/>
    <w:rsid w:val="0C051618"/>
    <w:rsid w:val="0C063F25"/>
    <w:rsid w:val="0C1002F6"/>
    <w:rsid w:val="0C1025E1"/>
    <w:rsid w:val="0C117B75"/>
    <w:rsid w:val="0C1D2A17"/>
    <w:rsid w:val="0C7851D0"/>
    <w:rsid w:val="0C812C6E"/>
    <w:rsid w:val="0C8A7057"/>
    <w:rsid w:val="0CAC50C2"/>
    <w:rsid w:val="0CBD0B0B"/>
    <w:rsid w:val="0CBD3E58"/>
    <w:rsid w:val="0CC163F7"/>
    <w:rsid w:val="0D177D5A"/>
    <w:rsid w:val="0D2209FC"/>
    <w:rsid w:val="0D5A7616"/>
    <w:rsid w:val="0D642DE6"/>
    <w:rsid w:val="0D6D03A7"/>
    <w:rsid w:val="0D7116ED"/>
    <w:rsid w:val="0D8669D3"/>
    <w:rsid w:val="0D9025CD"/>
    <w:rsid w:val="0D9B2FCD"/>
    <w:rsid w:val="0DB37F58"/>
    <w:rsid w:val="0DBF06AB"/>
    <w:rsid w:val="0DDC013C"/>
    <w:rsid w:val="0DF42F94"/>
    <w:rsid w:val="0E023C9B"/>
    <w:rsid w:val="0E1E0C55"/>
    <w:rsid w:val="0E516901"/>
    <w:rsid w:val="0E556FD6"/>
    <w:rsid w:val="0E5A28AC"/>
    <w:rsid w:val="0E703A38"/>
    <w:rsid w:val="0E874FFE"/>
    <w:rsid w:val="0E8A0CB9"/>
    <w:rsid w:val="0EA24254"/>
    <w:rsid w:val="0EA75FF1"/>
    <w:rsid w:val="0ECE4B7F"/>
    <w:rsid w:val="0EF7561E"/>
    <w:rsid w:val="0F03756C"/>
    <w:rsid w:val="0F096220"/>
    <w:rsid w:val="0F191186"/>
    <w:rsid w:val="0F204FA9"/>
    <w:rsid w:val="0F2409E4"/>
    <w:rsid w:val="0F3671B8"/>
    <w:rsid w:val="0F5A37ED"/>
    <w:rsid w:val="0F5F7D3E"/>
    <w:rsid w:val="0F7A1207"/>
    <w:rsid w:val="0F8340AB"/>
    <w:rsid w:val="0F9E61E5"/>
    <w:rsid w:val="0F9F6E8A"/>
    <w:rsid w:val="0FAA109D"/>
    <w:rsid w:val="0FAA61BC"/>
    <w:rsid w:val="100F42CE"/>
    <w:rsid w:val="102200DD"/>
    <w:rsid w:val="102B21FA"/>
    <w:rsid w:val="104258B0"/>
    <w:rsid w:val="106A3C74"/>
    <w:rsid w:val="106A6D76"/>
    <w:rsid w:val="10E2732D"/>
    <w:rsid w:val="112163E1"/>
    <w:rsid w:val="11346CBF"/>
    <w:rsid w:val="11355C17"/>
    <w:rsid w:val="113969D5"/>
    <w:rsid w:val="113F3B94"/>
    <w:rsid w:val="11425469"/>
    <w:rsid w:val="114E0781"/>
    <w:rsid w:val="11592153"/>
    <w:rsid w:val="11626A34"/>
    <w:rsid w:val="11632F7E"/>
    <w:rsid w:val="116A0877"/>
    <w:rsid w:val="116A62B6"/>
    <w:rsid w:val="119530D4"/>
    <w:rsid w:val="119E5932"/>
    <w:rsid w:val="119F5290"/>
    <w:rsid w:val="11A7652E"/>
    <w:rsid w:val="11F63323"/>
    <w:rsid w:val="122219A0"/>
    <w:rsid w:val="122C3992"/>
    <w:rsid w:val="124F1815"/>
    <w:rsid w:val="125F31DA"/>
    <w:rsid w:val="12844B85"/>
    <w:rsid w:val="12A10CC7"/>
    <w:rsid w:val="12AC1E77"/>
    <w:rsid w:val="12D2438A"/>
    <w:rsid w:val="12ED1816"/>
    <w:rsid w:val="12EF7D0F"/>
    <w:rsid w:val="12F23B99"/>
    <w:rsid w:val="131C23FC"/>
    <w:rsid w:val="132370DF"/>
    <w:rsid w:val="13274EFF"/>
    <w:rsid w:val="1331165A"/>
    <w:rsid w:val="13390253"/>
    <w:rsid w:val="134261D0"/>
    <w:rsid w:val="13573133"/>
    <w:rsid w:val="13610B82"/>
    <w:rsid w:val="136A013D"/>
    <w:rsid w:val="136F20AF"/>
    <w:rsid w:val="139751CD"/>
    <w:rsid w:val="13AB3BAB"/>
    <w:rsid w:val="145F1368"/>
    <w:rsid w:val="148779EB"/>
    <w:rsid w:val="14915F3C"/>
    <w:rsid w:val="14991C55"/>
    <w:rsid w:val="149B082E"/>
    <w:rsid w:val="14AD3731"/>
    <w:rsid w:val="14B73D4F"/>
    <w:rsid w:val="14BB037D"/>
    <w:rsid w:val="14CB5B32"/>
    <w:rsid w:val="14D1746B"/>
    <w:rsid w:val="14D513B7"/>
    <w:rsid w:val="14DD0163"/>
    <w:rsid w:val="14F00C72"/>
    <w:rsid w:val="1511190B"/>
    <w:rsid w:val="151F7BF6"/>
    <w:rsid w:val="153653FF"/>
    <w:rsid w:val="1576720C"/>
    <w:rsid w:val="158519F0"/>
    <w:rsid w:val="158E028D"/>
    <w:rsid w:val="159C7E77"/>
    <w:rsid w:val="159E5940"/>
    <w:rsid w:val="15A31E91"/>
    <w:rsid w:val="15B36122"/>
    <w:rsid w:val="15E66A75"/>
    <w:rsid w:val="15E83873"/>
    <w:rsid w:val="15EA65FA"/>
    <w:rsid w:val="160E0421"/>
    <w:rsid w:val="162F0A6A"/>
    <w:rsid w:val="16365D5E"/>
    <w:rsid w:val="163A4624"/>
    <w:rsid w:val="164A44DE"/>
    <w:rsid w:val="165340E5"/>
    <w:rsid w:val="16553AA0"/>
    <w:rsid w:val="1660726D"/>
    <w:rsid w:val="16652404"/>
    <w:rsid w:val="16891BA6"/>
    <w:rsid w:val="16A13798"/>
    <w:rsid w:val="16AC1CCC"/>
    <w:rsid w:val="16AF7C42"/>
    <w:rsid w:val="16E13640"/>
    <w:rsid w:val="16E34541"/>
    <w:rsid w:val="16E515E5"/>
    <w:rsid w:val="172734F7"/>
    <w:rsid w:val="17463BEB"/>
    <w:rsid w:val="174A46B0"/>
    <w:rsid w:val="176F6C9D"/>
    <w:rsid w:val="17735C02"/>
    <w:rsid w:val="177711E6"/>
    <w:rsid w:val="17861089"/>
    <w:rsid w:val="17C36B18"/>
    <w:rsid w:val="181F06C4"/>
    <w:rsid w:val="181F7418"/>
    <w:rsid w:val="18226079"/>
    <w:rsid w:val="1827044F"/>
    <w:rsid w:val="18515AC1"/>
    <w:rsid w:val="186E7429"/>
    <w:rsid w:val="186F2D2B"/>
    <w:rsid w:val="18793A98"/>
    <w:rsid w:val="187D188E"/>
    <w:rsid w:val="1881137E"/>
    <w:rsid w:val="188F3392"/>
    <w:rsid w:val="18A15D24"/>
    <w:rsid w:val="18A173BF"/>
    <w:rsid w:val="18C4452F"/>
    <w:rsid w:val="18CB084B"/>
    <w:rsid w:val="18F0669B"/>
    <w:rsid w:val="18F23A44"/>
    <w:rsid w:val="190A7F45"/>
    <w:rsid w:val="19141C76"/>
    <w:rsid w:val="191F46F3"/>
    <w:rsid w:val="191F643D"/>
    <w:rsid w:val="192B3DED"/>
    <w:rsid w:val="1933023E"/>
    <w:rsid w:val="196C074A"/>
    <w:rsid w:val="199675E1"/>
    <w:rsid w:val="19976A5D"/>
    <w:rsid w:val="1999020F"/>
    <w:rsid w:val="19C05185"/>
    <w:rsid w:val="1A13040E"/>
    <w:rsid w:val="1A141D7E"/>
    <w:rsid w:val="1A2B6074"/>
    <w:rsid w:val="1A3A14C4"/>
    <w:rsid w:val="1A3D152A"/>
    <w:rsid w:val="1A4D1AF3"/>
    <w:rsid w:val="1A674463"/>
    <w:rsid w:val="1A6C249E"/>
    <w:rsid w:val="1A8143DB"/>
    <w:rsid w:val="1A954C6D"/>
    <w:rsid w:val="1AD82DAC"/>
    <w:rsid w:val="1AF321E4"/>
    <w:rsid w:val="1B096C79"/>
    <w:rsid w:val="1B156C61"/>
    <w:rsid w:val="1B4E63E7"/>
    <w:rsid w:val="1B5D6FB2"/>
    <w:rsid w:val="1B6A5CE5"/>
    <w:rsid w:val="1BC513BB"/>
    <w:rsid w:val="1BCD0283"/>
    <w:rsid w:val="1BDF10D5"/>
    <w:rsid w:val="1BED072B"/>
    <w:rsid w:val="1BEF268F"/>
    <w:rsid w:val="1C1B608B"/>
    <w:rsid w:val="1C1E101D"/>
    <w:rsid w:val="1C1F2AA5"/>
    <w:rsid w:val="1C30068C"/>
    <w:rsid w:val="1C3D40ED"/>
    <w:rsid w:val="1C492AAF"/>
    <w:rsid w:val="1C5A4A47"/>
    <w:rsid w:val="1C5D0DEA"/>
    <w:rsid w:val="1C7B3B54"/>
    <w:rsid w:val="1C9526E5"/>
    <w:rsid w:val="1C99014B"/>
    <w:rsid w:val="1CC163AC"/>
    <w:rsid w:val="1CC41839"/>
    <w:rsid w:val="1CD52E8B"/>
    <w:rsid w:val="1D0918F3"/>
    <w:rsid w:val="1D0D4151"/>
    <w:rsid w:val="1D326189"/>
    <w:rsid w:val="1D3D0CA2"/>
    <w:rsid w:val="1D4B7FE0"/>
    <w:rsid w:val="1D530522"/>
    <w:rsid w:val="1D542477"/>
    <w:rsid w:val="1D6A0633"/>
    <w:rsid w:val="1D836E80"/>
    <w:rsid w:val="1DAA4B57"/>
    <w:rsid w:val="1DAB0592"/>
    <w:rsid w:val="1DBE2640"/>
    <w:rsid w:val="1DEA6CE6"/>
    <w:rsid w:val="1DF42051"/>
    <w:rsid w:val="1DF53BB0"/>
    <w:rsid w:val="1E0232B0"/>
    <w:rsid w:val="1E0A3BC4"/>
    <w:rsid w:val="1E1E141D"/>
    <w:rsid w:val="1E360515"/>
    <w:rsid w:val="1E526832"/>
    <w:rsid w:val="1E68625B"/>
    <w:rsid w:val="1E9729B5"/>
    <w:rsid w:val="1E991DE6"/>
    <w:rsid w:val="1E9933DA"/>
    <w:rsid w:val="1EA02FD6"/>
    <w:rsid w:val="1EC9745F"/>
    <w:rsid w:val="1ECC0F49"/>
    <w:rsid w:val="1EE77A61"/>
    <w:rsid w:val="1EEF7754"/>
    <w:rsid w:val="1EF81C6E"/>
    <w:rsid w:val="1EFF4673"/>
    <w:rsid w:val="1F015BE8"/>
    <w:rsid w:val="1F197BB6"/>
    <w:rsid w:val="1F2F3172"/>
    <w:rsid w:val="1F35421B"/>
    <w:rsid w:val="1F585DEE"/>
    <w:rsid w:val="1F833C2E"/>
    <w:rsid w:val="1F8B6E2C"/>
    <w:rsid w:val="1F922ACE"/>
    <w:rsid w:val="1F991AA6"/>
    <w:rsid w:val="1FAB795D"/>
    <w:rsid w:val="20057D51"/>
    <w:rsid w:val="20174376"/>
    <w:rsid w:val="202E7F87"/>
    <w:rsid w:val="20536A77"/>
    <w:rsid w:val="20565620"/>
    <w:rsid w:val="205D4650"/>
    <w:rsid w:val="206C46C2"/>
    <w:rsid w:val="20722B48"/>
    <w:rsid w:val="208C6677"/>
    <w:rsid w:val="208F4DF7"/>
    <w:rsid w:val="209234CD"/>
    <w:rsid w:val="209E55E9"/>
    <w:rsid w:val="20A40242"/>
    <w:rsid w:val="20B73A26"/>
    <w:rsid w:val="20BC13A0"/>
    <w:rsid w:val="20CA6F49"/>
    <w:rsid w:val="210260FC"/>
    <w:rsid w:val="21130FE1"/>
    <w:rsid w:val="2119268C"/>
    <w:rsid w:val="212555F1"/>
    <w:rsid w:val="21315AF3"/>
    <w:rsid w:val="213A031C"/>
    <w:rsid w:val="213A656E"/>
    <w:rsid w:val="217F406D"/>
    <w:rsid w:val="2187338E"/>
    <w:rsid w:val="21C67E02"/>
    <w:rsid w:val="21C94A58"/>
    <w:rsid w:val="21D72604"/>
    <w:rsid w:val="21DD584B"/>
    <w:rsid w:val="21F96163"/>
    <w:rsid w:val="21FB3F4F"/>
    <w:rsid w:val="221779C6"/>
    <w:rsid w:val="22A007D0"/>
    <w:rsid w:val="22CA11D9"/>
    <w:rsid w:val="22E67EF2"/>
    <w:rsid w:val="22FF57E9"/>
    <w:rsid w:val="230D1CC5"/>
    <w:rsid w:val="231D1CA3"/>
    <w:rsid w:val="232273FC"/>
    <w:rsid w:val="23285D30"/>
    <w:rsid w:val="232D24E5"/>
    <w:rsid w:val="234678C4"/>
    <w:rsid w:val="238916A4"/>
    <w:rsid w:val="239C7549"/>
    <w:rsid w:val="23B86870"/>
    <w:rsid w:val="23FF0858"/>
    <w:rsid w:val="24003BFB"/>
    <w:rsid w:val="24032058"/>
    <w:rsid w:val="243D263F"/>
    <w:rsid w:val="24795197"/>
    <w:rsid w:val="24A518FB"/>
    <w:rsid w:val="24DE2C70"/>
    <w:rsid w:val="24EA3E14"/>
    <w:rsid w:val="250741E9"/>
    <w:rsid w:val="25095877"/>
    <w:rsid w:val="250A35E4"/>
    <w:rsid w:val="25166CE2"/>
    <w:rsid w:val="252F3B2D"/>
    <w:rsid w:val="255123E8"/>
    <w:rsid w:val="25714529"/>
    <w:rsid w:val="258458A0"/>
    <w:rsid w:val="25882479"/>
    <w:rsid w:val="258E2BC7"/>
    <w:rsid w:val="2599762E"/>
    <w:rsid w:val="25AB72CC"/>
    <w:rsid w:val="25BC4D64"/>
    <w:rsid w:val="25BF1750"/>
    <w:rsid w:val="25CC6A24"/>
    <w:rsid w:val="25D856FC"/>
    <w:rsid w:val="25D952AE"/>
    <w:rsid w:val="25DF6B59"/>
    <w:rsid w:val="262D56A7"/>
    <w:rsid w:val="26434AC0"/>
    <w:rsid w:val="26502390"/>
    <w:rsid w:val="2669255C"/>
    <w:rsid w:val="266B4973"/>
    <w:rsid w:val="266D50FD"/>
    <w:rsid w:val="26794B58"/>
    <w:rsid w:val="267F67D1"/>
    <w:rsid w:val="27050B20"/>
    <w:rsid w:val="27400126"/>
    <w:rsid w:val="27602AA7"/>
    <w:rsid w:val="2767173F"/>
    <w:rsid w:val="27890AB9"/>
    <w:rsid w:val="2798573E"/>
    <w:rsid w:val="27B62C02"/>
    <w:rsid w:val="27BC0429"/>
    <w:rsid w:val="27CC3C98"/>
    <w:rsid w:val="27CE7A10"/>
    <w:rsid w:val="27E45486"/>
    <w:rsid w:val="281731DB"/>
    <w:rsid w:val="281E7765"/>
    <w:rsid w:val="28220A46"/>
    <w:rsid w:val="28221B0A"/>
    <w:rsid w:val="286B210C"/>
    <w:rsid w:val="28981F1C"/>
    <w:rsid w:val="28C5664C"/>
    <w:rsid w:val="291A7D70"/>
    <w:rsid w:val="291E6DF3"/>
    <w:rsid w:val="292D2D12"/>
    <w:rsid w:val="293F7673"/>
    <w:rsid w:val="29624E8B"/>
    <w:rsid w:val="29693E94"/>
    <w:rsid w:val="29717034"/>
    <w:rsid w:val="2973086F"/>
    <w:rsid w:val="298052AE"/>
    <w:rsid w:val="29B82E7E"/>
    <w:rsid w:val="29BA28AC"/>
    <w:rsid w:val="29E109B3"/>
    <w:rsid w:val="29E178E2"/>
    <w:rsid w:val="29E866DB"/>
    <w:rsid w:val="29F65B41"/>
    <w:rsid w:val="29F86FC6"/>
    <w:rsid w:val="2A0B7D17"/>
    <w:rsid w:val="2A153A05"/>
    <w:rsid w:val="2A2014F1"/>
    <w:rsid w:val="2A361D29"/>
    <w:rsid w:val="2A36517A"/>
    <w:rsid w:val="2A39142C"/>
    <w:rsid w:val="2A464FFD"/>
    <w:rsid w:val="2A6F376F"/>
    <w:rsid w:val="2A761011"/>
    <w:rsid w:val="2A795E40"/>
    <w:rsid w:val="2A7A3E7F"/>
    <w:rsid w:val="2AEF2177"/>
    <w:rsid w:val="2AF53272"/>
    <w:rsid w:val="2AF643D0"/>
    <w:rsid w:val="2AFD5DAF"/>
    <w:rsid w:val="2B1B11E1"/>
    <w:rsid w:val="2B3B3BDB"/>
    <w:rsid w:val="2B3E30FF"/>
    <w:rsid w:val="2B512E32"/>
    <w:rsid w:val="2B894027"/>
    <w:rsid w:val="2BBC0D1F"/>
    <w:rsid w:val="2BF24979"/>
    <w:rsid w:val="2BF5596C"/>
    <w:rsid w:val="2BF6C76C"/>
    <w:rsid w:val="2C0C6BEB"/>
    <w:rsid w:val="2C1B254E"/>
    <w:rsid w:val="2C293E5C"/>
    <w:rsid w:val="2C467183"/>
    <w:rsid w:val="2C493B09"/>
    <w:rsid w:val="2C4C6435"/>
    <w:rsid w:val="2C4D3F21"/>
    <w:rsid w:val="2C5F332D"/>
    <w:rsid w:val="2C653EE2"/>
    <w:rsid w:val="2C736DD8"/>
    <w:rsid w:val="2C80756D"/>
    <w:rsid w:val="2C931DC2"/>
    <w:rsid w:val="2CA675CE"/>
    <w:rsid w:val="2CAA2B4A"/>
    <w:rsid w:val="2D04502B"/>
    <w:rsid w:val="2D0D2D89"/>
    <w:rsid w:val="2D1265F1"/>
    <w:rsid w:val="2D892BA1"/>
    <w:rsid w:val="2D8D2610"/>
    <w:rsid w:val="2D8D7A26"/>
    <w:rsid w:val="2D8F67C3"/>
    <w:rsid w:val="2D9C2974"/>
    <w:rsid w:val="2DC378EB"/>
    <w:rsid w:val="2DC84403"/>
    <w:rsid w:val="2DC8748F"/>
    <w:rsid w:val="2DCD15F2"/>
    <w:rsid w:val="2DDB37B1"/>
    <w:rsid w:val="2DEF5067"/>
    <w:rsid w:val="2E1819D6"/>
    <w:rsid w:val="2E4E2E29"/>
    <w:rsid w:val="2E6A7D67"/>
    <w:rsid w:val="2E7216FF"/>
    <w:rsid w:val="2E911674"/>
    <w:rsid w:val="2E961458"/>
    <w:rsid w:val="2EA05393"/>
    <w:rsid w:val="2EA87F6F"/>
    <w:rsid w:val="2EB15996"/>
    <w:rsid w:val="2EB24838"/>
    <w:rsid w:val="2EBE13B7"/>
    <w:rsid w:val="2EC2545B"/>
    <w:rsid w:val="2F725125"/>
    <w:rsid w:val="2F7472E8"/>
    <w:rsid w:val="2F8F217B"/>
    <w:rsid w:val="2F9D5D8A"/>
    <w:rsid w:val="2FA84BB9"/>
    <w:rsid w:val="2FAC64BD"/>
    <w:rsid w:val="2FAF1ED5"/>
    <w:rsid w:val="2FB603AB"/>
    <w:rsid w:val="2FC72526"/>
    <w:rsid w:val="2FEC4F22"/>
    <w:rsid w:val="30076A2E"/>
    <w:rsid w:val="3041265D"/>
    <w:rsid w:val="30494B25"/>
    <w:rsid w:val="304F5466"/>
    <w:rsid w:val="30511AAD"/>
    <w:rsid w:val="30570D94"/>
    <w:rsid w:val="305B5C6D"/>
    <w:rsid w:val="307F4548"/>
    <w:rsid w:val="30852098"/>
    <w:rsid w:val="30926A39"/>
    <w:rsid w:val="3097035F"/>
    <w:rsid w:val="30E014C3"/>
    <w:rsid w:val="30E107B4"/>
    <w:rsid w:val="30EC3EAD"/>
    <w:rsid w:val="30F32FCE"/>
    <w:rsid w:val="30FF7B5C"/>
    <w:rsid w:val="31077AEF"/>
    <w:rsid w:val="310962B6"/>
    <w:rsid w:val="310C4884"/>
    <w:rsid w:val="311037CD"/>
    <w:rsid w:val="31224929"/>
    <w:rsid w:val="312531AD"/>
    <w:rsid w:val="317A6673"/>
    <w:rsid w:val="3195223F"/>
    <w:rsid w:val="319D6E9C"/>
    <w:rsid w:val="31AF08C2"/>
    <w:rsid w:val="31CF685F"/>
    <w:rsid w:val="31FE0EF2"/>
    <w:rsid w:val="32226C58"/>
    <w:rsid w:val="323B49D8"/>
    <w:rsid w:val="323E60BE"/>
    <w:rsid w:val="324100C2"/>
    <w:rsid w:val="3244760C"/>
    <w:rsid w:val="324B3F79"/>
    <w:rsid w:val="324E38E3"/>
    <w:rsid w:val="325A6035"/>
    <w:rsid w:val="326F20C0"/>
    <w:rsid w:val="32705B5D"/>
    <w:rsid w:val="32847F41"/>
    <w:rsid w:val="32A37B90"/>
    <w:rsid w:val="32A4043D"/>
    <w:rsid w:val="32AB598E"/>
    <w:rsid w:val="32BB44EA"/>
    <w:rsid w:val="32C879F7"/>
    <w:rsid w:val="32E4633A"/>
    <w:rsid w:val="32EF09FD"/>
    <w:rsid w:val="331069D0"/>
    <w:rsid w:val="33150228"/>
    <w:rsid w:val="334F6FAA"/>
    <w:rsid w:val="33613960"/>
    <w:rsid w:val="336D0D89"/>
    <w:rsid w:val="33722359"/>
    <w:rsid w:val="33752E0E"/>
    <w:rsid w:val="337722E8"/>
    <w:rsid w:val="33775357"/>
    <w:rsid w:val="33854172"/>
    <w:rsid w:val="33B7385C"/>
    <w:rsid w:val="33D954B4"/>
    <w:rsid w:val="33E73EF9"/>
    <w:rsid w:val="34162AF5"/>
    <w:rsid w:val="341B24FA"/>
    <w:rsid w:val="343A395E"/>
    <w:rsid w:val="34457136"/>
    <w:rsid w:val="34467C10"/>
    <w:rsid w:val="34523F5B"/>
    <w:rsid w:val="34586FDF"/>
    <w:rsid w:val="34742431"/>
    <w:rsid w:val="348778C5"/>
    <w:rsid w:val="348F5E6E"/>
    <w:rsid w:val="34B17EFC"/>
    <w:rsid w:val="34C4731B"/>
    <w:rsid w:val="34FE3CD8"/>
    <w:rsid w:val="352B1EAF"/>
    <w:rsid w:val="3560296E"/>
    <w:rsid w:val="35687DFE"/>
    <w:rsid w:val="35696FE8"/>
    <w:rsid w:val="35814314"/>
    <w:rsid w:val="358261F1"/>
    <w:rsid w:val="35845BB2"/>
    <w:rsid w:val="35865E9D"/>
    <w:rsid w:val="35902635"/>
    <w:rsid w:val="35B24EFF"/>
    <w:rsid w:val="35B86446"/>
    <w:rsid w:val="35B928BF"/>
    <w:rsid w:val="35CC089B"/>
    <w:rsid w:val="36050AA1"/>
    <w:rsid w:val="361420BB"/>
    <w:rsid w:val="363B46A9"/>
    <w:rsid w:val="364E57EA"/>
    <w:rsid w:val="369231E4"/>
    <w:rsid w:val="36A924EF"/>
    <w:rsid w:val="36CD5DBD"/>
    <w:rsid w:val="36D14E27"/>
    <w:rsid w:val="36D31738"/>
    <w:rsid w:val="36D44917"/>
    <w:rsid w:val="36D719A1"/>
    <w:rsid w:val="36E20DE2"/>
    <w:rsid w:val="36F538B8"/>
    <w:rsid w:val="372074F4"/>
    <w:rsid w:val="3724271D"/>
    <w:rsid w:val="37341C63"/>
    <w:rsid w:val="3735089A"/>
    <w:rsid w:val="373611BF"/>
    <w:rsid w:val="376D2DA2"/>
    <w:rsid w:val="3775B148"/>
    <w:rsid w:val="37A84AF5"/>
    <w:rsid w:val="37B27784"/>
    <w:rsid w:val="37B35255"/>
    <w:rsid w:val="37C91B90"/>
    <w:rsid w:val="37CE10D1"/>
    <w:rsid w:val="37E364D3"/>
    <w:rsid w:val="37E55B14"/>
    <w:rsid w:val="37ED2F72"/>
    <w:rsid w:val="3803314A"/>
    <w:rsid w:val="380611F4"/>
    <w:rsid w:val="380B6117"/>
    <w:rsid w:val="381139AC"/>
    <w:rsid w:val="3814321D"/>
    <w:rsid w:val="385830F7"/>
    <w:rsid w:val="385B6A0B"/>
    <w:rsid w:val="386178D9"/>
    <w:rsid w:val="386963BB"/>
    <w:rsid w:val="38974E7B"/>
    <w:rsid w:val="38C83781"/>
    <w:rsid w:val="38DA4152"/>
    <w:rsid w:val="38E04CA4"/>
    <w:rsid w:val="38E70932"/>
    <w:rsid w:val="391D7897"/>
    <w:rsid w:val="392568F8"/>
    <w:rsid w:val="39373503"/>
    <w:rsid w:val="39A16259"/>
    <w:rsid w:val="39C52958"/>
    <w:rsid w:val="39C63D5C"/>
    <w:rsid w:val="39FB46A4"/>
    <w:rsid w:val="3A0B11FE"/>
    <w:rsid w:val="3A2C7AA0"/>
    <w:rsid w:val="3A2D29BA"/>
    <w:rsid w:val="3A3618C9"/>
    <w:rsid w:val="3A37099F"/>
    <w:rsid w:val="3AAC5038"/>
    <w:rsid w:val="3AB77C48"/>
    <w:rsid w:val="3ABE6015"/>
    <w:rsid w:val="3ADB6D47"/>
    <w:rsid w:val="3AE8273F"/>
    <w:rsid w:val="3AEE1EC2"/>
    <w:rsid w:val="3AEF28FB"/>
    <w:rsid w:val="3AF24DD9"/>
    <w:rsid w:val="3B1140EB"/>
    <w:rsid w:val="3B343B22"/>
    <w:rsid w:val="3B6627A7"/>
    <w:rsid w:val="3B790088"/>
    <w:rsid w:val="3B967A25"/>
    <w:rsid w:val="3B9D181D"/>
    <w:rsid w:val="3BBD1E1E"/>
    <w:rsid w:val="3BBF320B"/>
    <w:rsid w:val="3BEF3D85"/>
    <w:rsid w:val="3C3025F0"/>
    <w:rsid w:val="3C771DDD"/>
    <w:rsid w:val="3C8B5A78"/>
    <w:rsid w:val="3CD74B4F"/>
    <w:rsid w:val="3CD82ADD"/>
    <w:rsid w:val="3CDB4838"/>
    <w:rsid w:val="3CF25AF7"/>
    <w:rsid w:val="3D463616"/>
    <w:rsid w:val="3D7C6F88"/>
    <w:rsid w:val="3D95653A"/>
    <w:rsid w:val="3D9B6C72"/>
    <w:rsid w:val="3DBBD45D"/>
    <w:rsid w:val="3DD241D6"/>
    <w:rsid w:val="3E175A62"/>
    <w:rsid w:val="3E1C74E9"/>
    <w:rsid w:val="3E482166"/>
    <w:rsid w:val="3E4B70EF"/>
    <w:rsid w:val="3E55251B"/>
    <w:rsid w:val="3E5C7C11"/>
    <w:rsid w:val="3E6855C0"/>
    <w:rsid w:val="3E6E7F79"/>
    <w:rsid w:val="3E9414E7"/>
    <w:rsid w:val="3E9B36AB"/>
    <w:rsid w:val="3E9C145B"/>
    <w:rsid w:val="3EAB2402"/>
    <w:rsid w:val="3EB26F0A"/>
    <w:rsid w:val="3ECC5A2E"/>
    <w:rsid w:val="3EE1669F"/>
    <w:rsid w:val="3EE614EF"/>
    <w:rsid w:val="3EEE75E4"/>
    <w:rsid w:val="3F0C4D38"/>
    <w:rsid w:val="3F155ED5"/>
    <w:rsid w:val="3F2E1FBE"/>
    <w:rsid w:val="3F3423F7"/>
    <w:rsid w:val="3F422D66"/>
    <w:rsid w:val="3F6C7DE3"/>
    <w:rsid w:val="3F6F1FDE"/>
    <w:rsid w:val="3F997AA5"/>
    <w:rsid w:val="3F9D4F79"/>
    <w:rsid w:val="3FAD3391"/>
    <w:rsid w:val="3FEE25A6"/>
    <w:rsid w:val="3FEFEB19"/>
    <w:rsid w:val="3FF55337"/>
    <w:rsid w:val="401340CF"/>
    <w:rsid w:val="40271505"/>
    <w:rsid w:val="4038621E"/>
    <w:rsid w:val="404B12B6"/>
    <w:rsid w:val="407C6B22"/>
    <w:rsid w:val="40896772"/>
    <w:rsid w:val="408A6646"/>
    <w:rsid w:val="408E1470"/>
    <w:rsid w:val="40AB47AE"/>
    <w:rsid w:val="40B01F51"/>
    <w:rsid w:val="40EB316E"/>
    <w:rsid w:val="40FD1895"/>
    <w:rsid w:val="411B2DF1"/>
    <w:rsid w:val="416666BA"/>
    <w:rsid w:val="41794C82"/>
    <w:rsid w:val="41C46461"/>
    <w:rsid w:val="41CA2B9F"/>
    <w:rsid w:val="41CA57E6"/>
    <w:rsid w:val="41DD00FA"/>
    <w:rsid w:val="420116F1"/>
    <w:rsid w:val="42181C53"/>
    <w:rsid w:val="423A56F9"/>
    <w:rsid w:val="42415A88"/>
    <w:rsid w:val="42471A0D"/>
    <w:rsid w:val="424F51B8"/>
    <w:rsid w:val="42586B73"/>
    <w:rsid w:val="42595B4F"/>
    <w:rsid w:val="42616D31"/>
    <w:rsid w:val="42725944"/>
    <w:rsid w:val="42807077"/>
    <w:rsid w:val="428471F1"/>
    <w:rsid w:val="42B257AA"/>
    <w:rsid w:val="42CE4911"/>
    <w:rsid w:val="42E2716E"/>
    <w:rsid w:val="430F11B1"/>
    <w:rsid w:val="431A2D2E"/>
    <w:rsid w:val="432668C5"/>
    <w:rsid w:val="43656728"/>
    <w:rsid w:val="43671A31"/>
    <w:rsid w:val="43897286"/>
    <w:rsid w:val="439E0787"/>
    <w:rsid w:val="439F30CC"/>
    <w:rsid w:val="43A13448"/>
    <w:rsid w:val="43A44928"/>
    <w:rsid w:val="43AA73CC"/>
    <w:rsid w:val="43B43555"/>
    <w:rsid w:val="43C62A17"/>
    <w:rsid w:val="43EF4B3E"/>
    <w:rsid w:val="43F2066E"/>
    <w:rsid w:val="43F73DB8"/>
    <w:rsid w:val="442626C9"/>
    <w:rsid w:val="44565330"/>
    <w:rsid w:val="446C50BE"/>
    <w:rsid w:val="447568C9"/>
    <w:rsid w:val="447649E2"/>
    <w:rsid w:val="44A82F34"/>
    <w:rsid w:val="44A86ED4"/>
    <w:rsid w:val="44C0645C"/>
    <w:rsid w:val="44E67CEF"/>
    <w:rsid w:val="44ED4282"/>
    <w:rsid w:val="4511447F"/>
    <w:rsid w:val="45196055"/>
    <w:rsid w:val="451D0B23"/>
    <w:rsid w:val="45221F84"/>
    <w:rsid w:val="45314C2D"/>
    <w:rsid w:val="454809AA"/>
    <w:rsid w:val="45513DB5"/>
    <w:rsid w:val="45585924"/>
    <w:rsid w:val="457D6856"/>
    <w:rsid w:val="458A60D0"/>
    <w:rsid w:val="45A162A4"/>
    <w:rsid w:val="45C344D5"/>
    <w:rsid w:val="45CD0E25"/>
    <w:rsid w:val="45CD2333"/>
    <w:rsid w:val="45D4223E"/>
    <w:rsid w:val="45F073E5"/>
    <w:rsid w:val="45F12DF0"/>
    <w:rsid w:val="4612161E"/>
    <w:rsid w:val="462B17C0"/>
    <w:rsid w:val="466E763C"/>
    <w:rsid w:val="46737CA9"/>
    <w:rsid w:val="46B12F19"/>
    <w:rsid w:val="46B966C1"/>
    <w:rsid w:val="46BF6A4A"/>
    <w:rsid w:val="46D201C1"/>
    <w:rsid w:val="46EF6BE8"/>
    <w:rsid w:val="47093DAF"/>
    <w:rsid w:val="47096000"/>
    <w:rsid w:val="4725454A"/>
    <w:rsid w:val="472E428D"/>
    <w:rsid w:val="47491FE6"/>
    <w:rsid w:val="47662010"/>
    <w:rsid w:val="4780247A"/>
    <w:rsid w:val="478F5E89"/>
    <w:rsid w:val="47B70B52"/>
    <w:rsid w:val="47CE4E5C"/>
    <w:rsid w:val="47FF6C21"/>
    <w:rsid w:val="4818117E"/>
    <w:rsid w:val="48423637"/>
    <w:rsid w:val="48754186"/>
    <w:rsid w:val="48763A80"/>
    <w:rsid w:val="487D4C88"/>
    <w:rsid w:val="48942204"/>
    <w:rsid w:val="48AE321A"/>
    <w:rsid w:val="48C447EC"/>
    <w:rsid w:val="48CC3D64"/>
    <w:rsid w:val="49374FBE"/>
    <w:rsid w:val="49450484"/>
    <w:rsid w:val="495A3133"/>
    <w:rsid w:val="496E2E6D"/>
    <w:rsid w:val="496F2A0B"/>
    <w:rsid w:val="498867F3"/>
    <w:rsid w:val="49AC75F3"/>
    <w:rsid w:val="49B365BE"/>
    <w:rsid w:val="49CC56D8"/>
    <w:rsid w:val="49D74418"/>
    <w:rsid w:val="49EB3C2F"/>
    <w:rsid w:val="4A1E617D"/>
    <w:rsid w:val="4A2066C8"/>
    <w:rsid w:val="4A282981"/>
    <w:rsid w:val="4A3776CE"/>
    <w:rsid w:val="4A3C5376"/>
    <w:rsid w:val="4A422212"/>
    <w:rsid w:val="4A56372E"/>
    <w:rsid w:val="4A850054"/>
    <w:rsid w:val="4A8A3813"/>
    <w:rsid w:val="4AB04806"/>
    <w:rsid w:val="4B032860"/>
    <w:rsid w:val="4B54774B"/>
    <w:rsid w:val="4B5F1F51"/>
    <w:rsid w:val="4B852DCF"/>
    <w:rsid w:val="4B90254E"/>
    <w:rsid w:val="4B92472D"/>
    <w:rsid w:val="4B9458CA"/>
    <w:rsid w:val="4BC70E32"/>
    <w:rsid w:val="4BCC1592"/>
    <w:rsid w:val="4BE82A6E"/>
    <w:rsid w:val="4BF90C50"/>
    <w:rsid w:val="4BFC604B"/>
    <w:rsid w:val="4C1C609D"/>
    <w:rsid w:val="4C2C3966"/>
    <w:rsid w:val="4C2E3F22"/>
    <w:rsid w:val="4C357DEE"/>
    <w:rsid w:val="4C3A7971"/>
    <w:rsid w:val="4C7A02CE"/>
    <w:rsid w:val="4C9B1065"/>
    <w:rsid w:val="4CA5688D"/>
    <w:rsid w:val="4CAD3F7D"/>
    <w:rsid w:val="4CBE6217"/>
    <w:rsid w:val="4CD900A4"/>
    <w:rsid w:val="4CF2527D"/>
    <w:rsid w:val="4D04165B"/>
    <w:rsid w:val="4D1667EC"/>
    <w:rsid w:val="4D40589B"/>
    <w:rsid w:val="4D4506E4"/>
    <w:rsid w:val="4D4765B4"/>
    <w:rsid w:val="4D4C3002"/>
    <w:rsid w:val="4D4E36B7"/>
    <w:rsid w:val="4D5048A0"/>
    <w:rsid w:val="4DD42D68"/>
    <w:rsid w:val="4E0240CE"/>
    <w:rsid w:val="4E084482"/>
    <w:rsid w:val="4E2152A8"/>
    <w:rsid w:val="4E401035"/>
    <w:rsid w:val="4E6F72C9"/>
    <w:rsid w:val="4E83121C"/>
    <w:rsid w:val="4E8B090D"/>
    <w:rsid w:val="4E8D1FA1"/>
    <w:rsid w:val="4EA7423A"/>
    <w:rsid w:val="4EAD1A6E"/>
    <w:rsid w:val="4EC05A55"/>
    <w:rsid w:val="4ED831E4"/>
    <w:rsid w:val="4EF56188"/>
    <w:rsid w:val="4F0D16EA"/>
    <w:rsid w:val="4F2942E0"/>
    <w:rsid w:val="4F50717C"/>
    <w:rsid w:val="4F5F1855"/>
    <w:rsid w:val="4F6F450D"/>
    <w:rsid w:val="4F7725A2"/>
    <w:rsid w:val="4F9369CC"/>
    <w:rsid w:val="4FA95577"/>
    <w:rsid w:val="4FC867E7"/>
    <w:rsid w:val="4FD61FCD"/>
    <w:rsid w:val="4FE253AD"/>
    <w:rsid w:val="4FFF1BBC"/>
    <w:rsid w:val="5000131E"/>
    <w:rsid w:val="50075AA8"/>
    <w:rsid w:val="500E4CA9"/>
    <w:rsid w:val="501516A2"/>
    <w:rsid w:val="50310445"/>
    <w:rsid w:val="503F7B7B"/>
    <w:rsid w:val="504434EB"/>
    <w:rsid w:val="505C73F1"/>
    <w:rsid w:val="507478A2"/>
    <w:rsid w:val="508126D0"/>
    <w:rsid w:val="50C66E8C"/>
    <w:rsid w:val="511B6F73"/>
    <w:rsid w:val="512B180A"/>
    <w:rsid w:val="513131D2"/>
    <w:rsid w:val="51363DAD"/>
    <w:rsid w:val="514575F6"/>
    <w:rsid w:val="514A4346"/>
    <w:rsid w:val="517B622D"/>
    <w:rsid w:val="517F11F2"/>
    <w:rsid w:val="518E38EB"/>
    <w:rsid w:val="519259E4"/>
    <w:rsid w:val="51973289"/>
    <w:rsid w:val="51A7212D"/>
    <w:rsid w:val="51AF325B"/>
    <w:rsid w:val="51BA41F6"/>
    <w:rsid w:val="51BF0246"/>
    <w:rsid w:val="51DC0DF8"/>
    <w:rsid w:val="51F61246"/>
    <w:rsid w:val="51FE27DF"/>
    <w:rsid w:val="52143607"/>
    <w:rsid w:val="52396338"/>
    <w:rsid w:val="524421C4"/>
    <w:rsid w:val="5293705E"/>
    <w:rsid w:val="529413BC"/>
    <w:rsid w:val="52CB4A77"/>
    <w:rsid w:val="531A7D66"/>
    <w:rsid w:val="5340781E"/>
    <w:rsid w:val="5349426B"/>
    <w:rsid w:val="534A3713"/>
    <w:rsid w:val="534F5DB3"/>
    <w:rsid w:val="53684AB8"/>
    <w:rsid w:val="53746A39"/>
    <w:rsid w:val="537D42D1"/>
    <w:rsid w:val="53990C1F"/>
    <w:rsid w:val="53AA19B5"/>
    <w:rsid w:val="53B03160"/>
    <w:rsid w:val="53CB58F5"/>
    <w:rsid w:val="53D02B93"/>
    <w:rsid w:val="53D2230C"/>
    <w:rsid w:val="53DA5EEF"/>
    <w:rsid w:val="53DE71F2"/>
    <w:rsid w:val="54005894"/>
    <w:rsid w:val="54112F25"/>
    <w:rsid w:val="541822EB"/>
    <w:rsid w:val="541A3187"/>
    <w:rsid w:val="54223970"/>
    <w:rsid w:val="54240834"/>
    <w:rsid w:val="54281736"/>
    <w:rsid w:val="544B3643"/>
    <w:rsid w:val="544C50BF"/>
    <w:rsid w:val="54703A7A"/>
    <w:rsid w:val="54964EE7"/>
    <w:rsid w:val="54B817A8"/>
    <w:rsid w:val="54C93FA5"/>
    <w:rsid w:val="54D80C05"/>
    <w:rsid w:val="54EF47C1"/>
    <w:rsid w:val="54F55C0F"/>
    <w:rsid w:val="551D45CE"/>
    <w:rsid w:val="55214A86"/>
    <w:rsid w:val="55293C6D"/>
    <w:rsid w:val="552D320D"/>
    <w:rsid w:val="55311188"/>
    <w:rsid w:val="553D2817"/>
    <w:rsid w:val="556B68E0"/>
    <w:rsid w:val="556F788D"/>
    <w:rsid w:val="55713605"/>
    <w:rsid w:val="55757DD5"/>
    <w:rsid w:val="55833A09"/>
    <w:rsid w:val="559F60BF"/>
    <w:rsid w:val="55C05381"/>
    <w:rsid w:val="55D360A4"/>
    <w:rsid w:val="55FD4C24"/>
    <w:rsid w:val="56226579"/>
    <w:rsid w:val="56236D75"/>
    <w:rsid w:val="563E685D"/>
    <w:rsid w:val="564878BA"/>
    <w:rsid w:val="566C71FF"/>
    <w:rsid w:val="567B06F9"/>
    <w:rsid w:val="56A720E4"/>
    <w:rsid w:val="56AD6E60"/>
    <w:rsid w:val="56AE6DCA"/>
    <w:rsid w:val="56DB1F38"/>
    <w:rsid w:val="56ED2373"/>
    <w:rsid w:val="57194D6F"/>
    <w:rsid w:val="57236447"/>
    <w:rsid w:val="57257505"/>
    <w:rsid w:val="572A6598"/>
    <w:rsid w:val="57550DEC"/>
    <w:rsid w:val="57974D9C"/>
    <w:rsid w:val="57A777B2"/>
    <w:rsid w:val="57B45B76"/>
    <w:rsid w:val="57C223A8"/>
    <w:rsid w:val="57D53C2B"/>
    <w:rsid w:val="57DB6D71"/>
    <w:rsid w:val="57E109CE"/>
    <w:rsid w:val="57EB28B8"/>
    <w:rsid w:val="58010429"/>
    <w:rsid w:val="582C7139"/>
    <w:rsid w:val="58491AC9"/>
    <w:rsid w:val="588B319A"/>
    <w:rsid w:val="5893000F"/>
    <w:rsid w:val="5894458F"/>
    <w:rsid w:val="58951CE8"/>
    <w:rsid w:val="58982CBC"/>
    <w:rsid w:val="58D67DE4"/>
    <w:rsid w:val="58FB6AB1"/>
    <w:rsid w:val="59014F83"/>
    <w:rsid w:val="5909364B"/>
    <w:rsid w:val="5915404E"/>
    <w:rsid w:val="5916554A"/>
    <w:rsid w:val="59413DCE"/>
    <w:rsid w:val="59455603"/>
    <w:rsid w:val="59493D7A"/>
    <w:rsid w:val="596916CA"/>
    <w:rsid w:val="598F5A52"/>
    <w:rsid w:val="59AF55E8"/>
    <w:rsid w:val="59B152ED"/>
    <w:rsid w:val="59BA0072"/>
    <w:rsid w:val="59E9055B"/>
    <w:rsid w:val="59FB624F"/>
    <w:rsid w:val="5A0013FC"/>
    <w:rsid w:val="5A0F14DC"/>
    <w:rsid w:val="5A100905"/>
    <w:rsid w:val="5A152B94"/>
    <w:rsid w:val="5A310046"/>
    <w:rsid w:val="5A422723"/>
    <w:rsid w:val="5A7220FB"/>
    <w:rsid w:val="5A72779D"/>
    <w:rsid w:val="5A766620"/>
    <w:rsid w:val="5A7AAAB4"/>
    <w:rsid w:val="5A827493"/>
    <w:rsid w:val="5A8963BA"/>
    <w:rsid w:val="5A977118"/>
    <w:rsid w:val="5A9A7A80"/>
    <w:rsid w:val="5A9B35BC"/>
    <w:rsid w:val="5AAE0E58"/>
    <w:rsid w:val="5AC461A2"/>
    <w:rsid w:val="5AD97D6A"/>
    <w:rsid w:val="5AFA2FCC"/>
    <w:rsid w:val="5B042385"/>
    <w:rsid w:val="5B314A5A"/>
    <w:rsid w:val="5B411CCC"/>
    <w:rsid w:val="5B5E462C"/>
    <w:rsid w:val="5B671DED"/>
    <w:rsid w:val="5B707145"/>
    <w:rsid w:val="5B7943E2"/>
    <w:rsid w:val="5B977B3E"/>
    <w:rsid w:val="5BBB34B0"/>
    <w:rsid w:val="5BD46BC8"/>
    <w:rsid w:val="5BDB69BA"/>
    <w:rsid w:val="5BE13932"/>
    <w:rsid w:val="5BE2782F"/>
    <w:rsid w:val="5BF46D3E"/>
    <w:rsid w:val="5C1473E0"/>
    <w:rsid w:val="5C282DEF"/>
    <w:rsid w:val="5C4F21C6"/>
    <w:rsid w:val="5C537FC9"/>
    <w:rsid w:val="5C7B0D4C"/>
    <w:rsid w:val="5C9302F0"/>
    <w:rsid w:val="5CA1472C"/>
    <w:rsid w:val="5CAC33FE"/>
    <w:rsid w:val="5CC16BB9"/>
    <w:rsid w:val="5CC44CFA"/>
    <w:rsid w:val="5CC74453"/>
    <w:rsid w:val="5CCB3F43"/>
    <w:rsid w:val="5CD31049"/>
    <w:rsid w:val="5D022C5A"/>
    <w:rsid w:val="5D041203"/>
    <w:rsid w:val="5D234C15"/>
    <w:rsid w:val="5D4E2B1A"/>
    <w:rsid w:val="5D6347F3"/>
    <w:rsid w:val="5D6A2910"/>
    <w:rsid w:val="5D6E2727"/>
    <w:rsid w:val="5D9B7CF5"/>
    <w:rsid w:val="5D9F05C7"/>
    <w:rsid w:val="5DB06C95"/>
    <w:rsid w:val="5DBB2413"/>
    <w:rsid w:val="5DC627F5"/>
    <w:rsid w:val="5DDC4BB6"/>
    <w:rsid w:val="5E13603C"/>
    <w:rsid w:val="5E136DF5"/>
    <w:rsid w:val="5E1D07CE"/>
    <w:rsid w:val="5E385608"/>
    <w:rsid w:val="5E4B0C94"/>
    <w:rsid w:val="5E897E33"/>
    <w:rsid w:val="5E920E32"/>
    <w:rsid w:val="5E9A1C79"/>
    <w:rsid w:val="5E9C2A55"/>
    <w:rsid w:val="5E9D403D"/>
    <w:rsid w:val="5EAB402C"/>
    <w:rsid w:val="5EC116F3"/>
    <w:rsid w:val="5EC83E3A"/>
    <w:rsid w:val="5F2A32FA"/>
    <w:rsid w:val="5F454594"/>
    <w:rsid w:val="5F754FFF"/>
    <w:rsid w:val="5F8623A3"/>
    <w:rsid w:val="5FA108AA"/>
    <w:rsid w:val="5FAD0763"/>
    <w:rsid w:val="5FADEDAA"/>
    <w:rsid w:val="5FBF759A"/>
    <w:rsid w:val="5FE54833"/>
    <w:rsid w:val="5FF236A5"/>
    <w:rsid w:val="5FF25BC4"/>
    <w:rsid w:val="5FFB59D8"/>
    <w:rsid w:val="5FFD749C"/>
    <w:rsid w:val="60000D09"/>
    <w:rsid w:val="60372000"/>
    <w:rsid w:val="60391928"/>
    <w:rsid w:val="60443049"/>
    <w:rsid w:val="60B20A29"/>
    <w:rsid w:val="60B600D3"/>
    <w:rsid w:val="60E16B24"/>
    <w:rsid w:val="60FA6BA5"/>
    <w:rsid w:val="610932E0"/>
    <w:rsid w:val="610E08A2"/>
    <w:rsid w:val="612C0D28"/>
    <w:rsid w:val="612E08CB"/>
    <w:rsid w:val="61592FA0"/>
    <w:rsid w:val="61610FEB"/>
    <w:rsid w:val="61866641"/>
    <w:rsid w:val="618804A2"/>
    <w:rsid w:val="61B8077F"/>
    <w:rsid w:val="62023F0C"/>
    <w:rsid w:val="620878F2"/>
    <w:rsid w:val="62255052"/>
    <w:rsid w:val="624869B3"/>
    <w:rsid w:val="62614A02"/>
    <w:rsid w:val="626562A0"/>
    <w:rsid w:val="62725B06"/>
    <w:rsid w:val="6289331F"/>
    <w:rsid w:val="62896145"/>
    <w:rsid w:val="62AE304C"/>
    <w:rsid w:val="62BB05B6"/>
    <w:rsid w:val="62D53A61"/>
    <w:rsid w:val="62EB23F5"/>
    <w:rsid w:val="62F75334"/>
    <w:rsid w:val="630A6F40"/>
    <w:rsid w:val="632B7B41"/>
    <w:rsid w:val="633751D2"/>
    <w:rsid w:val="634007D2"/>
    <w:rsid w:val="63435AC6"/>
    <w:rsid w:val="638C3D00"/>
    <w:rsid w:val="638D1CCF"/>
    <w:rsid w:val="63AC1768"/>
    <w:rsid w:val="63B86C68"/>
    <w:rsid w:val="63D65379"/>
    <w:rsid w:val="63ED8B96"/>
    <w:rsid w:val="64224CCA"/>
    <w:rsid w:val="643506F4"/>
    <w:rsid w:val="643549A5"/>
    <w:rsid w:val="64540547"/>
    <w:rsid w:val="645F46D4"/>
    <w:rsid w:val="648E6258"/>
    <w:rsid w:val="64AD4D63"/>
    <w:rsid w:val="64D578F5"/>
    <w:rsid w:val="64E83484"/>
    <w:rsid w:val="6502071E"/>
    <w:rsid w:val="65185903"/>
    <w:rsid w:val="652137CE"/>
    <w:rsid w:val="65481991"/>
    <w:rsid w:val="655A2308"/>
    <w:rsid w:val="659F174F"/>
    <w:rsid w:val="65A11D3F"/>
    <w:rsid w:val="65A2780B"/>
    <w:rsid w:val="65BE1A9B"/>
    <w:rsid w:val="65C6174B"/>
    <w:rsid w:val="65EA12EE"/>
    <w:rsid w:val="66005EA4"/>
    <w:rsid w:val="660A3F0B"/>
    <w:rsid w:val="66136A8F"/>
    <w:rsid w:val="66285F62"/>
    <w:rsid w:val="66331C6B"/>
    <w:rsid w:val="66417024"/>
    <w:rsid w:val="6651287E"/>
    <w:rsid w:val="66566E93"/>
    <w:rsid w:val="66C51A03"/>
    <w:rsid w:val="66ED547A"/>
    <w:rsid w:val="67051B86"/>
    <w:rsid w:val="67254250"/>
    <w:rsid w:val="672F1572"/>
    <w:rsid w:val="673E5311"/>
    <w:rsid w:val="678649DF"/>
    <w:rsid w:val="678E0566"/>
    <w:rsid w:val="67931230"/>
    <w:rsid w:val="679E5011"/>
    <w:rsid w:val="67D35FA8"/>
    <w:rsid w:val="67EC3173"/>
    <w:rsid w:val="67ED2E07"/>
    <w:rsid w:val="681169E5"/>
    <w:rsid w:val="681231A8"/>
    <w:rsid w:val="682B3AE8"/>
    <w:rsid w:val="682E3531"/>
    <w:rsid w:val="68305DE3"/>
    <w:rsid w:val="683C0435"/>
    <w:rsid w:val="68617509"/>
    <w:rsid w:val="68962D48"/>
    <w:rsid w:val="68970246"/>
    <w:rsid w:val="68C46C59"/>
    <w:rsid w:val="68CB7CCA"/>
    <w:rsid w:val="68DB6C5C"/>
    <w:rsid w:val="68F62F60"/>
    <w:rsid w:val="69014A99"/>
    <w:rsid w:val="692639E6"/>
    <w:rsid w:val="694B127D"/>
    <w:rsid w:val="69735540"/>
    <w:rsid w:val="697D65C5"/>
    <w:rsid w:val="69AF2EA3"/>
    <w:rsid w:val="69BE6329"/>
    <w:rsid w:val="69DC68F1"/>
    <w:rsid w:val="69E01579"/>
    <w:rsid w:val="6A2D57C7"/>
    <w:rsid w:val="6A2D6606"/>
    <w:rsid w:val="6A64532A"/>
    <w:rsid w:val="6A75644F"/>
    <w:rsid w:val="6A9446FD"/>
    <w:rsid w:val="6A987D9B"/>
    <w:rsid w:val="6AAF67F3"/>
    <w:rsid w:val="6AB17D23"/>
    <w:rsid w:val="6ADA35A3"/>
    <w:rsid w:val="6AEF34F2"/>
    <w:rsid w:val="6B160100"/>
    <w:rsid w:val="6B303356"/>
    <w:rsid w:val="6B380117"/>
    <w:rsid w:val="6B474638"/>
    <w:rsid w:val="6B4B624F"/>
    <w:rsid w:val="6B5D624C"/>
    <w:rsid w:val="6B7C1EBB"/>
    <w:rsid w:val="6B930BEB"/>
    <w:rsid w:val="6BA26974"/>
    <w:rsid w:val="6BB11934"/>
    <w:rsid w:val="6BDF1A40"/>
    <w:rsid w:val="6BF916E5"/>
    <w:rsid w:val="6BFC7963"/>
    <w:rsid w:val="6C0121F2"/>
    <w:rsid w:val="6C0D6183"/>
    <w:rsid w:val="6C145F18"/>
    <w:rsid w:val="6C5C5A43"/>
    <w:rsid w:val="6C692C46"/>
    <w:rsid w:val="6C711CE5"/>
    <w:rsid w:val="6CCB3383"/>
    <w:rsid w:val="6CDC173F"/>
    <w:rsid w:val="6CE32BE3"/>
    <w:rsid w:val="6CF921AA"/>
    <w:rsid w:val="6D027D3A"/>
    <w:rsid w:val="6D0631A5"/>
    <w:rsid w:val="6D0A4613"/>
    <w:rsid w:val="6D1116DB"/>
    <w:rsid w:val="6D267C7A"/>
    <w:rsid w:val="6D324CC6"/>
    <w:rsid w:val="6D527D69"/>
    <w:rsid w:val="6D9A3D0F"/>
    <w:rsid w:val="6DAB481E"/>
    <w:rsid w:val="6DB1381B"/>
    <w:rsid w:val="6DDF5FEC"/>
    <w:rsid w:val="6DEE5CE3"/>
    <w:rsid w:val="6E061386"/>
    <w:rsid w:val="6E071FCB"/>
    <w:rsid w:val="6E571A3C"/>
    <w:rsid w:val="6E6A4722"/>
    <w:rsid w:val="6E787CAC"/>
    <w:rsid w:val="6E7B0B2F"/>
    <w:rsid w:val="6E942480"/>
    <w:rsid w:val="6E9E0A76"/>
    <w:rsid w:val="6EBE3CA9"/>
    <w:rsid w:val="6EC151A6"/>
    <w:rsid w:val="6F18202F"/>
    <w:rsid w:val="6F3974C7"/>
    <w:rsid w:val="6F556011"/>
    <w:rsid w:val="6F65700C"/>
    <w:rsid w:val="6F8166E3"/>
    <w:rsid w:val="6FA554A5"/>
    <w:rsid w:val="6FB97D65"/>
    <w:rsid w:val="6FD70B31"/>
    <w:rsid w:val="6FEA072C"/>
    <w:rsid w:val="6FF67D07"/>
    <w:rsid w:val="700668A1"/>
    <w:rsid w:val="70300156"/>
    <w:rsid w:val="708B52EB"/>
    <w:rsid w:val="70A2745E"/>
    <w:rsid w:val="70C15F69"/>
    <w:rsid w:val="70C83502"/>
    <w:rsid w:val="70D12A05"/>
    <w:rsid w:val="71432F18"/>
    <w:rsid w:val="714559FA"/>
    <w:rsid w:val="714C2C04"/>
    <w:rsid w:val="715C11B6"/>
    <w:rsid w:val="715E0D9E"/>
    <w:rsid w:val="7190169E"/>
    <w:rsid w:val="71B65F33"/>
    <w:rsid w:val="71E700C3"/>
    <w:rsid w:val="71F907B3"/>
    <w:rsid w:val="71F93D7C"/>
    <w:rsid w:val="720937F1"/>
    <w:rsid w:val="720F4029"/>
    <w:rsid w:val="722E70A1"/>
    <w:rsid w:val="72433E82"/>
    <w:rsid w:val="724D24D7"/>
    <w:rsid w:val="72557DA2"/>
    <w:rsid w:val="72625D89"/>
    <w:rsid w:val="726B5149"/>
    <w:rsid w:val="72A058EF"/>
    <w:rsid w:val="72C3183B"/>
    <w:rsid w:val="730055FF"/>
    <w:rsid w:val="7341101C"/>
    <w:rsid w:val="734862C2"/>
    <w:rsid w:val="735E5441"/>
    <w:rsid w:val="73610EFC"/>
    <w:rsid w:val="736762F1"/>
    <w:rsid w:val="739E028D"/>
    <w:rsid w:val="73A06813"/>
    <w:rsid w:val="73A759EA"/>
    <w:rsid w:val="73BC0AEF"/>
    <w:rsid w:val="73C308A9"/>
    <w:rsid w:val="73DC4E8D"/>
    <w:rsid w:val="73E5664A"/>
    <w:rsid w:val="73E572CC"/>
    <w:rsid w:val="741167E0"/>
    <w:rsid w:val="74253B04"/>
    <w:rsid w:val="74257F85"/>
    <w:rsid w:val="74534AF2"/>
    <w:rsid w:val="74552BD0"/>
    <w:rsid w:val="747E022E"/>
    <w:rsid w:val="74AE6803"/>
    <w:rsid w:val="74B61EFC"/>
    <w:rsid w:val="74BB751E"/>
    <w:rsid w:val="74C652C4"/>
    <w:rsid w:val="750B717B"/>
    <w:rsid w:val="75155E21"/>
    <w:rsid w:val="75222E9E"/>
    <w:rsid w:val="7525740C"/>
    <w:rsid w:val="75371FEE"/>
    <w:rsid w:val="75427E00"/>
    <w:rsid w:val="75622F87"/>
    <w:rsid w:val="75657ACC"/>
    <w:rsid w:val="75A650F5"/>
    <w:rsid w:val="75AE51B3"/>
    <w:rsid w:val="75BB2E4E"/>
    <w:rsid w:val="75E02113"/>
    <w:rsid w:val="75EFEF28"/>
    <w:rsid w:val="763E36E4"/>
    <w:rsid w:val="764A3758"/>
    <w:rsid w:val="766F3C0A"/>
    <w:rsid w:val="76726D86"/>
    <w:rsid w:val="76781638"/>
    <w:rsid w:val="767D5DFE"/>
    <w:rsid w:val="76A258BD"/>
    <w:rsid w:val="76B313A7"/>
    <w:rsid w:val="76D37824"/>
    <w:rsid w:val="76FA5B62"/>
    <w:rsid w:val="77173371"/>
    <w:rsid w:val="77547D8E"/>
    <w:rsid w:val="775751C9"/>
    <w:rsid w:val="775F3697"/>
    <w:rsid w:val="77636CFD"/>
    <w:rsid w:val="777E10BE"/>
    <w:rsid w:val="77A74F3E"/>
    <w:rsid w:val="77AB1E64"/>
    <w:rsid w:val="77AF36B7"/>
    <w:rsid w:val="77B51988"/>
    <w:rsid w:val="77C13B96"/>
    <w:rsid w:val="77C84169"/>
    <w:rsid w:val="77C87AE1"/>
    <w:rsid w:val="77DD24EE"/>
    <w:rsid w:val="77E31DA0"/>
    <w:rsid w:val="77E85551"/>
    <w:rsid w:val="77FE290E"/>
    <w:rsid w:val="782E04C1"/>
    <w:rsid w:val="783158D7"/>
    <w:rsid w:val="789664E8"/>
    <w:rsid w:val="78AB5796"/>
    <w:rsid w:val="78C26A79"/>
    <w:rsid w:val="78CD5F14"/>
    <w:rsid w:val="78D16A57"/>
    <w:rsid w:val="78F54912"/>
    <w:rsid w:val="791A1ED6"/>
    <w:rsid w:val="79316A18"/>
    <w:rsid w:val="793C04E8"/>
    <w:rsid w:val="794655E4"/>
    <w:rsid w:val="794E4864"/>
    <w:rsid w:val="79550BAB"/>
    <w:rsid w:val="797E7695"/>
    <w:rsid w:val="79975BE2"/>
    <w:rsid w:val="799A068C"/>
    <w:rsid w:val="79A503B5"/>
    <w:rsid w:val="79AB0BFD"/>
    <w:rsid w:val="79C142AC"/>
    <w:rsid w:val="79DB4D19"/>
    <w:rsid w:val="79E86A9E"/>
    <w:rsid w:val="7A1609CC"/>
    <w:rsid w:val="7A1D7C56"/>
    <w:rsid w:val="7A2A23D5"/>
    <w:rsid w:val="7A2A6AA8"/>
    <w:rsid w:val="7A3C7DD6"/>
    <w:rsid w:val="7A575834"/>
    <w:rsid w:val="7A7217F4"/>
    <w:rsid w:val="7A75036E"/>
    <w:rsid w:val="7A7A20E2"/>
    <w:rsid w:val="7A85352B"/>
    <w:rsid w:val="7A8E0A95"/>
    <w:rsid w:val="7A925167"/>
    <w:rsid w:val="7AA63662"/>
    <w:rsid w:val="7AAB101F"/>
    <w:rsid w:val="7ABD46C9"/>
    <w:rsid w:val="7ACC6E7D"/>
    <w:rsid w:val="7ADB5CE3"/>
    <w:rsid w:val="7AE718AA"/>
    <w:rsid w:val="7B1754E5"/>
    <w:rsid w:val="7B630D2E"/>
    <w:rsid w:val="7B66100C"/>
    <w:rsid w:val="7B664809"/>
    <w:rsid w:val="7B6D59AB"/>
    <w:rsid w:val="7B735A7A"/>
    <w:rsid w:val="7B7D45AF"/>
    <w:rsid w:val="7B824E89"/>
    <w:rsid w:val="7B972123"/>
    <w:rsid w:val="7BAF770D"/>
    <w:rsid w:val="7BB15EA8"/>
    <w:rsid w:val="7BCCD093"/>
    <w:rsid w:val="7BCD4645"/>
    <w:rsid w:val="7BD02338"/>
    <w:rsid w:val="7BD04E46"/>
    <w:rsid w:val="7BFA3AA5"/>
    <w:rsid w:val="7BFF3FF0"/>
    <w:rsid w:val="7BFFF520"/>
    <w:rsid w:val="7C511EF8"/>
    <w:rsid w:val="7C574A54"/>
    <w:rsid w:val="7C66427D"/>
    <w:rsid w:val="7C6A15B3"/>
    <w:rsid w:val="7C945460"/>
    <w:rsid w:val="7C9E673B"/>
    <w:rsid w:val="7CBC7F59"/>
    <w:rsid w:val="7CC41FB0"/>
    <w:rsid w:val="7CC91242"/>
    <w:rsid w:val="7CD442F6"/>
    <w:rsid w:val="7CDA2F0B"/>
    <w:rsid w:val="7CDF05EB"/>
    <w:rsid w:val="7CEA2C16"/>
    <w:rsid w:val="7D2C7332"/>
    <w:rsid w:val="7D376633"/>
    <w:rsid w:val="7D6733BC"/>
    <w:rsid w:val="7D7677A2"/>
    <w:rsid w:val="7D82798E"/>
    <w:rsid w:val="7D965A4F"/>
    <w:rsid w:val="7DB33574"/>
    <w:rsid w:val="7DBF2BD2"/>
    <w:rsid w:val="7DBF7D47"/>
    <w:rsid w:val="7DC66CDF"/>
    <w:rsid w:val="7DCD49D2"/>
    <w:rsid w:val="7DE26FF3"/>
    <w:rsid w:val="7DEE08D7"/>
    <w:rsid w:val="7DEF0F96"/>
    <w:rsid w:val="7E195714"/>
    <w:rsid w:val="7E4454AB"/>
    <w:rsid w:val="7E576F8D"/>
    <w:rsid w:val="7E795155"/>
    <w:rsid w:val="7E8F5EE9"/>
    <w:rsid w:val="7EE95F2E"/>
    <w:rsid w:val="7EEE6272"/>
    <w:rsid w:val="7EFD013F"/>
    <w:rsid w:val="7F151E60"/>
    <w:rsid w:val="7F197300"/>
    <w:rsid w:val="7F730D60"/>
    <w:rsid w:val="7F7FA9CC"/>
    <w:rsid w:val="7F8411DA"/>
    <w:rsid w:val="7F9E8A4F"/>
    <w:rsid w:val="7FA667B1"/>
    <w:rsid w:val="7FBCA3E1"/>
    <w:rsid w:val="7FBE4E6D"/>
    <w:rsid w:val="7FE6E78B"/>
    <w:rsid w:val="7FEE7AFB"/>
    <w:rsid w:val="7FF93BCA"/>
    <w:rsid w:val="7FFBD0C7"/>
    <w:rsid w:val="7FFD5506"/>
    <w:rsid w:val="7FFFC01D"/>
    <w:rsid w:val="82038A93"/>
    <w:rsid w:val="8F3F55FE"/>
    <w:rsid w:val="97BD66AE"/>
    <w:rsid w:val="9DBFC996"/>
    <w:rsid w:val="9FBE3B40"/>
    <w:rsid w:val="AB53E432"/>
    <w:rsid w:val="AFF78924"/>
    <w:rsid w:val="B5BA07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Body Text First Indent 2" w:uiPriority="99" w:unhideWhenUsed="1"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7EF2"/>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267EF2"/>
    <w:pPr>
      <w:keepNext/>
      <w:keepLines/>
      <w:widowControl/>
      <w:spacing w:before="120" w:after="60" w:line="500" w:lineRule="exact"/>
      <w:ind w:firstLineChars="200" w:firstLine="800"/>
      <w:jc w:val="left"/>
      <w:outlineLvl w:val="0"/>
    </w:pPr>
    <w:rPr>
      <w:rFonts w:ascii="Times New Roman" w:eastAsia="黑体" w:hAnsi="Times New Roman" w:cs="Times New Roman"/>
      <w:bCs/>
      <w:color w:val="000000"/>
      <w:kern w:val="0"/>
      <w:sz w:val="28"/>
      <w:szCs w:val="28"/>
      <w:lang w:val="zh-CN"/>
    </w:rPr>
  </w:style>
  <w:style w:type="paragraph" w:styleId="2">
    <w:name w:val="heading 2"/>
    <w:basedOn w:val="a"/>
    <w:next w:val="a"/>
    <w:qFormat/>
    <w:rsid w:val="00267EF2"/>
    <w:pPr>
      <w:keepNext/>
      <w:keepLines/>
      <w:widowControl/>
      <w:spacing w:before="120" w:after="60" w:line="500" w:lineRule="exact"/>
      <w:ind w:firstLineChars="200" w:firstLine="800"/>
      <w:jc w:val="left"/>
      <w:outlineLvl w:val="1"/>
    </w:pPr>
    <w:rPr>
      <w:rFonts w:ascii="Times New Roman" w:eastAsia="楷体" w:hAnsi="Times New Roman" w:cs="Times New Roman"/>
      <w:bCs/>
      <w:color w:val="000000"/>
      <w:kern w:val="0"/>
      <w:sz w:val="28"/>
      <w:szCs w:val="26"/>
      <w:lang w:val="zh-CN"/>
    </w:rPr>
  </w:style>
  <w:style w:type="paragraph" w:styleId="3">
    <w:name w:val="heading 3"/>
    <w:basedOn w:val="a"/>
    <w:next w:val="a"/>
    <w:semiHidden/>
    <w:unhideWhenUsed/>
    <w:qFormat/>
    <w:rsid w:val="00267EF2"/>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semiHidden/>
    <w:unhideWhenUsed/>
    <w:qFormat/>
    <w:rsid w:val="00267EF2"/>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267EF2"/>
    <w:pPr>
      <w:jc w:val="left"/>
    </w:pPr>
  </w:style>
  <w:style w:type="paragraph" w:styleId="a4">
    <w:name w:val="Body Text Indent"/>
    <w:basedOn w:val="a"/>
    <w:next w:val="a"/>
    <w:qFormat/>
    <w:rsid w:val="00267EF2"/>
    <w:pPr>
      <w:widowControl/>
      <w:spacing w:before="100" w:beforeAutospacing="1" w:after="100" w:afterAutospacing="1"/>
      <w:jc w:val="left"/>
    </w:pPr>
    <w:rPr>
      <w:rFonts w:ascii="宋体" w:eastAsia="宋体" w:hAnsi="宋体"/>
      <w:kern w:val="0"/>
      <w:sz w:val="24"/>
    </w:rPr>
  </w:style>
  <w:style w:type="paragraph" w:styleId="20">
    <w:name w:val="Body Text Indent 2"/>
    <w:basedOn w:val="a"/>
    <w:qFormat/>
    <w:rsid w:val="00267EF2"/>
    <w:pPr>
      <w:widowControl/>
      <w:spacing w:line="330" w:lineRule="atLeast"/>
      <w:ind w:firstLine="420"/>
      <w:jc w:val="left"/>
    </w:pPr>
    <w:rPr>
      <w:rFonts w:ascii="宋体" w:hAnsi="宋体"/>
      <w:color w:val="000000"/>
      <w:kern w:val="0"/>
      <w:szCs w:val="21"/>
    </w:rPr>
  </w:style>
  <w:style w:type="paragraph" w:styleId="a5">
    <w:name w:val="footer"/>
    <w:basedOn w:val="a"/>
    <w:link w:val="Char"/>
    <w:uiPriority w:val="99"/>
    <w:qFormat/>
    <w:rsid w:val="00267EF2"/>
    <w:pPr>
      <w:tabs>
        <w:tab w:val="center" w:pos="4153"/>
        <w:tab w:val="right" w:pos="8306"/>
      </w:tabs>
      <w:snapToGrid w:val="0"/>
      <w:jc w:val="left"/>
    </w:pPr>
    <w:rPr>
      <w:sz w:val="18"/>
    </w:rPr>
  </w:style>
  <w:style w:type="paragraph" w:styleId="a6">
    <w:name w:val="header"/>
    <w:basedOn w:val="a"/>
    <w:qFormat/>
    <w:rsid w:val="00267EF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qFormat/>
    <w:rsid w:val="00267EF2"/>
  </w:style>
  <w:style w:type="paragraph" w:styleId="21">
    <w:name w:val="toc 2"/>
    <w:basedOn w:val="a"/>
    <w:next w:val="a"/>
    <w:qFormat/>
    <w:rsid w:val="00267EF2"/>
    <w:pPr>
      <w:ind w:leftChars="200" w:left="420"/>
    </w:pPr>
  </w:style>
  <w:style w:type="paragraph" w:styleId="a7">
    <w:name w:val="Normal (Web)"/>
    <w:basedOn w:val="a"/>
    <w:qFormat/>
    <w:rsid w:val="00267EF2"/>
    <w:rPr>
      <w:sz w:val="24"/>
    </w:rPr>
  </w:style>
  <w:style w:type="paragraph" w:styleId="a8">
    <w:name w:val="Title"/>
    <w:basedOn w:val="a"/>
    <w:next w:val="a"/>
    <w:qFormat/>
    <w:rsid w:val="00267EF2"/>
    <w:pPr>
      <w:adjustRightInd w:val="0"/>
      <w:snapToGrid w:val="0"/>
      <w:spacing w:line="360" w:lineRule="auto"/>
      <w:ind w:firstLineChars="200" w:firstLine="800"/>
      <w:jc w:val="left"/>
      <w:outlineLvl w:val="0"/>
    </w:pPr>
    <w:rPr>
      <w:rFonts w:ascii="Arial" w:eastAsia="仿宋" w:hAnsi="Arial"/>
      <w:sz w:val="32"/>
      <w:szCs w:val="32"/>
    </w:rPr>
  </w:style>
  <w:style w:type="paragraph" w:styleId="22">
    <w:name w:val="Body Text First Indent 2"/>
    <w:basedOn w:val="a4"/>
    <w:uiPriority w:val="99"/>
    <w:unhideWhenUsed/>
    <w:qFormat/>
    <w:rsid w:val="00267EF2"/>
    <w:pPr>
      <w:ind w:firstLine="420"/>
    </w:pPr>
  </w:style>
  <w:style w:type="table" w:styleId="a9">
    <w:name w:val="Table Grid"/>
    <w:basedOn w:val="a1"/>
    <w:qFormat/>
    <w:rsid w:val="00267EF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qFormat/>
    <w:rsid w:val="00267EF2"/>
    <w:rPr>
      <w:b/>
    </w:rPr>
  </w:style>
  <w:style w:type="paragraph" w:customStyle="1" w:styleId="Style3">
    <w:name w:val="_Style 3"/>
    <w:basedOn w:val="a"/>
    <w:next w:val="ab"/>
    <w:uiPriority w:val="99"/>
    <w:unhideWhenUsed/>
    <w:qFormat/>
    <w:rsid w:val="00267EF2"/>
    <w:pPr>
      <w:spacing w:line="360" w:lineRule="auto"/>
      <w:ind w:firstLineChars="200" w:firstLine="420"/>
      <w:jc w:val="left"/>
    </w:pPr>
    <w:rPr>
      <w:rFonts w:ascii="Times New Roman" w:eastAsia="仿宋" w:hAnsi="Times New Roman"/>
      <w:sz w:val="32"/>
      <w:lang w:eastAsia="zh-TW"/>
    </w:rPr>
  </w:style>
  <w:style w:type="paragraph" w:styleId="ab">
    <w:name w:val="List Paragraph"/>
    <w:basedOn w:val="a"/>
    <w:uiPriority w:val="34"/>
    <w:qFormat/>
    <w:rsid w:val="00267EF2"/>
    <w:pPr>
      <w:ind w:firstLineChars="200" w:firstLine="420"/>
    </w:pPr>
  </w:style>
  <w:style w:type="paragraph" w:customStyle="1" w:styleId="11">
    <w:name w:val="正文1"/>
    <w:qFormat/>
    <w:rsid w:val="00267EF2"/>
    <w:pPr>
      <w:widowControl w:val="0"/>
      <w:jc w:val="both"/>
    </w:pPr>
    <w:rPr>
      <w:kern w:val="2"/>
      <w:sz w:val="21"/>
      <w:szCs w:val="24"/>
    </w:rPr>
  </w:style>
  <w:style w:type="character" w:customStyle="1" w:styleId="Char">
    <w:name w:val="页脚 Char"/>
    <w:basedOn w:val="a0"/>
    <w:link w:val="a5"/>
    <w:uiPriority w:val="99"/>
    <w:qFormat/>
    <w:rsid w:val="00267EF2"/>
    <w:rPr>
      <w:rFonts w:asciiTheme="minorHAnsi" w:eastAsiaTheme="minorEastAsia" w:hAnsiTheme="minorHAnsi" w:cstheme="minorBidi"/>
      <w:kern w:val="2"/>
      <w:sz w:val="18"/>
      <w:szCs w:val="24"/>
    </w:rPr>
  </w:style>
  <w:style w:type="paragraph" w:customStyle="1" w:styleId="p0">
    <w:name w:val="p0"/>
    <w:basedOn w:val="a"/>
    <w:qFormat/>
    <w:rsid w:val="00267EF2"/>
    <w:pPr>
      <w:wordWrap w:val="0"/>
    </w:pPr>
    <w:rPr>
      <w:rFonts w:ascii="Calibri" w:eastAsia="仿宋" w:hAnsi="Calibri"/>
    </w:rPr>
  </w:style>
  <w:style w:type="paragraph" w:customStyle="1" w:styleId="BodyText1I2">
    <w:name w:val="BodyText1I2"/>
    <w:basedOn w:val="BodyTextIndent"/>
    <w:qFormat/>
    <w:rsid w:val="00267EF2"/>
    <w:pPr>
      <w:ind w:firstLineChars="200" w:firstLine="420"/>
    </w:pPr>
  </w:style>
  <w:style w:type="paragraph" w:customStyle="1" w:styleId="BodyTextIndent">
    <w:name w:val="BodyTextIndent"/>
    <w:basedOn w:val="a"/>
    <w:qFormat/>
    <w:rsid w:val="00267EF2"/>
    <w:pPr>
      <w:spacing w:after="120"/>
      <w:ind w:leftChars="200" w:left="420"/>
      <w:textAlignment w:val="baseline"/>
    </w:pPr>
  </w:style>
  <w:style w:type="paragraph" w:styleId="ac">
    <w:name w:val="Balloon Text"/>
    <w:basedOn w:val="a"/>
    <w:link w:val="Char0"/>
    <w:rsid w:val="00063E00"/>
    <w:rPr>
      <w:sz w:val="18"/>
      <w:szCs w:val="18"/>
    </w:rPr>
  </w:style>
  <w:style w:type="character" w:customStyle="1" w:styleId="Char0">
    <w:name w:val="批注框文本 Char"/>
    <w:basedOn w:val="a0"/>
    <w:link w:val="ac"/>
    <w:rsid w:val="00063E00"/>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3336583f-bbe9-418c-bcaf-2e949425eaf1</errorID>
      <errorWord>，</errorWord>
      <group>L1_Grammar</group>
      <groupName>语法问题</groupName>
      <ability>L2_Missing</ability>
      <abilityName>成分残缺</abilityName>
      <candidateList>
        <item>的问题，</item>
      </candidateList>
      <explain>句子中可能存在主谓宾、修饰语或者必要的词语残缺。</explain>
      <paraID>6E95374D</paraID>
      <start>52</start>
      <end>53</end>
      <status>unmodified</status>
      <modifiedWord/>
      <trackRevisions>false</trackRevisions>
    </reviewItem>
    <reviewItem>
      <errorID>1f81441c-7b13-4be4-9423-8e43b52897fd</errorID>
      <errorWord>秸秆饲料利用</errorWord>
      <group>L1_Word</group>
      <groupName>字词问题</groupName>
      <ability>L2_Typo</ability>
      <abilityName>字词错误</abilityName>
      <candidateList>
        <item>秸秆饲料化利用</item>
      </candidateList>
      <explain/>
      <paraID>5998B082</paraID>
      <start>0</start>
      <end>6</end>
      <status>unmodified</status>
      <modifiedWord/>
      <trackRevisions>false</trackRevisions>
    </reviewItem>
    <reviewItem>
      <errorID>0c8b0b78-bf43-4bd3-9dcc-6ebf0b60e7e9</errorID>
      <errorWord>秸秆饲料利用</errorWord>
      <group>L1_Word</group>
      <groupName>字词问题</groupName>
      <ability>L2_Typo</ability>
      <abilityName>字词错误</abilityName>
      <candidateList>
        <item>秸秆饲料化利用</item>
      </candidateList>
      <explain/>
      <paraID>5B2543AD</paraID>
      <start>152</start>
      <end>158</end>
      <status>unmodified</status>
      <modifiedWord/>
      <trackRevisions>false</trackRevisions>
    </reviewItem>
    <reviewItem>
      <errorID>7eabc88b-0db5-487e-bc1e-968c09377dba</errorID>
      <errorWord>秸秆饲料利用</errorWord>
      <group>L1_Word</group>
      <groupName>字词问题</groupName>
      <ability>L2_Typo</ability>
      <abilityName>字词错误</abilityName>
      <candidateList>
        <item>秸秆饲料化利用</item>
      </candidateList>
      <explain/>
      <paraID>4E5FA8BA</paraID>
      <start>100</start>
      <end>106</end>
      <status>unmodified</status>
      <modifiedWord/>
      <trackRevisions>false</trackRevisions>
    </reviewItem>
    <reviewItem>
      <errorID>0e93b0cc-d374-484a-b2f0-7e612aa2094d</errorID>
      <errorWord>变更单</errorWord>
      <group>L1_Word</group>
      <groupName>字词问题</groupName>
      <ability>L2_Typo</ability>
      <abilityName>字词错误</abilityName>
      <candidateList>
        <item>变更</item>
      </candidateList>
      <explain/>
      <paraID>324DD54A</paraID>
      <start>237</start>
      <end>240</end>
      <status>unmodified</status>
      <modifiedWord/>
      <trackRevisions>false</trackRevisions>
    </reviewItem>
    <reviewItem>
      <errorID>f30a09fa-2a54-43c0-a570-86c497938317</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12A04BFE</paraID>
      <start>33</start>
      <end>36</end>
      <status>unmodified</status>
      <modifiedWord/>
      <trackRevisions>false</trackRevisions>
    </reviewItem>
    <reviewItem>
      <errorID>7eee5bd3-a876-4319-9ffc-cb7f70e3bde1</errorID>
      <errorWord>，</errorWord>
      <group>L1_Word</group>
      <groupName>字词问题</groupName>
      <ability>L2_Typo</ability>
      <abilityName>字词错误</abilityName>
      <candidateList>
        <item>，在</item>
      </candidateList>
      <explain/>
      <paraID>377E0364</paraID>
      <start>274</start>
      <end>275</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E7E7845A-E48F-4EA0-BD73-99AFA1E9BD45}">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1560</Words>
  <Characters>8897</Characters>
  <Application>Microsoft Office Word</Application>
  <DocSecurity>0</DocSecurity>
  <Lines>74</Lines>
  <Paragraphs>20</Paragraphs>
  <ScaleCrop>false</ScaleCrop>
  <Company>WRGHO.COM</Company>
  <LinksUpToDate>false</LinksUpToDate>
  <CharactersWithSpaces>10437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12</cp:revision>
  <cp:lastPrinted>2026-03-27T23:31:00Z</cp:lastPrinted>
  <dcterms:created xsi:type="dcterms:W3CDTF">2023-09-18T09:07:00Z</dcterms:created>
  <dcterms:modified xsi:type="dcterms:W3CDTF">2026-09-08T02:43:00Z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D6143281DDED13A6CE9DBC69591CFD2C_43</vt:lpwstr>
  </property>
  <property fmtid="{D5CDD505-2E9C-101B-9397-08002B2CF9AE}" pid="4" name="KSOTemplateDocerSaveRecord">
    <vt:lpwstr>eyJoZGlkIjoiN2ZkN2U0NTE2ZWZjNGNkOGYwMTY5ODIwZjEyYjUxNGMiLCJ1c2VySWQiOiIyMzk3MTg4OTMifQ==</vt:lpwstr>
  </property>
</Properties>
</file>