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hint="eastAsia" w:ascii="方正小标宋_GBK" w:hAnsi="方正小标宋_GBK" w:eastAsia="方正小标宋_GBK" w:cs="方正小标宋_GBK"/>
          <w:sz w:val="44"/>
          <w:szCs w:val="44"/>
          <w:highlight w:val="none"/>
          <w:lang w:eastAsia="zh-CN"/>
        </w:rPr>
      </w:pPr>
      <w:r>
        <w:rPr>
          <w:rFonts w:hint="eastAsia" w:ascii="方正小标宋_GBK" w:hAnsi="方正小标宋_GBK" w:eastAsia="方正小标宋_GBK" w:cs="方正小标宋_GBK"/>
          <w:sz w:val="44"/>
          <w:szCs w:val="44"/>
          <w:highlight w:val="none"/>
          <w:lang w:eastAsia="zh-CN"/>
        </w:rPr>
        <w:t>2025年建设艺术城市宣传推广项目</w:t>
      </w:r>
    </w:p>
    <w:p>
      <w:pPr>
        <w:spacing w:line="560" w:lineRule="exact"/>
        <w:jc w:val="center"/>
        <w:rPr>
          <w:rFonts w:hint="eastAsia" w:ascii="方正小标宋_GBK" w:hAnsi="方正小标宋_GBK" w:eastAsia="方正小标宋_GBK" w:cs="方正小标宋_GBK"/>
          <w:sz w:val="44"/>
          <w:szCs w:val="44"/>
          <w:highlight w:val="none"/>
        </w:rPr>
      </w:pPr>
      <w:r>
        <w:rPr>
          <w:rFonts w:hint="eastAsia" w:ascii="方正小标宋_GBK" w:hAnsi="方正小标宋_GBK" w:eastAsia="方正小标宋_GBK" w:cs="方正小标宋_GBK"/>
          <w:sz w:val="44"/>
          <w:szCs w:val="44"/>
          <w:highlight w:val="none"/>
        </w:rPr>
        <w:t>绩效评价报告</w:t>
      </w:r>
    </w:p>
    <w:p>
      <w:pPr>
        <w:spacing w:line="560" w:lineRule="exact"/>
        <w:rPr>
          <w:highlight w:val="none"/>
        </w:rPr>
      </w:pPr>
    </w:p>
    <w:p>
      <w:pPr>
        <w:pStyle w:val="3"/>
        <w:widowControl w:val="0"/>
        <w:spacing w:before="0" w:after="0" w:line="560" w:lineRule="exact"/>
        <w:ind w:firstLine="640"/>
        <w:jc w:val="both"/>
        <w:rPr>
          <w:bCs w:val="0"/>
          <w:color w:val="auto"/>
          <w:kern w:val="2"/>
          <w:sz w:val="32"/>
          <w:szCs w:val="32"/>
          <w:highlight w:val="none"/>
          <w:lang w:val="en-US"/>
        </w:rPr>
      </w:pPr>
      <w:bookmarkStart w:id="0" w:name="_Toc22115"/>
      <w:r>
        <w:rPr>
          <w:rFonts w:hint="eastAsia"/>
          <w:bCs w:val="0"/>
          <w:color w:val="auto"/>
          <w:kern w:val="2"/>
          <w:sz w:val="32"/>
          <w:szCs w:val="32"/>
          <w:highlight w:val="none"/>
          <w:lang w:val="en-US"/>
        </w:rPr>
        <w:t>一、项目基本情况</w:t>
      </w:r>
      <w:bookmarkEnd w:id="0"/>
    </w:p>
    <w:p>
      <w:pPr>
        <w:pStyle w:val="4"/>
        <w:widowControl w:val="0"/>
        <w:spacing w:before="0" w:after="0" w:line="560" w:lineRule="exact"/>
        <w:ind w:firstLine="640"/>
        <w:jc w:val="both"/>
        <w:rPr>
          <w:rFonts w:eastAsia="楷体_GB2312"/>
          <w:bCs w:val="0"/>
          <w:color w:val="auto"/>
          <w:sz w:val="32"/>
          <w:szCs w:val="40"/>
          <w:highlight w:val="none"/>
          <w:lang w:val="en-US"/>
        </w:rPr>
      </w:pPr>
      <w:bookmarkStart w:id="1" w:name="_Toc5309"/>
      <w:r>
        <w:rPr>
          <w:rFonts w:hint="eastAsia" w:eastAsia="楷体_GB2312"/>
          <w:bCs w:val="0"/>
          <w:color w:val="auto"/>
          <w:sz w:val="32"/>
          <w:szCs w:val="40"/>
          <w:highlight w:val="none"/>
          <w:lang w:val="en-US"/>
        </w:rPr>
        <w:t>（一）项目概况</w:t>
      </w:r>
      <w:bookmarkEnd w:id="1"/>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highlight w:val="none"/>
        </w:rPr>
      </w:pPr>
      <w:r>
        <w:rPr>
          <w:rFonts w:hint="eastAsia" w:ascii="仿宋_GB2312" w:hAnsi="仿宋_GB2312" w:eastAsia="仿宋_GB2312" w:cs="仿宋_GB2312"/>
          <w:sz w:val="32"/>
          <w:szCs w:val="40"/>
          <w:highlight w:val="none"/>
        </w:rPr>
        <w:t>1.项目背景</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highlight w:val="none"/>
        </w:rPr>
      </w:pPr>
      <w:r>
        <w:rPr>
          <w:rFonts w:hint="eastAsia" w:ascii="仿宋_GB2312" w:hAnsi="仿宋_GB2312" w:eastAsia="仿宋_GB2312" w:cs="仿宋_GB2312"/>
          <w:sz w:val="32"/>
          <w:szCs w:val="40"/>
          <w:highlight w:val="none"/>
        </w:rPr>
        <w:t>建设艺术城市是青岛市提升城市文化软实力、增强国际影响力的重要战略举措。2022年，青岛市第十三次党代会报告明确提出“建设艺术城市”，要求繁荣发展社会主义文化，放大“电影之都”“东亚文化之都”品牌效应，让人文青岛享誉世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0"/>
        <w:textAlignment w:val="auto"/>
        <w:rPr>
          <w:rFonts w:hint="eastAsia" w:ascii="仿宋_GB2312" w:hAnsi="仿宋_GB2312" w:eastAsia="仿宋_GB2312" w:cs="仿宋_GB2312"/>
          <w:sz w:val="32"/>
          <w:szCs w:val="40"/>
          <w:highlight w:val="none"/>
        </w:rPr>
      </w:pPr>
      <w:r>
        <w:rPr>
          <w:rFonts w:hint="eastAsia" w:ascii="仿宋_GB2312" w:hAnsi="仿宋_GB2312" w:eastAsia="仿宋_GB2312" w:cs="仿宋_GB2312"/>
          <w:sz w:val="32"/>
          <w:szCs w:val="32"/>
          <w:highlight w:val="none"/>
        </w:rPr>
        <w:t>2023年，中共青岛市委宣传部、</w:t>
      </w:r>
      <w:r>
        <w:rPr>
          <w:rFonts w:hint="eastAsia" w:ascii="仿宋_GB2312" w:hAnsi="仿宋_GB2312" w:eastAsia="仿宋_GB2312" w:cs="仿宋_GB2312"/>
          <w:sz w:val="32"/>
          <w:szCs w:val="32"/>
          <w:highlight w:val="none"/>
          <w:lang w:val="en-US" w:eastAsia="zh-CN"/>
        </w:rPr>
        <w:t>青岛市文化和旅游局</w:t>
      </w:r>
      <w:r>
        <w:rPr>
          <w:rFonts w:hint="eastAsia" w:ascii="仿宋_GB2312" w:hAnsi="仿宋_GB2312" w:eastAsia="仿宋_GB2312" w:cs="仿宋_GB2312"/>
          <w:sz w:val="32"/>
          <w:szCs w:val="32"/>
          <w:highlight w:val="none"/>
        </w:rPr>
        <w:t>及青岛市文学艺术界联合会</w:t>
      </w:r>
      <w:r>
        <w:rPr>
          <w:rFonts w:hint="eastAsia" w:ascii="仿宋_GB2312" w:hAnsi="仿宋_GB2312" w:eastAsia="仿宋_GB2312" w:cs="仿宋_GB2312"/>
          <w:sz w:val="32"/>
          <w:szCs w:val="32"/>
          <w:highlight w:val="none"/>
          <w:lang w:val="en-US" w:eastAsia="zh-CN"/>
        </w:rPr>
        <w:t>联合</w:t>
      </w:r>
      <w:r>
        <w:rPr>
          <w:rFonts w:hint="eastAsia" w:ascii="仿宋_GB2312" w:hAnsi="仿宋_GB2312" w:eastAsia="仿宋_GB2312" w:cs="仿宋_GB2312"/>
          <w:sz w:val="32"/>
          <w:szCs w:val="32"/>
          <w:highlight w:val="none"/>
        </w:rPr>
        <w:t>印发《关于推进艺术青岛建设的意见》</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青宣发〔2023〕8号</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为深入贯彻党的二十大精神，落实市第十三次党代会工作部署，聚力打造艺术城市、打响人文青岛城市品牌，锚定建设新时代社会主义现代化国际大都市总目标，立足城市资源禀赋与特色优势，统筹推进艺术供给扩容与文化消费提质、文化事业发展与艺术产业繁荣，全力打造彰显中国精神、厚植齐鲁底蕴、凸显青岛特色的艺术城市，让艺术融入城市建设、市民生活，让城市更具人文魅力、艺术气质，持续提升城市文化软实力，更好满足人民群众多样化、高品质精神文化需求，推动人文青岛享誉世界。</w:t>
      </w:r>
    </w:p>
    <w:p>
      <w:pPr>
        <w:spacing w:line="560" w:lineRule="exact"/>
        <w:ind w:firstLine="640" w:firstLineChars="200"/>
        <w:rPr>
          <w:rFonts w:hint="eastAsia" w:ascii="仿宋_GB2312" w:hAnsi="仿宋_GB2312" w:eastAsia="仿宋_GB2312" w:cs="仿宋_GB2312"/>
          <w:sz w:val="32"/>
          <w:szCs w:val="40"/>
          <w:highlight w:val="none"/>
        </w:rPr>
      </w:pPr>
      <w:r>
        <w:rPr>
          <w:rFonts w:hint="eastAsia" w:ascii="仿宋_GB2312" w:hAnsi="仿宋_GB2312" w:eastAsia="仿宋_GB2312" w:cs="仿宋_GB2312"/>
          <w:sz w:val="32"/>
          <w:szCs w:val="40"/>
          <w:highlight w:val="none"/>
        </w:rPr>
        <w:t>2.项目主要内容</w:t>
      </w:r>
    </w:p>
    <w:p>
      <w:pPr>
        <w:spacing w:line="56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中共青岛市委宣传部设立“建设艺术城市宣传推广项目”，2025年度预算金额2500万元。项目围绕举办高品质艺术活动、深化“学习强国”青岛学习平台建设、打造“青岛故事”等特色艺术品牌、开展海内外城市形象宣传推广四大板块，旨在通过多元化、立体化的文化传播与品牌塑造，持续提升青岛的艺术城市魅力、知名度和美誉度，助力青岛建设成为具有国际影响力的艺术城市。</w:t>
      </w:r>
    </w:p>
    <w:p>
      <w:pPr>
        <w:spacing w:line="560" w:lineRule="exact"/>
        <w:ind w:firstLine="640" w:firstLineChars="200"/>
        <w:rPr>
          <w:rFonts w:hint="eastAsia" w:ascii="仿宋_GB2312" w:hAnsi="仿宋_GB2312" w:eastAsia="仿宋_GB2312" w:cs="仿宋_GB2312"/>
          <w:sz w:val="32"/>
          <w:szCs w:val="40"/>
          <w:highlight w:val="none"/>
        </w:rPr>
      </w:pPr>
      <w:r>
        <w:rPr>
          <w:rFonts w:hint="eastAsia" w:ascii="仿宋_GB2312" w:hAnsi="仿宋_GB2312" w:eastAsia="仿宋_GB2312" w:cs="仿宋_GB2312"/>
          <w:sz w:val="32"/>
          <w:szCs w:val="40"/>
          <w:highlight w:val="none"/>
        </w:rPr>
        <w:t>3.项目实施情况</w:t>
      </w:r>
    </w:p>
    <w:p>
      <w:pPr>
        <w:spacing w:line="560" w:lineRule="exact"/>
        <w:ind w:firstLine="640" w:firstLineChars="200"/>
        <w:rPr>
          <w:rFonts w:hint="eastAsia" w:ascii="仿宋_GB2312" w:hAnsi="仿宋_GB2312" w:eastAsia="仿宋_GB2312" w:cs="仿宋_GB2312"/>
          <w:color w:val="auto"/>
          <w:sz w:val="32"/>
          <w:szCs w:val="40"/>
          <w:highlight w:val="none"/>
        </w:rPr>
      </w:pPr>
      <w:r>
        <w:rPr>
          <w:rFonts w:hint="eastAsia" w:ascii="仿宋_GB2312" w:hAnsi="仿宋_GB2312" w:eastAsia="仿宋_GB2312" w:cs="仿宋_GB2312"/>
          <w:color w:val="auto"/>
          <w:sz w:val="32"/>
          <w:szCs w:val="40"/>
          <w:highlight w:val="none"/>
        </w:rPr>
        <w:t>建设艺术城市宣传推广项目主管部门、实施单位均为中共青岛市委宣传部。项目紧扣“活力海洋之都、精彩宜人之城”城市愿景，立足引领型、创新型、枢纽型、共享型四大发展导向，服务宜居宜业宜游品质湾区城市建设总目标，通过策划开展系列特色艺术品牌活动，纵深推进艺术青岛建设，持续提升青岛城市国际知名度、美誉度与综合影响力。</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auto"/>
          <w:sz w:val="32"/>
          <w:szCs w:val="40"/>
          <w:highlight w:val="none"/>
        </w:rPr>
      </w:pPr>
      <w:r>
        <w:rPr>
          <w:rFonts w:hint="eastAsia" w:ascii="仿宋_GB2312" w:hAnsi="仿宋_GB2312" w:eastAsia="仿宋_GB2312" w:cs="仿宋_GB2312"/>
          <w:color w:val="auto"/>
          <w:sz w:val="32"/>
          <w:szCs w:val="40"/>
          <w:highlight w:val="none"/>
        </w:rPr>
        <w:t>市委宣传部</w:t>
      </w:r>
      <w:r>
        <w:rPr>
          <w:rFonts w:hint="eastAsia" w:ascii="仿宋_GB2312" w:hAnsi="仿宋_GB2312" w:eastAsia="仿宋_GB2312" w:cs="仿宋_GB2312"/>
          <w:color w:val="auto"/>
          <w:sz w:val="32"/>
          <w:szCs w:val="40"/>
          <w:highlight w:val="none"/>
          <w:lang w:val="en-US" w:eastAsia="zh-CN"/>
        </w:rPr>
        <w:t>、</w:t>
      </w:r>
      <w:r>
        <w:rPr>
          <w:rFonts w:hint="eastAsia" w:ascii="仿宋_GB2312" w:hAnsi="仿宋_GB2312" w:eastAsia="仿宋_GB2312" w:cs="仿宋_GB2312"/>
          <w:color w:val="auto"/>
          <w:sz w:val="32"/>
          <w:szCs w:val="40"/>
          <w:highlight w:val="none"/>
        </w:rPr>
        <w:t>市财政局</w:t>
      </w:r>
      <w:r>
        <w:rPr>
          <w:rFonts w:hint="eastAsia" w:ascii="仿宋_GB2312" w:hAnsi="仿宋_GB2312" w:eastAsia="仿宋_GB2312" w:cs="仿宋_GB2312"/>
          <w:color w:val="auto"/>
          <w:sz w:val="32"/>
          <w:szCs w:val="40"/>
          <w:highlight w:val="none"/>
          <w:lang w:val="en-US" w:eastAsia="zh-CN"/>
        </w:rPr>
        <w:t>联合</w:t>
      </w:r>
      <w:r>
        <w:rPr>
          <w:rFonts w:hint="eastAsia" w:ascii="仿宋_GB2312" w:hAnsi="仿宋_GB2312" w:eastAsia="仿宋_GB2312" w:cs="仿宋_GB2312"/>
          <w:color w:val="auto"/>
          <w:sz w:val="32"/>
          <w:szCs w:val="40"/>
          <w:highlight w:val="none"/>
        </w:rPr>
        <w:t>印发《青岛市宣传事务资金管理办法》</w:t>
      </w:r>
      <w:r>
        <w:rPr>
          <w:rFonts w:hint="eastAsia" w:ascii="仿宋_GB2312" w:hAnsi="仿宋_GB2312" w:eastAsia="仿宋_GB2312" w:cs="仿宋_GB2312"/>
          <w:color w:val="auto"/>
          <w:sz w:val="32"/>
          <w:szCs w:val="40"/>
          <w:highlight w:val="none"/>
          <w:lang w:eastAsia="zh-CN"/>
        </w:rPr>
        <w:t>（</w:t>
      </w:r>
      <w:r>
        <w:rPr>
          <w:rFonts w:hint="eastAsia" w:ascii="仿宋_GB2312" w:hAnsi="仿宋_GB2312" w:eastAsia="仿宋_GB2312" w:cs="仿宋_GB2312"/>
          <w:color w:val="auto"/>
          <w:sz w:val="32"/>
          <w:szCs w:val="40"/>
          <w:highlight w:val="none"/>
        </w:rPr>
        <w:t>青财文〔2025〕</w:t>
      </w:r>
      <w:r>
        <w:rPr>
          <w:rFonts w:hint="eastAsia" w:ascii="仿宋_GB2312" w:hAnsi="仿宋_GB2312" w:eastAsia="仿宋_GB2312" w:cs="仿宋_GB2312"/>
          <w:color w:val="auto"/>
          <w:sz w:val="32"/>
          <w:szCs w:val="40"/>
          <w:highlight w:val="none"/>
          <w:lang w:val="en-US" w:eastAsia="zh-CN"/>
        </w:rPr>
        <w:t>6</w:t>
      </w:r>
      <w:r>
        <w:rPr>
          <w:rFonts w:hint="eastAsia" w:ascii="仿宋_GB2312" w:hAnsi="仿宋_GB2312" w:eastAsia="仿宋_GB2312" w:cs="仿宋_GB2312"/>
          <w:color w:val="auto"/>
          <w:sz w:val="32"/>
          <w:szCs w:val="40"/>
          <w:highlight w:val="none"/>
        </w:rPr>
        <w:t>号</w:t>
      </w:r>
      <w:r>
        <w:rPr>
          <w:rFonts w:hint="eastAsia" w:ascii="仿宋_GB2312" w:hAnsi="仿宋_GB2312" w:eastAsia="仿宋_GB2312" w:cs="仿宋_GB2312"/>
          <w:color w:val="auto"/>
          <w:sz w:val="32"/>
          <w:szCs w:val="40"/>
          <w:highlight w:val="none"/>
          <w:lang w:eastAsia="zh-CN"/>
        </w:rPr>
        <w:t>）</w:t>
      </w:r>
      <w:r>
        <w:rPr>
          <w:rFonts w:hint="eastAsia" w:ascii="仿宋_GB2312" w:hAnsi="仿宋_GB2312" w:eastAsia="仿宋_GB2312" w:cs="仿宋_GB2312"/>
          <w:color w:val="auto"/>
          <w:sz w:val="32"/>
          <w:szCs w:val="40"/>
          <w:highlight w:val="none"/>
        </w:rPr>
        <w:t>，</w:t>
      </w:r>
      <w:r>
        <w:rPr>
          <w:rFonts w:hint="eastAsia" w:ascii="仿宋_GB2312" w:hAnsi="仿宋_GB2312" w:eastAsia="仿宋_GB2312" w:cs="仿宋_GB2312"/>
          <w:color w:val="auto"/>
          <w:sz w:val="32"/>
          <w:szCs w:val="40"/>
          <w:highlight w:val="none"/>
          <w:lang w:val="en-US" w:eastAsia="zh-CN"/>
        </w:rPr>
        <w:t>市委宣传部</w:t>
      </w:r>
      <w:r>
        <w:rPr>
          <w:rFonts w:hint="eastAsia" w:ascii="仿宋_GB2312" w:hAnsi="仿宋_GB2312" w:eastAsia="仿宋_GB2312" w:cs="仿宋_GB2312"/>
          <w:color w:val="auto"/>
          <w:sz w:val="32"/>
          <w:szCs w:val="40"/>
          <w:highlight w:val="none"/>
        </w:rPr>
        <w:t>配套出台《打造“青岛故事”宣传品牌工作实施方案》《青岛市主流媒体所办新媒体生产传播效果评价激励实施办法》，构建完整制度体系，为项目规范运行提供制度支撑。</w:t>
      </w:r>
      <w:r>
        <w:rPr>
          <w:rFonts w:hint="eastAsia" w:ascii="仿宋_GB2312" w:hAnsi="仿宋_GB2312" w:eastAsia="仿宋_GB2312" w:cs="仿宋_GB2312"/>
          <w:color w:val="auto"/>
          <w:sz w:val="32"/>
          <w:szCs w:val="40"/>
          <w:highlight w:val="non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auto"/>
          <w:sz w:val="32"/>
          <w:szCs w:val="40"/>
          <w:highlight w:val="none"/>
        </w:rPr>
      </w:pPr>
      <w:r>
        <w:rPr>
          <w:rFonts w:hint="eastAsia" w:ascii="仿宋_GB2312" w:hAnsi="仿宋_GB2312" w:eastAsia="仿宋_GB2312" w:cs="仿宋_GB2312"/>
          <w:color w:val="auto"/>
          <w:sz w:val="32"/>
          <w:szCs w:val="40"/>
          <w:highlight w:val="none"/>
        </w:rPr>
        <w:t>2025年度，项目分四大业务板块统筹落地各项工作：</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auto"/>
          <w:sz w:val="32"/>
          <w:szCs w:val="40"/>
          <w:highlight w:val="none"/>
        </w:rPr>
      </w:pPr>
      <w:r>
        <w:rPr>
          <w:rFonts w:hint="eastAsia" w:ascii="仿宋_GB2312" w:hAnsi="仿宋_GB2312" w:eastAsia="仿宋_GB2312" w:cs="仿宋_GB2312"/>
          <w:color w:val="auto"/>
          <w:sz w:val="32"/>
          <w:szCs w:val="40"/>
          <w:highlight w:val="none"/>
        </w:rPr>
        <w:t>一是举办各类艺术活动板块。承办2026青岛市春节联欢晚会、2025青岛市中秋晚会两大市级重大文艺盛会；常态化开展高雅艺术进校园、高雅艺术进历史城区艺术季文化惠民项目；</w:t>
      </w:r>
      <w:r>
        <w:rPr>
          <w:rFonts w:hint="eastAsia" w:ascii="仿宋_GB2312" w:hAnsi="仿宋_GB2312" w:eastAsia="仿宋_GB2312" w:cs="仿宋_GB2312"/>
          <w:color w:val="auto"/>
          <w:sz w:val="32"/>
          <w:szCs w:val="40"/>
          <w:highlight w:val="none"/>
          <w:lang w:val="en-US" w:eastAsia="zh-CN"/>
        </w:rPr>
        <w:t>指导</w:t>
      </w:r>
      <w:r>
        <w:rPr>
          <w:rFonts w:hint="eastAsia" w:ascii="仿宋_GB2312" w:hAnsi="仿宋_GB2312" w:eastAsia="仿宋_GB2312" w:cs="仿宋_GB2312"/>
          <w:color w:val="auto"/>
          <w:sz w:val="32"/>
          <w:szCs w:val="40"/>
          <w:highlight w:val="none"/>
        </w:rPr>
        <w:t>“沿着黄河遇见海”沿黄九省非遗手造大赏等特色节会活动。</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auto"/>
          <w:sz w:val="32"/>
          <w:szCs w:val="40"/>
          <w:highlight w:val="none"/>
        </w:rPr>
      </w:pPr>
      <w:r>
        <w:rPr>
          <w:rFonts w:hint="eastAsia" w:ascii="仿宋_GB2312" w:hAnsi="仿宋_GB2312" w:eastAsia="仿宋_GB2312" w:cs="仿宋_GB2312"/>
          <w:color w:val="auto"/>
          <w:sz w:val="32"/>
          <w:szCs w:val="40"/>
          <w:highlight w:val="none"/>
        </w:rPr>
        <w:t>二是</w:t>
      </w:r>
      <w:r>
        <w:rPr>
          <w:rFonts w:hint="eastAsia" w:ascii="仿宋_GB2312" w:hAnsi="仿宋_GB2312" w:eastAsia="仿宋_GB2312" w:cs="仿宋_GB2312"/>
          <w:sz w:val="32"/>
          <w:szCs w:val="32"/>
          <w:highlight w:val="none"/>
        </w:rPr>
        <w:t>“学习强国”青岛学习平台</w:t>
      </w:r>
      <w:r>
        <w:rPr>
          <w:rFonts w:hint="eastAsia" w:ascii="仿宋_GB2312" w:hAnsi="仿宋_GB2312" w:eastAsia="仿宋_GB2312" w:cs="仿宋_GB2312"/>
          <w:color w:val="auto"/>
          <w:sz w:val="32"/>
          <w:szCs w:val="40"/>
          <w:highlight w:val="none"/>
        </w:rPr>
        <w:t>运营板块。完成“学习强国”青岛学习平台日常运维，统筹落实区市级融媒体建设配套补助相关工作。</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auto"/>
          <w:sz w:val="32"/>
          <w:szCs w:val="40"/>
          <w:highlight w:val="none"/>
        </w:rPr>
      </w:pPr>
      <w:r>
        <w:rPr>
          <w:rFonts w:hint="eastAsia" w:ascii="仿宋_GB2312" w:hAnsi="仿宋_GB2312" w:eastAsia="仿宋_GB2312" w:cs="仿宋_GB2312"/>
          <w:color w:val="auto"/>
          <w:sz w:val="32"/>
          <w:szCs w:val="40"/>
          <w:highlight w:val="none"/>
        </w:rPr>
        <w:t>三是“青岛故事”艺术品牌</w:t>
      </w:r>
      <w:r>
        <w:rPr>
          <w:rFonts w:hint="eastAsia" w:ascii="仿宋_GB2312" w:hAnsi="仿宋_GB2312" w:eastAsia="仿宋_GB2312" w:cs="仿宋_GB2312"/>
          <w:color w:val="auto"/>
          <w:sz w:val="32"/>
          <w:szCs w:val="40"/>
          <w:highlight w:val="none"/>
          <w:lang w:val="en-US" w:eastAsia="zh-CN"/>
        </w:rPr>
        <w:t>建设</w:t>
      </w:r>
      <w:r>
        <w:rPr>
          <w:rFonts w:hint="eastAsia" w:ascii="仿宋_GB2312" w:hAnsi="仿宋_GB2312" w:eastAsia="仿宋_GB2312" w:cs="仿宋_GB2312"/>
          <w:color w:val="auto"/>
          <w:sz w:val="32"/>
          <w:szCs w:val="40"/>
          <w:highlight w:val="none"/>
        </w:rPr>
        <w:t>板块。组织开展“青岛故事”优秀新媒体作品征集、评选，配套开展精品内容编辑制作；落实</w:t>
      </w:r>
      <w:r>
        <w:rPr>
          <w:rFonts w:hint="eastAsia" w:ascii="仿宋_GB2312" w:hAnsi="仿宋_GB2312" w:eastAsia="仿宋_GB2312" w:cs="仿宋_GB2312"/>
          <w:color w:val="auto"/>
          <w:sz w:val="32"/>
          <w:szCs w:val="40"/>
          <w:highlight w:val="none"/>
          <w:lang w:val="en-US" w:eastAsia="zh-CN"/>
        </w:rPr>
        <w:t>主流</w:t>
      </w:r>
      <w:r>
        <w:rPr>
          <w:rFonts w:hint="eastAsia" w:ascii="仿宋_GB2312" w:hAnsi="仿宋_GB2312" w:eastAsia="仿宋_GB2312" w:cs="仿宋_GB2312"/>
          <w:color w:val="auto"/>
          <w:sz w:val="32"/>
          <w:szCs w:val="40"/>
          <w:highlight w:val="none"/>
        </w:rPr>
        <w:t>媒体新媒体传播成效考核激励工作。</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auto"/>
          <w:sz w:val="32"/>
          <w:szCs w:val="40"/>
          <w:highlight w:val="none"/>
        </w:rPr>
      </w:pPr>
      <w:r>
        <w:rPr>
          <w:rFonts w:hint="eastAsia" w:ascii="仿宋_GB2312" w:hAnsi="仿宋_GB2312" w:eastAsia="仿宋_GB2312" w:cs="仿宋_GB2312"/>
          <w:color w:val="auto"/>
          <w:sz w:val="32"/>
          <w:szCs w:val="40"/>
          <w:highlight w:val="none"/>
        </w:rPr>
        <w:t>四是</w:t>
      </w:r>
      <w:r>
        <w:rPr>
          <w:rFonts w:hint="eastAsia" w:ascii="仿宋_GB2312" w:hAnsi="仿宋_GB2312" w:eastAsia="仿宋_GB2312" w:cs="仿宋_GB2312"/>
          <w:color w:val="auto"/>
          <w:sz w:val="32"/>
          <w:szCs w:val="40"/>
          <w:highlight w:val="none"/>
          <w:lang w:val="en-US" w:eastAsia="zh-CN"/>
        </w:rPr>
        <w:t>艺术城市形象宣传推广</w:t>
      </w:r>
      <w:r>
        <w:rPr>
          <w:rFonts w:hint="eastAsia" w:ascii="仿宋_GB2312" w:hAnsi="仿宋_GB2312" w:eastAsia="仿宋_GB2312" w:cs="仿宋_GB2312"/>
          <w:color w:val="auto"/>
          <w:sz w:val="32"/>
          <w:szCs w:val="40"/>
          <w:highlight w:val="none"/>
        </w:rPr>
        <w:t>板块。组织实施青岛—欧洲旅游名城对话</w:t>
      </w:r>
      <w:r>
        <w:rPr>
          <w:rFonts w:hint="eastAsia" w:ascii="仿宋_GB2312" w:hAnsi="仿宋_GB2312" w:eastAsia="仿宋_GB2312" w:cs="仿宋_GB2312"/>
          <w:color w:val="auto"/>
          <w:sz w:val="32"/>
          <w:szCs w:val="40"/>
          <w:highlight w:val="none"/>
          <w:lang w:val="en-US" w:eastAsia="zh-CN"/>
        </w:rPr>
        <w:t>、</w:t>
      </w:r>
      <w:r>
        <w:rPr>
          <w:rFonts w:hint="eastAsia" w:ascii="仿宋_GB2312" w:hAnsi="仿宋_GB2312" w:eastAsia="仿宋_GB2312" w:cs="仿宋_GB2312"/>
          <w:color w:val="auto"/>
          <w:sz w:val="32"/>
          <w:szCs w:val="40"/>
          <w:highlight w:val="none"/>
        </w:rPr>
        <w:t>“一带一路”产业出海、中非人文交流三大海外主题外宣采访行动；</w:t>
      </w:r>
      <w:r>
        <w:rPr>
          <w:rFonts w:hint="eastAsia" w:ascii="仿宋_GB2312" w:hAnsi="仿宋_GB2312" w:eastAsia="仿宋_GB2312" w:cs="仿宋_GB2312"/>
          <w:color w:val="auto"/>
          <w:sz w:val="32"/>
          <w:szCs w:val="40"/>
          <w:highlight w:val="none"/>
          <w:lang w:val="en-US" w:eastAsia="zh-CN"/>
        </w:rPr>
        <w:t>开展</w:t>
      </w:r>
      <w:r>
        <w:rPr>
          <w:rFonts w:hint="eastAsia" w:ascii="仿宋_GB2312" w:hAnsi="仿宋_GB2312" w:eastAsia="仿宋_GB2312" w:cs="仿宋_GB2312"/>
          <w:color w:val="auto"/>
          <w:sz w:val="32"/>
          <w:szCs w:val="40"/>
          <w:highlight w:val="none"/>
        </w:rPr>
        <w:t>城市体育文化品牌建设宣传</w:t>
      </w:r>
      <w:r>
        <w:rPr>
          <w:rFonts w:hint="eastAsia" w:ascii="仿宋_GB2312" w:hAnsi="仿宋_GB2312" w:eastAsia="仿宋_GB2312" w:cs="仿宋_GB2312"/>
          <w:color w:val="auto"/>
          <w:sz w:val="32"/>
          <w:szCs w:val="40"/>
          <w:highlight w:val="none"/>
          <w:lang w:val="en-US" w:eastAsia="zh-CN"/>
        </w:rPr>
        <w:t>、</w:t>
      </w:r>
      <w:r>
        <w:rPr>
          <w:rFonts w:hint="eastAsia" w:ascii="仿宋_GB2312" w:hAnsi="仿宋_GB2312" w:eastAsia="仿宋_GB2312" w:cs="仿宋_GB2312"/>
          <w:color w:val="auto"/>
          <w:sz w:val="32"/>
          <w:szCs w:val="40"/>
          <w:highlight w:val="none"/>
        </w:rPr>
        <w:t>统筹映像青岛官网运营、城市外宣画册《青岛》设计制作、与山东广电融媒宣传合作、“2025最具幸福感城市”主题灯光秀等全域城市推广工作。</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40"/>
          <w:highlight w:val="none"/>
        </w:rPr>
      </w:pPr>
      <w:r>
        <w:rPr>
          <w:rFonts w:hint="eastAsia" w:ascii="仿宋_GB2312" w:hAnsi="仿宋_GB2312" w:eastAsia="仿宋_GB2312" w:cs="仿宋_GB2312"/>
          <w:sz w:val="32"/>
          <w:szCs w:val="40"/>
          <w:highlight w:val="none"/>
        </w:rPr>
        <w:t>4.资金投入及使用情况</w:t>
      </w:r>
    </w:p>
    <w:p>
      <w:pPr>
        <w:spacing w:line="560" w:lineRule="exact"/>
        <w:ind w:firstLine="640" w:firstLineChars="200"/>
        <w:rPr>
          <w:rFonts w:hint="eastAsia" w:ascii="仿宋_GB2312" w:hAnsi="仿宋_GB2312" w:eastAsia="仿宋_GB2312" w:cs="仿宋_GB2312"/>
          <w:sz w:val="32"/>
          <w:szCs w:val="40"/>
          <w:highlight w:val="none"/>
          <w:lang w:eastAsia="zh-CN"/>
        </w:rPr>
      </w:pPr>
      <w:r>
        <w:rPr>
          <w:rFonts w:hint="eastAsia" w:ascii="仿宋_GB2312" w:hAnsi="仿宋_GB2312" w:eastAsia="仿宋_GB2312" w:cs="仿宋_GB2312"/>
          <w:sz w:val="32"/>
          <w:szCs w:val="40"/>
          <w:highlight w:val="none"/>
        </w:rPr>
        <w:t>建设艺术城市宣传推广项目2025年初预算</w:t>
      </w:r>
      <w:r>
        <w:rPr>
          <w:rFonts w:hint="eastAsia" w:ascii="仿宋_GB2312" w:hAnsi="仿宋_GB2312" w:eastAsia="仿宋_GB2312" w:cs="仿宋_GB2312"/>
          <w:sz w:val="32"/>
          <w:szCs w:val="40"/>
          <w:highlight w:val="none"/>
          <w:lang w:val="en-US" w:eastAsia="zh-CN"/>
        </w:rPr>
        <w:t>2</w:t>
      </w:r>
      <w:r>
        <w:rPr>
          <w:rFonts w:hint="eastAsia" w:ascii="仿宋_GB2312" w:hAnsi="仿宋_GB2312" w:eastAsia="仿宋_GB2312" w:cs="仿宋_GB2312"/>
          <w:sz w:val="32"/>
          <w:szCs w:val="40"/>
          <w:highlight w:val="none"/>
        </w:rPr>
        <w:t>,</w:t>
      </w:r>
      <w:r>
        <w:rPr>
          <w:rFonts w:hint="eastAsia" w:ascii="仿宋_GB2312" w:hAnsi="仿宋_GB2312" w:eastAsia="仿宋_GB2312" w:cs="仿宋_GB2312"/>
          <w:sz w:val="32"/>
          <w:szCs w:val="40"/>
          <w:highlight w:val="none"/>
          <w:lang w:val="en-US" w:eastAsia="zh-CN"/>
        </w:rPr>
        <w:t>500</w:t>
      </w:r>
      <w:r>
        <w:rPr>
          <w:rFonts w:hint="eastAsia" w:ascii="仿宋_GB2312" w:hAnsi="仿宋_GB2312" w:eastAsia="仿宋_GB2312" w:cs="仿宋_GB2312"/>
          <w:sz w:val="32"/>
          <w:szCs w:val="40"/>
          <w:highlight w:val="none"/>
        </w:rPr>
        <w:t>.00万元，全年实际执行2,484.27万元，预算执行率为</w:t>
      </w:r>
      <w:r>
        <w:rPr>
          <w:rFonts w:hint="eastAsia" w:ascii="仿宋_GB2312" w:hAnsi="仿宋_GB2312" w:eastAsia="仿宋_GB2312" w:cs="仿宋_GB2312"/>
          <w:sz w:val="32"/>
          <w:szCs w:val="40"/>
        </w:rPr>
        <w:t>9</w:t>
      </w:r>
      <w:r>
        <w:rPr>
          <w:rFonts w:hint="eastAsia" w:ascii="仿宋_GB2312" w:hAnsi="仿宋_GB2312" w:eastAsia="仿宋_GB2312" w:cs="仿宋_GB2312"/>
          <w:sz w:val="32"/>
          <w:szCs w:val="40"/>
          <w:lang w:val="en-US" w:eastAsia="zh-CN"/>
        </w:rPr>
        <w:t>9.37</w:t>
      </w:r>
      <w:r>
        <w:rPr>
          <w:rFonts w:hint="eastAsia" w:ascii="仿宋_GB2312" w:hAnsi="仿宋_GB2312" w:eastAsia="仿宋_GB2312" w:cs="仿宋_GB2312"/>
          <w:sz w:val="32"/>
          <w:szCs w:val="40"/>
          <w:highlight w:val="none"/>
        </w:rPr>
        <w:t>%。</w:t>
      </w:r>
      <w:r>
        <w:rPr>
          <w:rFonts w:hint="eastAsia" w:ascii="仿宋_GB2312" w:hAnsi="仿宋_GB2312" w:eastAsia="仿宋_GB2312" w:cs="仿宋_GB2312"/>
          <w:sz w:val="32"/>
          <w:szCs w:val="40"/>
          <w:highlight w:val="none"/>
          <w:lang w:eastAsia="zh-CN"/>
        </w:rPr>
        <w:t>具体情况如下：</w:t>
      </w:r>
    </w:p>
    <w:p>
      <w:pPr>
        <w:pStyle w:val="2"/>
        <w:jc w:val="center"/>
        <w:rPr>
          <w:rFonts w:hint="default" w:ascii="仿宋_GB2312" w:hAnsi="仿宋_GB2312" w:eastAsia="仿宋_GB2312" w:cs="仿宋_GB2312"/>
          <w:sz w:val="32"/>
          <w:szCs w:val="40"/>
          <w:highlight w:val="none"/>
          <w:lang w:val="en-US" w:eastAsia="zh-CN"/>
        </w:rPr>
      </w:pPr>
      <w:r>
        <w:rPr>
          <w:rFonts w:hint="eastAsia" w:ascii="黑体" w:hAnsi="黑体" w:eastAsia="黑体" w:cs="黑体"/>
          <w:sz w:val="28"/>
          <w:szCs w:val="28"/>
          <w:highlight w:val="none"/>
          <w:lang w:val="en-US" w:eastAsia="zh-CN"/>
        </w:rPr>
        <w:t>建设艺术城市宣传推广项目资金执行情况表</w:t>
      </w:r>
    </w:p>
    <w:p>
      <w:pPr>
        <w:pStyle w:val="2"/>
        <w:jc w:val="right"/>
        <w:rPr>
          <w:rFonts w:hint="eastAsia" w:ascii="黑体" w:hAnsi="黑体" w:eastAsia="黑体" w:cs="黑体"/>
          <w:sz w:val="28"/>
          <w:szCs w:val="28"/>
          <w:highlight w:val="none"/>
          <w:lang w:val="en-US" w:eastAsia="zh-CN"/>
        </w:rPr>
      </w:pPr>
      <w:r>
        <w:rPr>
          <w:rFonts w:hint="eastAsia" w:ascii="黑体" w:hAnsi="黑体" w:eastAsia="黑体" w:cs="黑体"/>
          <w:sz w:val="28"/>
          <w:szCs w:val="28"/>
          <w:highlight w:val="none"/>
          <w:lang w:val="en-US" w:eastAsia="zh-CN"/>
        </w:rPr>
        <w:t>单位：万元</w:t>
      </w:r>
    </w:p>
    <w:tbl>
      <w:tblPr>
        <w:tblStyle w:val="15"/>
        <w:tblW w:w="852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36"/>
        <w:gridCol w:w="4210"/>
        <w:gridCol w:w="1320"/>
        <w:gridCol w:w="1190"/>
        <w:gridCol w:w="106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50" w:hRule="atLeast"/>
        </w:trPr>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right="0" w:rightChars="0" w:firstLine="0" w:firstLineChars="0"/>
              <w:jc w:val="center"/>
              <w:textAlignment w:val="center"/>
              <w:rPr>
                <w:rFonts w:ascii="仿宋_GB2312" w:hAnsi="Tahoma" w:eastAsia="仿宋_GB2312" w:cs="仿宋_GB2312"/>
                <w:i w:val="0"/>
                <w:iCs w:val="0"/>
                <w:color w:val="000000"/>
                <w:sz w:val="24"/>
                <w:szCs w:val="24"/>
                <w:u w:val="none"/>
              </w:rPr>
            </w:pPr>
            <w:r>
              <w:rPr>
                <w:rFonts w:hint="eastAsia" w:ascii="仿宋_GB2312" w:hAnsi="Tahoma" w:eastAsia="仿宋_GB2312" w:cs="仿宋_GB2312"/>
                <w:i w:val="0"/>
                <w:iCs w:val="0"/>
                <w:color w:val="000000"/>
                <w:kern w:val="0"/>
                <w:sz w:val="24"/>
                <w:szCs w:val="24"/>
                <w:u w:val="none"/>
                <w:lang w:val="en-US" w:eastAsia="zh-CN" w:bidi="ar"/>
              </w:rPr>
              <w:t>序号</w:t>
            </w:r>
          </w:p>
        </w:tc>
        <w:tc>
          <w:tcPr>
            <w:tcW w:w="42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right="0" w:rightChars="0" w:firstLine="0" w:firstLineChars="0"/>
              <w:jc w:val="center"/>
              <w:textAlignment w:val="center"/>
              <w:rPr>
                <w:rFonts w:hint="eastAsia" w:ascii="仿宋_GB2312" w:hAnsi="Tahoma" w:eastAsia="仿宋_GB2312" w:cs="仿宋_GB2312"/>
                <w:i w:val="0"/>
                <w:iCs w:val="0"/>
                <w:color w:val="000000"/>
                <w:sz w:val="24"/>
                <w:szCs w:val="24"/>
                <w:u w:val="none"/>
              </w:rPr>
            </w:pPr>
            <w:r>
              <w:rPr>
                <w:rFonts w:hint="eastAsia" w:ascii="仿宋_GB2312" w:hAnsi="Tahoma" w:eastAsia="仿宋_GB2312" w:cs="仿宋_GB2312"/>
                <w:i w:val="0"/>
                <w:iCs w:val="0"/>
                <w:color w:val="000000"/>
                <w:kern w:val="0"/>
                <w:sz w:val="24"/>
                <w:szCs w:val="24"/>
                <w:u w:val="none"/>
                <w:lang w:val="en-US" w:eastAsia="zh-CN" w:bidi="ar"/>
              </w:rPr>
              <w:t>项目名称</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right="0" w:rightChars="0" w:firstLine="0" w:firstLineChars="0"/>
              <w:jc w:val="center"/>
              <w:textAlignment w:val="center"/>
              <w:rPr>
                <w:rFonts w:hint="eastAsia" w:ascii="仿宋_GB2312" w:hAnsi="Tahoma" w:eastAsia="仿宋_GB2312" w:cs="仿宋_GB2312"/>
                <w:i w:val="0"/>
                <w:iCs w:val="0"/>
                <w:color w:val="000000"/>
                <w:sz w:val="24"/>
                <w:szCs w:val="24"/>
                <w:u w:val="none"/>
              </w:rPr>
            </w:pPr>
            <w:r>
              <w:rPr>
                <w:rFonts w:hint="eastAsia" w:ascii="仿宋_GB2312" w:hAnsi="Tahoma" w:eastAsia="仿宋_GB2312" w:cs="仿宋_GB2312"/>
                <w:i w:val="0"/>
                <w:iCs w:val="0"/>
                <w:color w:val="000000"/>
                <w:kern w:val="0"/>
                <w:sz w:val="24"/>
                <w:szCs w:val="24"/>
                <w:u w:val="none"/>
                <w:lang w:val="en-US" w:eastAsia="zh-CN" w:bidi="ar"/>
              </w:rPr>
              <w:t>预算金额</w:t>
            </w:r>
          </w:p>
        </w:tc>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right="0" w:rightChars="0" w:firstLine="0" w:firstLineChars="0"/>
              <w:jc w:val="center"/>
              <w:textAlignment w:val="center"/>
              <w:rPr>
                <w:rFonts w:hint="eastAsia" w:ascii="仿宋_GB2312" w:hAnsi="Tahoma" w:eastAsia="仿宋_GB2312" w:cs="仿宋_GB2312"/>
                <w:i w:val="0"/>
                <w:iCs w:val="0"/>
                <w:color w:val="000000"/>
                <w:sz w:val="24"/>
                <w:szCs w:val="24"/>
                <w:u w:val="none"/>
              </w:rPr>
            </w:pPr>
            <w:r>
              <w:rPr>
                <w:rFonts w:hint="eastAsia" w:ascii="仿宋_GB2312" w:hAnsi="Tahoma" w:eastAsia="仿宋_GB2312" w:cs="仿宋_GB2312"/>
                <w:i w:val="0"/>
                <w:iCs w:val="0"/>
                <w:color w:val="000000"/>
                <w:kern w:val="0"/>
                <w:sz w:val="24"/>
                <w:szCs w:val="24"/>
                <w:u w:val="none"/>
                <w:lang w:val="en-US" w:eastAsia="zh-CN" w:bidi="ar"/>
              </w:rPr>
              <w:t>执行金额</w:t>
            </w:r>
          </w:p>
        </w:tc>
        <w:tc>
          <w:tcPr>
            <w:tcW w:w="1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right="0" w:rightChars="0" w:firstLine="0" w:firstLineChars="0"/>
              <w:jc w:val="center"/>
              <w:textAlignment w:val="center"/>
              <w:rPr>
                <w:rFonts w:hint="eastAsia" w:ascii="仿宋_GB2312" w:hAnsi="Tahoma" w:eastAsia="仿宋_GB2312" w:cs="仿宋_GB2312"/>
                <w:i w:val="0"/>
                <w:iCs w:val="0"/>
                <w:color w:val="000000"/>
                <w:sz w:val="24"/>
                <w:szCs w:val="24"/>
                <w:u w:val="none"/>
              </w:rPr>
            </w:pPr>
            <w:r>
              <w:rPr>
                <w:rFonts w:hint="eastAsia" w:ascii="仿宋_GB2312" w:hAnsi="Tahoma" w:eastAsia="仿宋_GB2312" w:cs="仿宋_GB2312"/>
                <w:i w:val="0"/>
                <w:iCs w:val="0"/>
                <w:color w:val="000000"/>
                <w:kern w:val="0"/>
                <w:sz w:val="24"/>
                <w:szCs w:val="24"/>
                <w:u w:val="none"/>
                <w:lang w:val="en-US" w:eastAsia="zh-CN" w:bidi="ar"/>
              </w:rPr>
              <w:t>执行率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50" w:hRule="atLeast"/>
        </w:trPr>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right="0" w:rightChars="0" w:firstLine="0" w:firstLineChars="0"/>
              <w:jc w:val="center"/>
              <w:textAlignment w:val="center"/>
              <w:rPr>
                <w:rFonts w:hint="eastAsia" w:ascii="仿宋_GB2312" w:hAnsi="Tahoma" w:eastAsia="仿宋_GB2312" w:cs="仿宋_GB2312"/>
                <w:i w:val="0"/>
                <w:iCs w:val="0"/>
                <w:color w:val="000000"/>
                <w:sz w:val="24"/>
                <w:szCs w:val="24"/>
                <w:u w:val="none"/>
              </w:rPr>
            </w:pPr>
            <w:r>
              <w:rPr>
                <w:rFonts w:hint="eastAsia" w:ascii="仿宋_GB2312" w:hAnsi="Tahoma" w:eastAsia="仿宋_GB2312" w:cs="仿宋_GB2312"/>
                <w:i w:val="0"/>
                <w:iCs w:val="0"/>
                <w:color w:val="000000"/>
                <w:kern w:val="0"/>
                <w:sz w:val="24"/>
                <w:szCs w:val="24"/>
                <w:u w:val="none"/>
                <w:lang w:val="en-US" w:eastAsia="zh-CN" w:bidi="ar"/>
              </w:rPr>
              <w:t>1</w:t>
            </w:r>
          </w:p>
        </w:tc>
        <w:tc>
          <w:tcPr>
            <w:tcW w:w="421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ind w:left="0" w:leftChars="0" w:right="0" w:rightChars="0" w:firstLine="0" w:firstLineChars="0"/>
              <w:jc w:val="left"/>
              <w:textAlignment w:val="bottom"/>
              <w:rPr>
                <w:rFonts w:hint="eastAsia" w:ascii="仿宋_GB2312" w:hAnsi="Tahoma" w:eastAsia="仿宋_GB2312" w:cs="仿宋_GB2312"/>
                <w:i w:val="0"/>
                <w:iCs w:val="0"/>
                <w:color w:val="000000"/>
                <w:sz w:val="24"/>
                <w:szCs w:val="24"/>
                <w:u w:val="none"/>
              </w:rPr>
            </w:pPr>
            <w:r>
              <w:rPr>
                <w:rFonts w:hint="eastAsia" w:ascii="仿宋_GB2312" w:hAnsi="Tahoma" w:eastAsia="仿宋_GB2312" w:cs="仿宋_GB2312"/>
                <w:i w:val="0"/>
                <w:iCs w:val="0"/>
                <w:color w:val="000000"/>
                <w:kern w:val="0"/>
                <w:sz w:val="24"/>
                <w:szCs w:val="24"/>
                <w:u w:val="none"/>
                <w:lang w:val="en-US" w:eastAsia="zh-CN" w:bidi="ar"/>
              </w:rPr>
              <w:t>举办各类艺术活动</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ind w:left="0" w:leftChars="0" w:right="0" w:rightChars="0" w:firstLine="0" w:firstLineChars="0"/>
              <w:jc w:val="right"/>
              <w:textAlignment w:val="bottom"/>
              <w:rPr>
                <w:rFonts w:hint="eastAsia" w:ascii="仿宋_GB2312" w:hAnsi="Tahoma" w:eastAsia="仿宋_GB2312" w:cs="仿宋_GB2312"/>
                <w:i w:val="0"/>
                <w:iCs w:val="0"/>
                <w:color w:val="000000"/>
                <w:sz w:val="24"/>
                <w:szCs w:val="24"/>
                <w:u w:val="none"/>
              </w:rPr>
            </w:pPr>
            <w:r>
              <w:rPr>
                <w:rFonts w:hint="eastAsia" w:ascii="仿宋_GB2312" w:hAnsi="Tahoma" w:eastAsia="仿宋_GB2312" w:cs="仿宋_GB2312"/>
                <w:i w:val="0"/>
                <w:iCs w:val="0"/>
                <w:color w:val="000000"/>
                <w:kern w:val="0"/>
                <w:sz w:val="24"/>
                <w:szCs w:val="24"/>
                <w:u w:val="none"/>
                <w:lang w:val="en-US" w:eastAsia="zh-CN" w:bidi="ar"/>
              </w:rPr>
              <w:t xml:space="preserve">705.00 </w:t>
            </w:r>
          </w:p>
        </w:tc>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ind w:left="0" w:leftChars="0" w:right="0" w:rightChars="0" w:firstLine="0" w:firstLineChars="0"/>
              <w:jc w:val="right"/>
              <w:textAlignment w:val="bottom"/>
              <w:rPr>
                <w:rFonts w:hint="eastAsia" w:ascii="仿宋_GB2312" w:hAnsi="Tahoma" w:eastAsia="仿宋_GB2312" w:cs="仿宋_GB2312"/>
                <w:i w:val="0"/>
                <w:iCs w:val="0"/>
                <w:color w:val="000000"/>
                <w:sz w:val="24"/>
                <w:szCs w:val="24"/>
                <w:u w:val="none"/>
              </w:rPr>
            </w:pPr>
            <w:r>
              <w:rPr>
                <w:rFonts w:hint="eastAsia" w:ascii="仿宋_GB2312" w:hAnsi="Tahoma" w:eastAsia="仿宋_GB2312" w:cs="仿宋_GB2312"/>
                <w:i w:val="0"/>
                <w:iCs w:val="0"/>
                <w:color w:val="000000"/>
                <w:kern w:val="0"/>
                <w:sz w:val="24"/>
                <w:szCs w:val="24"/>
                <w:u w:val="none"/>
                <w:lang w:val="en-US" w:eastAsia="zh-CN" w:bidi="ar"/>
              </w:rPr>
              <w:t xml:space="preserve">704.80 </w:t>
            </w:r>
          </w:p>
        </w:tc>
        <w:tc>
          <w:tcPr>
            <w:tcW w:w="106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ind w:left="0" w:leftChars="0" w:right="0" w:rightChars="0" w:firstLine="0" w:firstLineChars="0"/>
              <w:jc w:val="right"/>
              <w:textAlignment w:val="bottom"/>
              <w:rPr>
                <w:rFonts w:hint="eastAsia" w:ascii="仿宋_GB2312" w:hAnsi="Tahoma" w:eastAsia="仿宋_GB2312" w:cs="仿宋_GB2312"/>
                <w:i w:val="0"/>
                <w:iCs w:val="0"/>
                <w:color w:val="000000"/>
                <w:sz w:val="24"/>
                <w:szCs w:val="24"/>
                <w:u w:val="none"/>
              </w:rPr>
            </w:pPr>
            <w:r>
              <w:rPr>
                <w:rFonts w:hint="eastAsia" w:ascii="仿宋_GB2312" w:hAnsi="Tahoma" w:eastAsia="仿宋_GB2312" w:cs="仿宋_GB2312"/>
                <w:i w:val="0"/>
                <w:iCs w:val="0"/>
                <w:color w:val="000000"/>
                <w:kern w:val="0"/>
                <w:sz w:val="24"/>
                <w:szCs w:val="24"/>
                <w:u w:val="none"/>
                <w:lang w:val="en-US" w:eastAsia="zh-CN" w:bidi="ar"/>
              </w:rPr>
              <w:t>99.97%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50" w:hRule="atLeast"/>
        </w:trPr>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right="0" w:rightChars="0" w:firstLine="0" w:firstLineChars="0"/>
              <w:jc w:val="center"/>
              <w:textAlignment w:val="center"/>
              <w:rPr>
                <w:rFonts w:hint="eastAsia" w:ascii="仿宋_GB2312" w:hAnsi="Tahoma" w:eastAsia="仿宋_GB2312" w:cs="仿宋_GB2312"/>
                <w:i w:val="0"/>
                <w:iCs w:val="0"/>
                <w:color w:val="000000"/>
                <w:sz w:val="24"/>
                <w:szCs w:val="24"/>
                <w:u w:val="none"/>
              </w:rPr>
            </w:pPr>
            <w:r>
              <w:rPr>
                <w:rFonts w:hint="eastAsia" w:ascii="仿宋_GB2312" w:hAnsi="Tahoma" w:eastAsia="仿宋_GB2312" w:cs="仿宋_GB2312"/>
                <w:i w:val="0"/>
                <w:iCs w:val="0"/>
                <w:color w:val="000000"/>
                <w:kern w:val="0"/>
                <w:sz w:val="24"/>
                <w:szCs w:val="24"/>
                <w:u w:val="none"/>
                <w:lang w:val="en-US" w:eastAsia="zh-CN" w:bidi="ar"/>
              </w:rPr>
              <w:t>2</w:t>
            </w:r>
          </w:p>
        </w:tc>
        <w:tc>
          <w:tcPr>
            <w:tcW w:w="421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ind w:left="0" w:leftChars="0" w:right="0" w:rightChars="0" w:firstLine="0" w:firstLineChars="0"/>
              <w:jc w:val="left"/>
              <w:textAlignment w:val="bottom"/>
              <w:rPr>
                <w:rFonts w:hint="eastAsia" w:ascii="仿宋_GB2312" w:hAnsi="Tahoma" w:eastAsia="仿宋_GB2312" w:cs="仿宋_GB2312"/>
                <w:i w:val="0"/>
                <w:iCs w:val="0"/>
                <w:color w:val="000000"/>
                <w:sz w:val="24"/>
                <w:szCs w:val="24"/>
                <w:u w:val="none"/>
              </w:rPr>
            </w:pPr>
            <w:r>
              <w:rPr>
                <w:rFonts w:hint="eastAsia" w:ascii="仿宋_GB2312" w:hAnsi="Tahoma" w:eastAsia="仿宋_GB2312" w:cs="仿宋_GB2312"/>
                <w:color w:val="000000"/>
                <w:kern w:val="0"/>
                <w:sz w:val="24"/>
                <w:highlight w:val="none"/>
                <w:lang w:bidi="ar"/>
              </w:rPr>
              <w:t>“学习强国”青岛学习平台</w:t>
            </w:r>
            <w:r>
              <w:rPr>
                <w:rFonts w:hint="eastAsia" w:ascii="仿宋_GB2312" w:hAnsi="Tahoma" w:eastAsia="仿宋_GB2312" w:cs="仿宋_GB2312"/>
                <w:i w:val="0"/>
                <w:iCs w:val="0"/>
                <w:color w:val="000000"/>
                <w:kern w:val="0"/>
                <w:sz w:val="24"/>
                <w:szCs w:val="24"/>
                <w:highlight w:val="none"/>
                <w:u w:val="none"/>
                <w:lang w:val="en-US" w:eastAsia="zh-CN" w:bidi="ar"/>
              </w:rPr>
              <w:t>建设</w:t>
            </w:r>
            <w:r>
              <w:rPr>
                <w:rFonts w:hint="eastAsia" w:ascii="仿宋_GB2312" w:hAnsi="Tahoma" w:eastAsia="仿宋_GB2312" w:cs="仿宋_GB2312"/>
                <w:i w:val="0"/>
                <w:iCs w:val="0"/>
                <w:color w:val="000000"/>
                <w:kern w:val="0"/>
                <w:sz w:val="24"/>
                <w:szCs w:val="24"/>
                <w:u w:val="none"/>
                <w:lang w:val="en-US" w:eastAsia="zh-CN" w:bidi="ar"/>
              </w:rPr>
              <w:t>及宣传</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ind w:left="0" w:leftChars="0" w:right="0" w:rightChars="0" w:firstLine="0" w:firstLineChars="0"/>
              <w:jc w:val="right"/>
              <w:textAlignment w:val="bottom"/>
              <w:rPr>
                <w:rFonts w:hint="eastAsia" w:ascii="仿宋_GB2312" w:hAnsi="Tahoma" w:eastAsia="仿宋_GB2312" w:cs="仿宋_GB2312"/>
                <w:i w:val="0"/>
                <w:iCs w:val="0"/>
                <w:color w:val="000000"/>
                <w:sz w:val="24"/>
                <w:szCs w:val="24"/>
                <w:u w:val="none"/>
              </w:rPr>
            </w:pPr>
            <w:r>
              <w:rPr>
                <w:rFonts w:hint="eastAsia" w:ascii="仿宋_GB2312" w:hAnsi="Tahoma" w:eastAsia="仿宋_GB2312" w:cs="仿宋_GB2312"/>
                <w:i w:val="0"/>
                <w:iCs w:val="0"/>
                <w:color w:val="000000"/>
                <w:kern w:val="0"/>
                <w:sz w:val="24"/>
                <w:szCs w:val="24"/>
                <w:u w:val="none"/>
                <w:lang w:val="en-US" w:eastAsia="zh-CN" w:bidi="ar"/>
              </w:rPr>
              <w:t xml:space="preserve">215.00 </w:t>
            </w:r>
          </w:p>
        </w:tc>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ind w:left="0" w:leftChars="0" w:right="0" w:rightChars="0" w:firstLine="0" w:firstLineChars="0"/>
              <w:jc w:val="right"/>
              <w:textAlignment w:val="bottom"/>
              <w:rPr>
                <w:rFonts w:hint="eastAsia" w:ascii="仿宋_GB2312" w:hAnsi="Tahoma" w:eastAsia="仿宋_GB2312" w:cs="仿宋_GB2312"/>
                <w:i w:val="0"/>
                <w:iCs w:val="0"/>
                <w:color w:val="000000"/>
                <w:sz w:val="24"/>
                <w:szCs w:val="24"/>
                <w:u w:val="none"/>
              </w:rPr>
            </w:pPr>
            <w:r>
              <w:rPr>
                <w:rFonts w:hint="eastAsia" w:ascii="仿宋_GB2312" w:hAnsi="Tahoma" w:eastAsia="仿宋_GB2312" w:cs="仿宋_GB2312"/>
                <w:i w:val="0"/>
                <w:iCs w:val="0"/>
                <w:color w:val="000000"/>
                <w:kern w:val="0"/>
                <w:sz w:val="24"/>
                <w:szCs w:val="24"/>
                <w:u w:val="none"/>
                <w:lang w:val="en-US" w:eastAsia="zh-CN" w:bidi="ar"/>
              </w:rPr>
              <w:t xml:space="preserve">212.60 </w:t>
            </w:r>
          </w:p>
        </w:tc>
        <w:tc>
          <w:tcPr>
            <w:tcW w:w="106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ind w:left="0" w:leftChars="0" w:right="0" w:rightChars="0" w:firstLine="0" w:firstLineChars="0"/>
              <w:jc w:val="right"/>
              <w:textAlignment w:val="bottom"/>
              <w:rPr>
                <w:rFonts w:hint="eastAsia" w:ascii="仿宋_GB2312" w:hAnsi="Tahoma" w:eastAsia="仿宋_GB2312" w:cs="仿宋_GB2312"/>
                <w:i w:val="0"/>
                <w:iCs w:val="0"/>
                <w:color w:val="000000"/>
                <w:sz w:val="24"/>
                <w:szCs w:val="24"/>
                <w:u w:val="none"/>
              </w:rPr>
            </w:pPr>
            <w:r>
              <w:rPr>
                <w:rFonts w:hint="eastAsia" w:ascii="仿宋_GB2312" w:hAnsi="Tahoma" w:eastAsia="仿宋_GB2312" w:cs="仿宋_GB2312"/>
                <w:i w:val="0"/>
                <w:iCs w:val="0"/>
                <w:color w:val="000000"/>
                <w:kern w:val="0"/>
                <w:sz w:val="24"/>
                <w:szCs w:val="24"/>
                <w:u w:val="none"/>
                <w:lang w:val="en-US" w:eastAsia="zh-CN" w:bidi="ar"/>
              </w:rPr>
              <w:t>98.88%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50" w:hRule="atLeast"/>
        </w:trPr>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right="0" w:rightChars="0" w:firstLine="0" w:firstLineChars="0"/>
              <w:jc w:val="center"/>
              <w:textAlignment w:val="center"/>
              <w:rPr>
                <w:rFonts w:hint="eastAsia" w:ascii="仿宋_GB2312" w:hAnsi="Tahoma" w:eastAsia="仿宋_GB2312" w:cs="仿宋_GB2312"/>
                <w:i w:val="0"/>
                <w:iCs w:val="0"/>
                <w:color w:val="000000"/>
                <w:sz w:val="24"/>
                <w:szCs w:val="24"/>
                <w:u w:val="none"/>
              </w:rPr>
            </w:pPr>
            <w:r>
              <w:rPr>
                <w:rFonts w:hint="eastAsia" w:ascii="仿宋_GB2312" w:hAnsi="Tahoma" w:eastAsia="仿宋_GB2312" w:cs="仿宋_GB2312"/>
                <w:i w:val="0"/>
                <w:iCs w:val="0"/>
                <w:color w:val="000000"/>
                <w:kern w:val="0"/>
                <w:sz w:val="24"/>
                <w:szCs w:val="24"/>
                <w:u w:val="none"/>
                <w:lang w:val="en-US" w:eastAsia="zh-CN" w:bidi="ar"/>
              </w:rPr>
              <w:t>3</w:t>
            </w:r>
          </w:p>
        </w:tc>
        <w:tc>
          <w:tcPr>
            <w:tcW w:w="421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ind w:left="0" w:leftChars="0" w:right="0" w:rightChars="0" w:firstLine="0" w:firstLineChars="0"/>
              <w:jc w:val="left"/>
              <w:textAlignment w:val="bottom"/>
              <w:rPr>
                <w:rFonts w:hint="eastAsia" w:ascii="仿宋_GB2312" w:hAnsi="Tahoma" w:eastAsia="仿宋_GB2312" w:cs="仿宋_GB2312"/>
                <w:i w:val="0"/>
                <w:iCs w:val="0"/>
                <w:color w:val="000000"/>
                <w:sz w:val="24"/>
                <w:szCs w:val="24"/>
                <w:u w:val="none"/>
              </w:rPr>
            </w:pPr>
            <w:r>
              <w:rPr>
                <w:rFonts w:hint="eastAsia" w:ascii="仿宋_GB2312" w:hAnsi="Tahoma" w:eastAsia="仿宋_GB2312" w:cs="仿宋_GB2312"/>
                <w:i w:val="0"/>
                <w:iCs w:val="0"/>
                <w:color w:val="000000"/>
                <w:kern w:val="0"/>
                <w:sz w:val="24"/>
                <w:szCs w:val="24"/>
                <w:u w:val="none"/>
                <w:lang w:val="en-US" w:eastAsia="zh-CN" w:bidi="ar"/>
              </w:rPr>
              <w:t>“青岛故事”等艺术品牌建设</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ind w:left="0" w:leftChars="0" w:right="0" w:rightChars="0" w:firstLine="0" w:firstLineChars="0"/>
              <w:jc w:val="right"/>
              <w:textAlignment w:val="bottom"/>
              <w:rPr>
                <w:rFonts w:hint="eastAsia" w:ascii="仿宋_GB2312" w:hAnsi="Tahoma" w:eastAsia="仿宋_GB2312" w:cs="仿宋_GB2312"/>
                <w:i w:val="0"/>
                <w:iCs w:val="0"/>
                <w:color w:val="000000"/>
                <w:sz w:val="24"/>
                <w:szCs w:val="24"/>
                <w:u w:val="none"/>
              </w:rPr>
            </w:pPr>
            <w:r>
              <w:rPr>
                <w:rFonts w:hint="eastAsia" w:ascii="仿宋_GB2312" w:hAnsi="Tahoma" w:eastAsia="仿宋_GB2312" w:cs="仿宋_GB2312"/>
                <w:i w:val="0"/>
                <w:iCs w:val="0"/>
                <w:color w:val="000000"/>
                <w:kern w:val="0"/>
                <w:sz w:val="24"/>
                <w:szCs w:val="24"/>
                <w:u w:val="none"/>
                <w:lang w:val="en-US" w:eastAsia="zh-CN" w:bidi="ar"/>
              </w:rPr>
              <w:t xml:space="preserve">1,050.00 </w:t>
            </w:r>
          </w:p>
        </w:tc>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ind w:left="0" w:leftChars="0" w:right="0" w:rightChars="0" w:firstLine="0" w:firstLineChars="0"/>
              <w:jc w:val="right"/>
              <w:textAlignment w:val="bottom"/>
              <w:rPr>
                <w:rFonts w:hint="eastAsia" w:ascii="仿宋_GB2312" w:hAnsi="Tahoma" w:eastAsia="仿宋_GB2312" w:cs="仿宋_GB2312"/>
                <w:i w:val="0"/>
                <w:iCs w:val="0"/>
                <w:color w:val="000000"/>
                <w:sz w:val="24"/>
                <w:szCs w:val="24"/>
                <w:u w:val="none"/>
              </w:rPr>
            </w:pPr>
            <w:r>
              <w:rPr>
                <w:rFonts w:hint="eastAsia" w:ascii="仿宋_GB2312" w:hAnsi="Tahoma" w:eastAsia="仿宋_GB2312" w:cs="仿宋_GB2312"/>
                <w:i w:val="0"/>
                <w:iCs w:val="0"/>
                <w:color w:val="000000"/>
                <w:kern w:val="0"/>
                <w:sz w:val="24"/>
                <w:szCs w:val="24"/>
                <w:u w:val="none"/>
                <w:lang w:val="en-US" w:eastAsia="zh-CN" w:bidi="ar"/>
              </w:rPr>
              <w:t xml:space="preserve">1,042.40 </w:t>
            </w:r>
          </w:p>
        </w:tc>
        <w:tc>
          <w:tcPr>
            <w:tcW w:w="106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ind w:left="0" w:leftChars="0" w:right="0" w:rightChars="0" w:firstLine="0" w:firstLineChars="0"/>
              <w:jc w:val="right"/>
              <w:textAlignment w:val="bottom"/>
              <w:rPr>
                <w:rFonts w:hint="eastAsia" w:ascii="仿宋_GB2312" w:hAnsi="Tahoma" w:eastAsia="仿宋_GB2312" w:cs="仿宋_GB2312"/>
                <w:i w:val="0"/>
                <w:iCs w:val="0"/>
                <w:color w:val="000000"/>
                <w:sz w:val="24"/>
                <w:szCs w:val="24"/>
                <w:u w:val="none"/>
              </w:rPr>
            </w:pPr>
            <w:r>
              <w:rPr>
                <w:rFonts w:hint="eastAsia" w:ascii="仿宋_GB2312" w:hAnsi="Tahoma" w:eastAsia="仿宋_GB2312" w:cs="仿宋_GB2312"/>
                <w:i w:val="0"/>
                <w:iCs w:val="0"/>
                <w:color w:val="000000"/>
                <w:kern w:val="0"/>
                <w:sz w:val="24"/>
                <w:szCs w:val="24"/>
                <w:u w:val="none"/>
                <w:lang w:val="en-US" w:eastAsia="zh-CN" w:bidi="ar"/>
              </w:rPr>
              <w:t>99.28%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50" w:hRule="atLeast"/>
        </w:trPr>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right="0" w:rightChars="0" w:firstLine="0" w:firstLineChars="0"/>
              <w:jc w:val="center"/>
              <w:textAlignment w:val="center"/>
              <w:rPr>
                <w:rFonts w:hint="eastAsia" w:ascii="仿宋_GB2312" w:hAnsi="Tahoma" w:eastAsia="仿宋_GB2312" w:cs="仿宋_GB2312"/>
                <w:i w:val="0"/>
                <w:iCs w:val="0"/>
                <w:color w:val="000000"/>
                <w:sz w:val="24"/>
                <w:szCs w:val="24"/>
                <w:u w:val="none"/>
              </w:rPr>
            </w:pPr>
            <w:r>
              <w:rPr>
                <w:rFonts w:hint="eastAsia" w:ascii="仿宋_GB2312" w:hAnsi="Tahoma" w:eastAsia="仿宋_GB2312" w:cs="仿宋_GB2312"/>
                <w:i w:val="0"/>
                <w:iCs w:val="0"/>
                <w:color w:val="000000"/>
                <w:kern w:val="0"/>
                <w:sz w:val="24"/>
                <w:szCs w:val="24"/>
                <w:u w:val="none"/>
                <w:lang w:val="en-US" w:eastAsia="zh-CN" w:bidi="ar"/>
              </w:rPr>
              <w:t>4</w:t>
            </w:r>
          </w:p>
        </w:tc>
        <w:tc>
          <w:tcPr>
            <w:tcW w:w="421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ind w:left="0" w:leftChars="0" w:right="0" w:rightChars="0" w:firstLine="0" w:firstLineChars="0"/>
              <w:jc w:val="left"/>
              <w:textAlignment w:val="bottom"/>
              <w:rPr>
                <w:rFonts w:hint="eastAsia" w:ascii="仿宋_GB2312" w:hAnsi="Tahoma" w:eastAsia="仿宋_GB2312" w:cs="仿宋_GB2312"/>
                <w:i w:val="0"/>
                <w:iCs w:val="0"/>
                <w:color w:val="000000"/>
                <w:sz w:val="24"/>
                <w:szCs w:val="24"/>
                <w:u w:val="none"/>
              </w:rPr>
            </w:pPr>
            <w:r>
              <w:rPr>
                <w:rFonts w:hint="eastAsia" w:ascii="仿宋_GB2312" w:hAnsi="Tahoma" w:eastAsia="仿宋_GB2312" w:cs="仿宋_GB2312"/>
                <w:i w:val="0"/>
                <w:iCs w:val="0"/>
                <w:color w:val="000000"/>
                <w:kern w:val="0"/>
                <w:sz w:val="24"/>
                <w:szCs w:val="24"/>
                <w:u w:val="none"/>
                <w:lang w:val="en-US" w:eastAsia="zh-CN" w:bidi="ar"/>
              </w:rPr>
              <w:t>艺术城市形象宣传推广</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ind w:left="0" w:leftChars="0" w:right="0" w:rightChars="0" w:firstLine="0" w:firstLineChars="0"/>
              <w:jc w:val="right"/>
              <w:textAlignment w:val="bottom"/>
              <w:rPr>
                <w:rFonts w:hint="eastAsia" w:ascii="仿宋_GB2312" w:hAnsi="Tahoma" w:eastAsia="仿宋_GB2312" w:cs="仿宋_GB2312"/>
                <w:i w:val="0"/>
                <w:iCs w:val="0"/>
                <w:color w:val="000000"/>
                <w:sz w:val="24"/>
                <w:szCs w:val="24"/>
                <w:u w:val="none"/>
              </w:rPr>
            </w:pPr>
            <w:r>
              <w:rPr>
                <w:rFonts w:hint="eastAsia" w:ascii="仿宋_GB2312" w:hAnsi="Tahoma" w:eastAsia="仿宋_GB2312" w:cs="仿宋_GB2312"/>
                <w:i w:val="0"/>
                <w:iCs w:val="0"/>
                <w:color w:val="000000"/>
                <w:kern w:val="0"/>
                <w:sz w:val="24"/>
                <w:szCs w:val="24"/>
                <w:u w:val="none"/>
                <w:lang w:val="en-US" w:eastAsia="zh-CN" w:bidi="ar"/>
              </w:rPr>
              <w:t xml:space="preserve">530.00 </w:t>
            </w:r>
          </w:p>
        </w:tc>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ind w:left="0" w:leftChars="0" w:right="0" w:rightChars="0" w:firstLine="0" w:firstLineChars="0"/>
              <w:jc w:val="right"/>
              <w:textAlignment w:val="bottom"/>
              <w:rPr>
                <w:rFonts w:hint="eastAsia" w:ascii="仿宋_GB2312" w:hAnsi="Tahoma" w:eastAsia="仿宋_GB2312" w:cs="仿宋_GB2312"/>
                <w:i w:val="0"/>
                <w:iCs w:val="0"/>
                <w:color w:val="000000"/>
                <w:sz w:val="24"/>
                <w:szCs w:val="24"/>
                <w:u w:val="none"/>
              </w:rPr>
            </w:pPr>
            <w:r>
              <w:rPr>
                <w:rFonts w:hint="eastAsia" w:ascii="仿宋_GB2312" w:hAnsi="Tahoma" w:eastAsia="仿宋_GB2312" w:cs="仿宋_GB2312"/>
                <w:i w:val="0"/>
                <w:iCs w:val="0"/>
                <w:color w:val="000000"/>
                <w:kern w:val="0"/>
                <w:sz w:val="24"/>
                <w:szCs w:val="24"/>
                <w:u w:val="none"/>
                <w:lang w:val="en-US" w:eastAsia="zh-CN" w:bidi="ar"/>
              </w:rPr>
              <w:t xml:space="preserve">524.47 </w:t>
            </w:r>
          </w:p>
        </w:tc>
        <w:tc>
          <w:tcPr>
            <w:tcW w:w="106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ind w:left="0" w:leftChars="0" w:right="0" w:rightChars="0" w:firstLine="0" w:firstLineChars="0"/>
              <w:jc w:val="right"/>
              <w:textAlignment w:val="bottom"/>
              <w:rPr>
                <w:rFonts w:hint="eastAsia" w:ascii="仿宋_GB2312" w:hAnsi="Tahoma" w:eastAsia="仿宋_GB2312" w:cs="仿宋_GB2312"/>
                <w:i w:val="0"/>
                <w:iCs w:val="0"/>
                <w:color w:val="000000"/>
                <w:sz w:val="24"/>
                <w:szCs w:val="24"/>
                <w:u w:val="none"/>
              </w:rPr>
            </w:pPr>
            <w:r>
              <w:rPr>
                <w:rFonts w:hint="eastAsia" w:ascii="仿宋_GB2312" w:hAnsi="Tahoma" w:eastAsia="仿宋_GB2312" w:cs="仿宋_GB2312"/>
                <w:i w:val="0"/>
                <w:iCs w:val="0"/>
                <w:color w:val="000000"/>
                <w:kern w:val="0"/>
                <w:sz w:val="24"/>
                <w:szCs w:val="24"/>
                <w:u w:val="none"/>
                <w:lang w:val="en-US" w:eastAsia="zh-CN" w:bidi="ar"/>
              </w:rPr>
              <w:t>98.96%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50" w:hRule="atLeast"/>
        </w:trPr>
        <w:tc>
          <w:tcPr>
            <w:tcW w:w="4946" w:type="dxa"/>
            <w:gridSpan w:val="2"/>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ind w:left="0" w:leftChars="0" w:right="0" w:rightChars="0" w:firstLine="0" w:firstLineChars="0"/>
              <w:jc w:val="center"/>
              <w:textAlignment w:val="bottom"/>
              <w:rPr>
                <w:rFonts w:hint="eastAsia" w:ascii="仿宋_GB2312" w:hAnsi="Tahoma" w:eastAsia="仿宋_GB2312" w:cs="仿宋_GB2312"/>
                <w:b/>
                <w:bCs/>
                <w:i w:val="0"/>
                <w:iCs w:val="0"/>
                <w:color w:val="000000"/>
                <w:sz w:val="24"/>
                <w:szCs w:val="24"/>
                <w:u w:val="none"/>
              </w:rPr>
            </w:pPr>
            <w:r>
              <w:rPr>
                <w:rFonts w:hint="eastAsia" w:ascii="仿宋_GB2312" w:hAnsi="Tahoma" w:eastAsia="仿宋_GB2312" w:cs="仿宋_GB2312"/>
                <w:b/>
                <w:bCs/>
                <w:i w:val="0"/>
                <w:iCs w:val="0"/>
                <w:color w:val="000000"/>
                <w:kern w:val="0"/>
                <w:sz w:val="24"/>
                <w:szCs w:val="24"/>
                <w:u w:val="none"/>
                <w:lang w:val="en-US" w:eastAsia="zh-CN" w:bidi="ar"/>
              </w:rPr>
              <w:t>合  计</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ind w:left="0" w:leftChars="0" w:right="0" w:rightChars="0" w:firstLine="0" w:firstLineChars="0"/>
              <w:jc w:val="right"/>
              <w:textAlignment w:val="bottom"/>
              <w:rPr>
                <w:rFonts w:hint="eastAsia" w:ascii="仿宋_GB2312" w:hAnsi="Tahoma" w:eastAsia="仿宋_GB2312" w:cs="仿宋_GB2312"/>
                <w:b/>
                <w:bCs/>
                <w:i w:val="0"/>
                <w:iCs w:val="0"/>
                <w:color w:val="000000"/>
                <w:sz w:val="24"/>
                <w:szCs w:val="24"/>
                <w:u w:val="none"/>
              </w:rPr>
            </w:pPr>
            <w:r>
              <w:rPr>
                <w:rFonts w:hint="eastAsia" w:ascii="仿宋_GB2312" w:hAnsi="Tahoma" w:eastAsia="仿宋_GB2312" w:cs="仿宋_GB2312"/>
                <w:b/>
                <w:bCs/>
                <w:i w:val="0"/>
                <w:iCs w:val="0"/>
                <w:color w:val="000000"/>
                <w:kern w:val="0"/>
                <w:sz w:val="24"/>
                <w:szCs w:val="24"/>
                <w:u w:val="none"/>
                <w:lang w:val="en-US" w:eastAsia="zh-CN" w:bidi="ar"/>
              </w:rPr>
              <w:t xml:space="preserve">2,500.00 </w:t>
            </w:r>
          </w:p>
        </w:tc>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ind w:left="0" w:leftChars="0" w:right="0" w:rightChars="0" w:firstLine="0" w:firstLineChars="0"/>
              <w:jc w:val="right"/>
              <w:textAlignment w:val="bottom"/>
              <w:rPr>
                <w:rFonts w:hint="eastAsia" w:ascii="仿宋_GB2312" w:hAnsi="Tahoma" w:eastAsia="仿宋_GB2312" w:cs="仿宋_GB2312"/>
                <w:b/>
                <w:bCs/>
                <w:i w:val="0"/>
                <w:iCs w:val="0"/>
                <w:color w:val="000000"/>
                <w:sz w:val="24"/>
                <w:szCs w:val="24"/>
                <w:u w:val="none"/>
              </w:rPr>
            </w:pPr>
            <w:r>
              <w:rPr>
                <w:rFonts w:hint="eastAsia" w:ascii="仿宋_GB2312" w:hAnsi="Tahoma" w:eastAsia="仿宋_GB2312" w:cs="仿宋_GB2312"/>
                <w:b/>
                <w:bCs/>
                <w:i w:val="0"/>
                <w:iCs w:val="0"/>
                <w:color w:val="000000"/>
                <w:kern w:val="0"/>
                <w:sz w:val="24"/>
                <w:szCs w:val="24"/>
                <w:u w:val="none"/>
                <w:lang w:val="en-US" w:eastAsia="zh-CN" w:bidi="ar"/>
              </w:rPr>
              <w:t xml:space="preserve">2,484.27 </w:t>
            </w:r>
          </w:p>
        </w:tc>
        <w:tc>
          <w:tcPr>
            <w:tcW w:w="106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ind w:left="0" w:leftChars="0" w:right="0" w:rightChars="0" w:firstLine="0" w:firstLineChars="0"/>
              <w:jc w:val="right"/>
              <w:textAlignment w:val="bottom"/>
              <w:rPr>
                <w:rFonts w:hint="eastAsia" w:ascii="仿宋_GB2312" w:hAnsi="Tahoma" w:eastAsia="仿宋_GB2312" w:cs="仿宋_GB2312"/>
                <w:b/>
                <w:bCs/>
                <w:i w:val="0"/>
                <w:iCs w:val="0"/>
                <w:color w:val="000000"/>
                <w:sz w:val="24"/>
                <w:szCs w:val="24"/>
                <w:u w:val="none"/>
              </w:rPr>
            </w:pPr>
            <w:r>
              <w:rPr>
                <w:rFonts w:hint="eastAsia" w:ascii="仿宋_GB2312" w:hAnsi="Tahoma" w:eastAsia="仿宋_GB2312" w:cs="仿宋_GB2312"/>
                <w:b/>
                <w:bCs/>
                <w:i w:val="0"/>
                <w:iCs w:val="0"/>
                <w:color w:val="000000"/>
                <w:kern w:val="0"/>
                <w:sz w:val="24"/>
                <w:szCs w:val="24"/>
                <w:u w:val="none"/>
                <w:lang w:val="en-US" w:eastAsia="zh-CN" w:bidi="ar"/>
              </w:rPr>
              <w:t>99.37%</w:t>
            </w:r>
          </w:p>
        </w:tc>
      </w:tr>
    </w:tbl>
    <w:p>
      <w:pPr>
        <w:pStyle w:val="4"/>
        <w:widowControl w:val="0"/>
        <w:spacing w:before="0" w:after="0" w:line="560" w:lineRule="exact"/>
        <w:ind w:firstLine="640"/>
        <w:jc w:val="both"/>
        <w:rPr>
          <w:rFonts w:eastAsia="楷体_GB2312"/>
          <w:bCs w:val="0"/>
          <w:color w:val="auto"/>
          <w:sz w:val="32"/>
          <w:szCs w:val="40"/>
          <w:highlight w:val="none"/>
          <w:lang w:val="en-US"/>
        </w:rPr>
      </w:pPr>
      <w:bookmarkStart w:id="2" w:name="_Toc22524"/>
      <w:r>
        <w:rPr>
          <w:rFonts w:hint="eastAsia" w:eastAsia="楷体_GB2312"/>
          <w:bCs w:val="0"/>
          <w:color w:val="auto"/>
          <w:sz w:val="32"/>
          <w:szCs w:val="40"/>
          <w:highlight w:val="none"/>
          <w:lang w:val="en-US"/>
        </w:rPr>
        <w:t>（二）项目绩效目标</w:t>
      </w:r>
      <w:bookmarkEnd w:id="2"/>
    </w:p>
    <w:p>
      <w:pPr>
        <w:spacing w:line="560" w:lineRule="exact"/>
        <w:ind w:firstLine="640" w:firstLineChars="200"/>
        <w:rPr>
          <w:rFonts w:hint="eastAsia" w:ascii="仿宋_GB2312" w:hAnsi="仿宋_GB2312" w:eastAsia="仿宋_GB2312" w:cs="仿宋_GB2312"/>
          <w:sz w:val="32"/>
          <w:szCs w:val="40"/>
          <w:highlight w:val="none"/>
        </w:rPr>
      </w:pPr>
      <w:r>
        <w:rPr>
          <w:rFonts w:hint="eastAsia" w:ascii="仿宋_GB2312" w:hAnsi="仿宋_GB2312" w:eastAsia="仿宋_GB2312" w:cs="仿宋_GB2312"/>
          <w:sz w:val="32"/>
          <w:szCs w:val="40"/>
          <w:highlight w:val="none"/>
        </w:rPr>
        <w:t>1.总体目标</w:t>
      </w:r>
    </w:p>
    <w:p>
      <w:pPr>
        <w:spacing w:line="560" w:lineRule="exact"/>
        <w:ind w:firstLine="640" w:firstLineChars="200"/>
        <w:rPr>
          <w:rFonts w:hint="eastAsia" w:ascii="仿宋_GB2312" w:hAnsi="仿宋_GB2312" w:eastAsia="仿宋_GB2312" w:cs="仿宋_GB2312"/>
          <w:sz w:val="32"/>
          <w:szCs w:val="40"/>
          <w:highlight w:val="none"/>
        </w:rPr>
      </w:pPr>
      <w:r>
        <w:rPr>
          <w:rFonts w:hint="eastAsia" w:ascii="仿宋_GB2312" w:hAnsi="仿宋_GB2312" w:eastAsia="仿宋_GB2312" w:cs="仿宋_GB2312"/>
          <w:sz w:val="32"/>
          <w:szCs w:val="40"/>
          <w:highlight w:val="none"/>
        </w:rPr>
        <w:t>落实青岛市第十三次党代会报告提出的 “建设艺术城市” 要求和市委宣传部《关于推进艺术青岛建设的意见》，繁荣发展社会主义文化，增强城市软实力，放大“电影之都”“东亚文化之都”品牌效应。通过举办各类艺术活动、精品内容生产和城市品牌宣传推广，深入推进艺术青岛建设，让艺术融入城市、走近市民，持续提升城市文化软实力和综合竞争力，推动人文青岛享誉世界。</w:t>
      </w:r>
    </w:p>
    <w:p>
      <w:pPr>
        <w:spacing w:line="560" w:lineRule="exact"/>
        <w:ind w:firstLine="640" w:firstLineChars="200"/>
        <w:rPr>
          <w:rFonts w:hint="eastAsia" w:ascii="仿宋_GB2312" w:hAnsi="仿宋_GB2312" w:eastAsia="仿宋_GB2312" w:cs="仿宋_GB2312"/>
          <w:sz w:val="32"/>
          <w:szCs w:val="40"/>
          <w:highlight w:val="none"/>
        </w:rPr>
      </w:pPr>
      <w:r>
        <w:rPr>
          <w:rFonts w:hint="eastAsia" w:ascii="仿宋_GB2312" w:hAnsi="仿宋_GB2312" w:eastAsia="仿宋_GB2312" w:cs="仿宋_GB2312"/>
          <w:sz w:val="32"/>
          <w:szCs w:val="40"/>
          <w:highlight w:val="none"/>
        </w:rPr>
        <w:t>2.年度目标</w:t>
      </w:r>
    </w:p>
    <w:p>
      <w:pPr>
        <w:spacing w:line="560" w:lineRule="exact"/>
        <w:ind w:firstLine="640" w:firstLineChars="200"/>
        <w:rPr>
          <w:rFonts w:hint="default" w:ascii="仿宋_GB2312" w:hAnsi="仿宋_GB2312" w:eastAsia="仿宋_GB2312" w:cs="仿宋_GB2312"/>
          <w:sz w:val="32"/>
          <w:szCs w:val="40"/>
          <w:highlight w:val="none"/>
          <w:lang w:val="en-US" w:eastAsia="zh-CN"/>
        </w:rPr>
      </w:pPr>
      <w:r>
        <w:rPr>
          <w:rFonts w:hint="eastAsia" w:ascii="仿宋_GB2312" w:hAnsi="仿宋_GB2312" w:eastAsia="仿宋_GB2312" w:cs="仿宋_GB2312"/>
          <w:sz w:val="32"/>
          <w:szCs w:val="40"/>
          <w:highlight w:val="none"/>
          <w:lang w:eastAsia="zh-CN"/>
        </w:rPr>
        <w:t>根据青岛市委宣传部2025年度部门项目支出绩效目标表，</w:t>
      </w:r>
      <w:r>
        <w:rPr>
          <w:rFonts w:hint="eastAsia" w:ascii="仿宋_GB2312" w:hAnsi="仿宋_GB2312" w:eastAsia="仿宋_GB2312" w:cs="仿宋_GB2312"/>
          <w:sz w:val="32"/>
          <w:szCs w:val="40"/>
          <w:highlight w:val="none"/>
          <w:lang w:val="en-US" w:eastAsia="zh-CN"/>
        </w:rPr>
        <w:t>绩效目标为通过举办丰富多彩的艺术品牌活动，深入推进艺术青岛建设，进一步提升青岛的国际知名度、美誉度和影响力。整体支出≤2500万元；</w:t>
      </w:r>
      <w:r>
        <w:rPr>
          <w:rFonts w:hint="eastAsia" w:ascii="仿宋_GB2312" w:hAnsi="仿宋_GB2312" w:eastAsia="仿宋_GB2312" w:cs="仿宋_GB2312"/>
          <w:color w:val="auto"/>
          <w:sz w:val="32"/>
          <w:szCs w:val="40"/>
          <w:highlight w:val="none"/>
        </w:rPr>
        <w:t>我市</w:t>
      </w:r>
      <w:r>
        <w:rPr>
          <w:rFonts w:hint="eastAsia" w:ascii="仿宋_GB2312" w:hAnsi="仿宋_GB2312" w:eastAsia="仿宋_GB2312" w:cs="仿宋_GB2312"/>
          <w:sz w:val="32"/>
          <w:szCs w:val="40"/>
          <w:highlight w:val="none"/>
        </w:rPr>
        <w:t>“学习强国”</w:t>
      </w:r>
      <w:r>
        <w:rPr>
          <w:rFonts w:hint="eastAsia" w:ascii="仿宋_GB2312" w:hAnsi="仿宋_GB2312" w:eastAsia="仿宋_GB2312" w:cs="仿宋_GB2312"/>
          <w:sz w:val="32"/>
          <w:szCs w:val="40"/>
          <w:highlight w:val="none"/>
          <w:lang w:val="en-US" w:eastAsia="zh-CN"/>
        </w:rPr>
        <w:t>APP用户数≥230万人，举办艺术活动≥3场；</w:t>
      </w:r>
      <w:r>
        <w:rPr>
          <w:rFonts w:hint="eastAsia" w:ascii="仿宋_GB2312" w:hAnsi="仿宋_GB2312" w:eastAsia="仿宋_GB2312" w:cs="仿宋_GB2312"/>
          <w:sz w:val="32"/>
          <w:szCs w:val="40"/>
          <w:highlight w:val="none"/>
        </w:rPr>
        <w:t>“学习强国”</w:t>
      </w:r>
      <w:r>
        <w:rPr>
          <w:rFonts w:hint="eastAsia" w:ascii="仿宋_GB2312" w:hAnsi="仿宋_GB2312" w:eastAsia="仿宋_GB2312" w:cs="仿宋_GB2312"/>
          <w:sz w:val="32"/>
          <w:szCs w:val="40"/>
          <w:highlight w:val="none"/>
          <w:lang w:val="en-US" w:eastAsia="zh-CN"/>
        </w:rPr>
        <w:t>青岛学习平台内容建设走在全省前列；助力艺术城市建设；活动满意度≥90%。</w:t>
      </w:r>
    </w:p>
    <w:p>
      <w:pPr>
        <w:pStyle w:val="3"/>
        <w:widowControl w:val="0"/>
        <w:spacing w:before="0" w:after="0" w:line="560" w:lineRule="exact"/>
        <w:ind w:firstLine="640"/>
        <w:jc w:val="both"/>
        <w:rPr>
          <w:bCs w:val="0"/>
          <w:color w:val="auto"/>
          <w:kern w:val="2"/>
          <w:sz w:val="32"/>
          <w:szCs w:val="32"/>
          <w:highlight w:val="none"/>
          <w:lang w:val="en-US"/>
        </w:rPr>
      </w:pPr>
      <w:bookmarkStart w:id="3" w:name="_Toc522"/>
      <w:r>
        <w:rPr>
          <w:rFonts w:hint="eastAsia"/>
          <w:bCs w:val="0"/>
          <w:color w:val="auto"/>
          <w:kern w:val="2"/>
          <w:sz w:val="32"/>
          <w:szCs w:val="32"/>
          <w:highlight w:val="none"/>
          <w:lang w:val="en-US"/>
        </w:rPr>
        <w:t>二、绩效评价工作开展情况</w:t>
      </w:r>
      <w:bookmarkEnd w:id="3"/>
    </w:p>
    <w:p>
      <w:pPr>
        <w:pStyle w:val="4"/>
        <w:widowControl w:val="0"/>
        <w:spacing w:before="0" w:after="0" w:line="560" w:lineRule="exact"/>
        <w:ind w:firstLine="640"/>
        <w:jc w:val="both"/>
        <w:rPr>
          <w:rFonts w:eastAsia="楷体_GB2312"/>
          <w:bCs w:val="0"/>
          <w:color w:val="auto"/>
          <w:sz w:val="32"/>
          <w:szCs w:val="40"/>
          <w:highlight w:val="none"/>
          <w:lang w:val="en-US"/>
        </w:rPr>
      </w:pPr>
      <w:bookmarkStart w:id="4" w:name="_Toc7277"/>
      <w:r>
        <w:rPr>
          <w:rFonts w:hint="eastAsia" w:eastAsia="楷体_GB2312"/>
          <w:bCs w:val="0"/>
          <w:color w:val="auto"/>
          <w:sz w:val="32"/>
          <w:szCs w:val="40"/>
          <w:highlight w:val="none"/>
          <w:lang w:val="en-US"/>
        </w:rPr>
        <w:t>（一）评价目的、评价对象和范围</w:t>
      </w:r>
      <w:bookmarkEnd w:id="4"/>
    </w:p>
    <w:p>
      <w:pPr>
        <w:spacing w:line="560" w:lineRule="exact"/>
        <w:ind w:firstLine="640" w:firstLineChars="200"/>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rPr>
        <w:t>从项目的</w:t>
      </w:r>
      <w:r>
        <w:rPr>
          <w:rFonts w:hint="eastAsia" w:ascii="仿宋_GB2312" w:hAnsi="仿宋_GB2312" w:eastAsia="仿宋_GB2312" w:cs="仿宋_GB2312"/>
          <w:sz w:val="32"/>
          <w:szCs w:val="32"/>
          <w:highlight w:val="none"/>
          <w:lang w:eastAsia="zh-CN"/>
        </w:rPr>
        <w:t>实施</w:t>
      </w:r>
      <w:r>
        <w:rPr>
          <w:rFonts w:hint="eastAsia" w:ascii="仿宋_GB2312" w:hAnsi="仿宋_GB2312" w:eastAsia="仿宋_GB2312" w:cs="仿宋_GB2312"/>
          <w:sz w:val="32"/>
          <w:szCs w:val="32"/>
          <w:highlight w:val="none"/>
        </w:rPr>
        <w:t>过程、产出、效益</w:t>
      </w:r>
      <w:r>
        <w:rPr>
          <w:rFonts w:hint="eastAsia" w:ascii="仿宋_GB2312" w:hAnsi="仿宋_GB2312" w:eastAsia="仿宋_GB2312" w:cs="仿宋_GB2312"/>
          <w:sz w:val="32"/>
          <w:szCs w:val="32"/>
          <w:highlight w:val="none"/>
          <w:lang w:eastAsia="zh-CN"/>
        </w:rPr>
        <w:t>等</w:t>
      </w:r>
      <w:r>
        <w:rPr>
          <w:rFonts w:hint="eastAsia" w:ascii="仿宋_GB2312" w:hAnsi="仿宋_GB2312" w:eastAsia="仿宋_GB2312" w:cs="仿宋_GB2312"/>
          <w:sz w:val="32"/>
          <w:szCs w:val="32"/>
          <w:highlight w:val="none"/>
        </w:rPr>
        <w:t>方面，对</w:t>
      </w:r>
      <w:r>
        <w:rPr>
          <w:rFonts w:hint="eastAsia" w:ascii="仿宋_GB2312" w:hAnsi="仿宋_GB2312" w:eastAsia="仿宋_GB2312" w:cs="仿宋_GB2312"/>
          <w:sz w:val="32"/>
          <w:szCs w:val="32"/>
          <w:highlight w:val="none"/>
          <w:lang w:eastAsia="zh-CN"/>
        </w:rPr>
        <w:t>2025年建设艺术城市宣传推广项目开展绩效评价，重点评价项目采购程序合规性、资金使用效益、合同履约规范性及城市品牌宣传成效，针对评价发现问题，为后续项目优化管理、资金精准配置和相关制度完善提供依据，提升项目筹办与运营的规范化、精细化水平，最大化发挥项目对</w:t>
      </w:r>
      <w:r>
        <w:rPr>
          <w:rFonts w:hint="eastAsia" w:ascii="仿宋_GB2312" w:hAnsi="仿宋_GB2312" w:eastAsia="仿宋_GB2312" w:cs="仿宋_GB2312"/>
          <w:sz w:val="32"/>
          <w:szCs w:val="32"/>
          <w:highlight w:val="none"/>
          <w:lang w:val="en-US" w:eastAsia="zh-CN"/>
        </w:rPr>
        <w:t>塑造</w:t>
      </w:r>
      <w:r>
        <w:rPr>
          <w:rFonts w:hint="eastAsia" w:ascii="仿宋_GB2312" w:hAnsi="仿宋_GB2312" w:eastAsia="仿宋_GB2312" w:cs="仿宋_GB2312"/>
          <w:sz w:val="32"/>
          <w:szCs w:val="32"/>
          <w:highlight w:val="none"/>
          <w:lang w:eastAsia="zh-CN"/>
        </w:rPr>
        <w:t>城市文化品牌、提升国际传播能力的作用。</w:t>
      </w:r>
    </w:p>
    <w:p>
      <w:pPr>
        <w:pStyle w:val="4"/>
        <w:widowControl w:val="0"/>
        <w:spacing w:before="0" w:after="0" w:line="560" w:lineRule="exact"/>
        <w:ind w:firstLine="640"/>
        <w:jc w:val="both"/>
        <w:rPr>
          <w:rFonts w:eastAsia="楷体_GB2312"/>
          <w:bCs w:val="0"/>
          <w:color w:val="auto"/>
          <w:sz w:val="32"/>
          <w:szCs w:val="40"/>
          <w:highlight w:val="none"/>
          <w:lang w:val="en-US"/>
        </w:rPr>
      </w:pPr>
      <w:bookmarkStart w:id="5" w:name="_Toc26576"/>
      <w:r>
        <w:rPr>
          <w:rFonts w:hint="eastAsia" w:eastAsia="楷体_GB2312"/>
          <w:bCs w:val="0"/>
          <w:color w:val="auto"/>
          <w:sz w:val="32"/>
          <w:szCs w:val="40"/>
          <w:highlight w:val="none"/>
          <w:lang w:val="en-US"/>
        </w:rPr>
        <w:t>（二）评价思路、评价重点、评价指标体系和评价标准</w:t>
      </w:r>
      <w:bookmarkEnd w:id="5"/>
    </w:p>
    <w:p>
      <w:pPr>
        <w:spacing w:line="56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1.评价思路</w:t>
      </w:r>
    </w:p>
    <w:p>
      <w:pPr>
        <w:kinsoku/>
        <w:spacing w:line="580" w:lineRule="exact"/>
        <w:ind w:firstLine="640" w:firstLineChars="200"/>
        <w:jc w:val="both"/>
        <w:rPr>
          <w:rFonts w:ascii="Times New Roman" w:hAnsi="Times New Roman" w:eastAsia="仿宋_GB2312" w:cs="Times New Roman"/>
          <w:snapToGrid/>
          <w:sz w:val="32"/>
          <w:szCs w:val="32"/>
          <w:highlight w:val="none"/>
          <w:lang w:eastAsia="zh-CN"/>
        </w:rPr>
      </w:pPr>
      <w:r>
        <w:rPr>
          <w:rFonts w:ascii="Times New Roman" w:hAnsi="Times New Roman" w:eastAsia="仿宋_GB2312" w:cs="Times New Roman"/>
          <w:snapToGrid/>
          <w:sz w:val="32"/>
          <w:szCs w:val="32"/>
          <w:highlight w:val="none"/>
          <w:lang w:eastAsia="zh-CN"/>
        </w:rPr>
        <w:t>本次评价坚持绩效导向、客观公正、操作可行、主体分明的</w:t>
      </w:r>
      <w:r>
        <w:rPr>
          <w:rFonts w:hint="eastAsia" w:ascii="Times New Roman" w:hAnsi="Times New Roman" w:eastAsia="仿宋_GB2312" w:cs="Times New Roman"/>
          <w:snapToGrid/>
          <w:sz w:val="32"/>
          <w:szCs w:val="32"/>
          <w:highlight w:val="none"/>
          <w:lang w:eastAsia="zh-CN"/>
        </w:rPr>
        <w:t>思路</w:t>
      </w:r>
      <w:r>
        <w:rPr>
          <w:rFonts w:ascii="Times New Roman" w:hAnsi="Times New Roman" w:eastAsia="仿宋_GB2312" w:cs="Times New Roman"/>
          <w:snapToGrid/>
          <w:sz w:val="32"/>
          <w:szCs w:val="32"/>
          <w:highlight w:val="none"/>
          <w:lang w:eastAsia="zh-CN"/>
        </w:rPr>
        <w:t>，</w:t>
      </w:r>
      <w:r>
        <w:rPr>
          <w:rFonts w:hint="eastAsia" w:ascii="仿宋_GB2312" w:hAnsi="仿宋_GB2312" w:eastAsia="仿宋_GB2312" w:cs="仿宋_GB2312"/>
          <w:sz w:val="32"/>
          <w:szCs w:val="40"/>
          <w:highlight w:val="none"/>
        </w:rPr>
        <w:t>结合项目特点，制定绩效评价指标体系和具体评价方案</w:t>
      </w:r>
      <w:r>
        <w:rPr>
          <w:rFonts w:hint="eastAsia" w:ascii="仿宋_GB2312" w:hAnsi="仿宋_GB2312" w:eastAsia="仿宋_GB2312" w:cs="仿宋_GB2312"/>
          <w:sz w:val="32"/>
          <w:szCs w:val="40"/>
          <w:highlight w:val="none"/>
          <w:lang w:eastAsia="zh-CN"/>
        </w:rPr>
        <w:t>，</w:t>
      </w:r>
      <w:r>
        <w:rPr>
          <w:rFonts w:hint="eastAsia" w:ascii="仿宋_GB2312" w:hAnsi="仿宋_GB2312" w:eastAsia="仿宋_GB2312" w:cs="仿宋_GB2312"/>
          <w:sz w:val="32"/>
          <w:szCs w:val="40"/>
          <w:highlight w:val="none"/>
        </w:rPr>
        <w:t>从资金使用、项目完成、效益实现情况等方面进行综合分析</w:t>
      </w:r>
      <w:r>
        <w:rPr>
          <w:rFonts w:hint="eastAsia" w:ascii="仿宋_GB2312" w:hAnsi="仿宋_GB2312" w:eastAsia="仿宋_GB2312" w:cs="仿宋_GB2312"/>
          <w:sz w:val="32"/>
          <w:szCs w:val="40"/>
          <w:highlight w:val="none"/>
          <w:lang w:eastAsia="zh-CN"/>
        </w:rPr>
        <w:t>，</w:t>
      </w:r>
      <w:r>
        <w:rPr>
          <w:rFonts w:ascii="Times New Roman" w:hAnsi="Times New Roman" w:eastAsia="仿宋_GB2312" w:cs="Times New Roman"/>
          <w:snapToGrid/>
          <w:sz w:val="32"/>
          <w:szCs w:val="32"/>
          <w:highlight w:val="none"/>
          <w:lang w:eastAsia="zh-CN"/>
        </w:rPr>
        <w:t>发现项目</w:t>
      </w:r>
      <w:r>
        <w:rPr>
          <w:rFonts w:hint="eastAsia" w:ascii="Times New Roman" w:hAnsi="Times New Roman" w:eastAsia="仿宋_GB2312" w:cs="Times New Roman"/>
          <w:snapToGrid/>
          <w:sz w:val="32"/>
          <w:szCs w:val="32"/>
          <w:highlight w:val="none"/>
          <w:lang w:eastAsia="zh-CN"/>
        </w:rPr>
        <w:t>实施</w:t>
      </w:r>
      <w:r>
        <w:rPr>
          <w:rFonts w:ascii="Times New Roman" w:hAnsi="Times New Roman" w:eastAsia="仿宋_GB2312" w:cs="Times New Roman"/>
          <w:snapToGrid/>
          <w:sz w:val="32"/>
          <w:szCs w:val="32"/>
          <w:highlight w:val="none"/>
          <w:lang w:eastAsia="zh-CN"/>
        </w:rPr>
        <w:t>中存在的问题，并</w:t>
      </w:r>
      <w:r>
        <w:rPr>
          <w:rFonts w:hint="eastAsia" w:ascii="仿宋_GB2312" w:hAnsi="仿宋_GB2312" w:eastAsia="仿宋_GB2312" w:cs="仿宋_GB2312"/>
          <w:sz w:val="32"/>
          <w:szCs w:val="40"/>
          <w:highlight w:val="none"/>
        </w:rPr>
        <w:t>有</w:t>
      </w:r>
      <w:r>
        <w:rPr>
          <w:rFonts w:ascii="Times New Roman" w:hAnsi="Times New Roman" w:eastAsia="仿宋_GB2312" w:cs="Times New Roman"/>
          <w:snapToGrid/>
          <w:sz w:val="32"/>
          <w:szCs w:val="32"/>
          <w:highlight w:val="none"/>
          <w:lang w:eastAsia="zh-CN"/>
        </w:rPr>
        <w:t>针对性地提出</w:t>
      </w:r>
      <w:r>
        <w:rPr>
          <w:rFonts w:hint="eastAsia" w:ascii="Times New Roman" w:hAnsi="Times New Roman" w:eastAsia="仿宋_GB2312" w:cs="Times New Roman"/>
          <w:snapToGrid/>
          <w:sz w:val="32"/>
          <w:szCs w:val="32"/>
          <w:highlight w:val="none"/>
          <w:lang w:eastAsia="zh-CN"/>
        </w:rPr>
        <w:t>预算调整、改进管理等</w:t>
      </w:r>
      <w:r>
        <w:rPr>
          <w:rFonts w:ascii="Times New Roman" w:hAnsi="Times New Roman" w:eastAsia="仿宋_GB2312" w:cs="Times New Roman"/>
          <w:snapToGrid/>
          <w:sz w:val="32"/>
          <w:szCs w:val="32"/>
          <w:highlight w:val="none"/>
          <w:lang w:eastAsia="zh-CN"/>
        </w:rPr>
        <w:t>合理化建议。</w:t>
      </w:r>
    </w:p>
    <w:p>
      <w:pPr>
        <w:spacing w:line="56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2.评价重点</w:t>
      </w:r>
    </w:p>
    <w:p>
      <w:pPr>
        <w:spacing w:line="56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一是资金管理规范性，重点核查财政资金使用合规性，重点关注政府采购程序是否依法依规执行、合同管理与资金支付时序是否规范、媒体宣传费核算是否准确，确保资金专款专用、高效配置；二是项目实施质效，围绕宣传内容产出数量、精品成果质量、文艺活动场次及重大晚会传播效果等指标，评价年度宣传任务目标完成情况；三是综合效益实现，重点评价</w:t>
      </w:r>
      <w:r>
        <w:rPr>
          <w:rFonts w:hint="eastAsia" w:ascii="仿宋_GB2312" w:hAnsi="仿宋_GB2312" w:eastAsia="仿宋_GB2312" w:cs="仿宋_GB2312"/>
          <w:sz w:val="32"/>
          <w:szCs w:val="32"/>
          <w:highlight w:val="none"/>
          <w:lang w:val="en-US" w:eastAsia="zh-CN"/>
        </w:rPr>
        <w:t>艺术城市品牌传播影响力</w:t>
      </w:r>
      <w:r>
        <w:rPr>
          <w:rFonts w:hint="eastAsia" w:ascii="仿宋_GB2312" w:hAnsi="仿宋_GB2312" w:eastAsia="仿宋_GB2312" w:cs="仿宋_GB2312"/>
          <w:sz w:val="32"/>
          <w:szCs w:val="32"/>
          <w:highlight w:val="none"/>
        </w:rPr>
        <w:t>、“青岛故事”精品创作与传播效益等社会效益；四是可持续发展能力，研判项目长效管理及持续发展潜力。</w:t>
      </w:r>
    </w:p>
    <w:p>
      <w:pPr>
        <w:spacing w:line="56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3.评价指标体系</w:t>
      </w:r>
    </w:p>
    <w:p>
      <w:pPr>
        <w:spacing w:line="560" w:lineRule="exact"/>
        <w:ind w:firstLine="640" w:firstLineChars="200"/>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40"/>
          <w:highlight w:val="none"/>
        </w:rPr>
        <w:t>根据《青岛市市级项目支出绩效财政评价和部门评价工作规程》（青财绩〔2025〕6号）</w:t>
      </w:r>
      <w:r>
        <w:rPr>
          <w:rFonts w:hint="eastAsia" w:ascii="仿宋_GB2312" w:hAnsi="仿宋_GB2312" w:eastAsia="仿宋_GB2312" w:cs="仿宋_GB2312"/>
          <w:sz w:val="32"/>
          <w:szCs w:val="40"/>
          <w:highlight w:val="none"/>
          <w:lang w:eastAsia="zh-CN"/>
        </w:rPr>
        <w:t>等相关</w:t>
      </w:r>
      <w:r>
        <w:rPr>
          <w:rFonts w:hint="eastAsia" w:ascii="仿宋_GB2312" w:hAnsi="仿宋_GB2312" w:eastAsia="仿宋_GB2312" w:cs="仿宋_GB2312"/>
          <w:sz w:val="32"/>
          <w:szCs w:val="40"/>
          <w:highlight w:val="none"/>
        </w:rPr>
        <w:t>规定，</w:t>
      </w:r>
      <w:r>
        <w:rPr>
          <w:rFonts w:hint="eastAsia" w:ascii="仿宋_GB2312" w:hAnsi="仿宋_GB2312" w:eastAsia="仿宋_GB2312" w:cs="仿宋_GB2312"/>
          <w:sz w:val="32"/>
          <w:szCs w:val="32"/>
          <w:highlight w:val="none"/>
        </w:rPr>
        <w:t>本次评价从过程、产出、效益3个</w:t>
      </w:r>
      <w:r>
        <w:rPr>
          <w:rFonts w:hint="eastAsia" w:ascii="仿宋_GB2312" w:hAnsi="仿宋_GB2312" w:eastAsia="仿宋_GB2312" w:cs="仿宋_GB2312"/>
          <w:sz w:val="32"/>
          <w:szCs w:val="32"/>
          <w:highlight w:val="none"/>
          <w:lang w:eastAsia="zh-CN"/>
        </w:rPr>
        <w:t>方面设置</w:t>
      </w:r>
      <w:r>
        <w:rPr>
          <w:rFonts w:hint="eastAsia" w:ascii="仿宋_GB2312" w:hAnsi="仿宋_GB2312" w:eastAsia="仿宋_GB2312" w:cs="仿宋_GB2312"/>
          <w:sz w:val="32"/>
          <w:szCs w:val="32"/>
          <w:highlight w:val="none"/>
        </w:rPr>
        <w:t>绩效评价指标体系，总分为100分。其中，过程指标</w:t>
      </w:r>
      <w:r>
        <w:rPr>
          <w:rFonts w:hint="eastAsia" w:ascii="仿宋_GB2312" w:hAnsi="仿宋_GB2312" w:eastAsia="仿宋_GB2312" w:cs="仿宋_GB2312"/>
          <w:sz w:val="32"/>
          <w:szCs w:val="32"/>
          <w:highlight w:val="none"/>
          <w:lang w:val="en-US" w:eastAsia="zh-CN"/>
        </w:rPr>
        <w:t>2</w:t>
      </w:r>
      <w:r>
        <w:rPr>
          <w:rFonts w:hint="eastAsia" w:ascii="仿宋_GB2312" w:hAnsi="仿宋_GB2312" w:eastAsia="仿宋_GB2312" w:cs="仿宋_GB2312"/>
          <w:sz w:val="32"/>
          <w:szCs w:val="32"/>
          <w:highlight w:val="none"/>
        </w:rPr>
        <w:t>0分，</w:t>
      </w:r>
      <w:r>
        <w:rPr>
          <w:rFonts w:hint="eastAsia" w:ascii="仿宋_GB2312" w:hAnsi="仿宋_GB2312" w:eastAsia="仿宋_GB2312" w:cs="仿宋_GB2312"/>
          <w:sz w:val="32"/>
          <w:szCs w:val="32"/>
          <w:highlight w:val="none"/>
          <w:lang w:eastAsia="zh-CN"/>
        </w:rPr>
        <w:t>包括</w:t>
      </w:r>
      <w:r>
        <w:rPr>
          <w:rFonts w:hint="eastAsia" w:ascii="仿宋_GB2312" w:hAnsi="仿宋_GB2312" w:eastAsia="仿宋_GB2312" w:cs="仿宋_GB2312"/>
          <w:sz w:val="32"/>
          <w:szCs w:val="32"/>
          <w:highlight w:val="none"/>
        </w:rPr>
        <w:t>预算执行率、资金使用合规性、管理制度健全性及执行有效性；产出指标</w:t>
      </w:r>
      <w:r>
        <w:rPr>
          <w:rFonts w:hint="eastAsia" w:ascii="仿宋_GB2312" w:hAnsi="仿宋_GB2312" w:eastAsia="仿宋_GB2312" w:cs="仿宋_GB2312"/>
          <w:sz w:val="32"/>
          <w:szCs w:val="32"/>
          <w:highlight w:val="none"/>
          <w:lang w:val="en-US" w:eastAsia="zh-CN"/>
        </w:rPr>
        <w:t>35</w:t>
      </w:r>
      <w:r>
        <w:rPr>
          <w:rFonts w:hint="eastAsia" w:ascii="仿宋_GB2312" w:hAnsi="仿宋_GB2312" w:eastAsia="仿宋_GB2312" w:cs="仿宋_GB2312"/>
          <w:sz w:val="32"/>
          <w:szCs w:val="32"/>
          <w:highlight w:val="none"/>
        </w:rPr>
        <w:t>分，</w:t>
      </w:r>
      <w:r>
        <w:rPr>
          <w:rFonts w:hint="eastAsia" w:ascii="仿宋_GB2312" w:hAnsi="仿宋_GB2312" w:eastAsia="仿宋_GB2312" w:cs="仿宋_GB2312"/>
          <w:sz w:val="32"/>
          <w:szCs w:val="32"/>
          <w:highlight w:val="none"/>
          <w:lang w:eastAsia="zh-CN"/>
        </w:rPr>
        <w:t>包括</w:t>
      </w:r>
      <w:r>
        <w:rPr>
          <w:rFonts w:hint="eastAsia" w:ascii="仿宋_GB2312" w:hAnsi="仿宋_GB2312" w:eastAsia="仿宋_GB2312" w:cs="仿宋_GB2312"/>
          <w:sz w:val="32"/>
          <w:szCs w:val="32"/>
          <w:highlight w:val="none"/>
          <w:lang w:val="en-US" w:eastAsia="zh-CN"/>
        </w:rPr>
        <w:t>建设艺术城市宣传推广项目综合完成率</w:t>
      </w:r>
      <w:r>
        <w:rPr>
          <w:rFonts w:hint="eastAsia" w:ascii="仿宋_GB2312" w:hAnsi="仿宋_GB2312" w:eastAsia="仿宋_GB2312" w:cs="仿宋_GB2312"/>
          <w:sz w:val="32"/>
          <w:szCs w:val="32"/>
          <w:highlight w:val="none"/>
        </w:rPr>
        <w:t>数量指标，以及</w:t>
      </w:r>
      <w:r>
        <w:rPr>
          <w:rFonts w:hint="eastAsia" w:ascii="仿宋_GB2312" w:hAnsi="仿宋_GB2312" w:eastAsia="仿宋_GB2312" w:cs="仿宋_GB2312"/>
          <w:sz w:val="32"/>
          <w:szCs w:val="32"/>
          <w:highlight w:val="none"/>
          <w:lang w:val="en-US" w:eastAsia="zh-CN"/>
        </w:rPr>
        <w:t>综合达标率</w:t>
      </w:r>
      <w:r>
        <w:rPr>
          <w:rFonts w:hint="eastAsia" w:ascii="仿宋_GB2312" w:hAnsi="仿宋_GB2312" w:eastAsia="仿宋_GB2312" w:cs="仿宋_GB2312"/>
          <w:sz w:val="32"/>
          <w:szCs w:val="32"/>
          <w:highlight w:val="none"/>
        </w:rPr>
        <w:t>质量指标；效益指标</w:t>
      </w:r>
      <w:r>
        <w:rPr>
          <w:rFonts w:hint="eastAsia" w:ascii="仿宋_GB2312" w:hAnsi="仿宋_GB2312" w:eastAsia="仿宋_GB2312" w:cs="仿宋_GB2312"/>
          <w:sz w:val="32"/>
          <w:szCs w:val="32"/>
          <w:highlight w:val="none"/>
          <w:lang w:val="en-US" w:eastAsia="zh-CN"/>
        </w:rPr>
        <w:t>45</w:t>
      </w:r>
      <w:r>
        <w:rPr>
          <w:rFonts w:hint="eastAsia" w:ascii="仿宋_GB2312" w:hAnsi="仿宋_GB2312" w:eastAsia="仿宋_GB2312" w:cs="仿宋_GB2312"/>
          <w:sz w:val="32"/>
          <w:szCs w:val="32"/>
          <w:highlight w:val="none"/>
        </w:rPr>
        <w:t>分，包括艺术城市品牌传播影响力、“青岛故事”精品创作与传播效益等</w:t>
      </w:r>
      <w:r>
        <w:rPr>
          <w:rFonts w:hint="eastAsia" w:ascii="仿宋_GB2312" w:hAnsi="仿宋_GB2312" w:eastAsia="仿宋_GB2312" w:cs="仿宋_GB2312"/>
          <w:sz w:val="32"/>
          <w:szCs w:val="32"/>
          <w:highlight w:val="none"/>
          <w:lang w:val="en-US" w:eastAsia="zh-CN"/>
        </w:rPr>
        <w:t>社会</w:t>
      </w:r>
      <w:r>
        <w:rPr>
          <w:rFonts w:hint="eastAsia" w:ascii="仿宋_GB2312" w:hAnsi="仿宋_GB2312" w:eastAsia="仿宋_GB2312" w:cs="仿宋_GB2312"/>
          <w:sz w:val="32"/>
          <w:szCs w:val="32"/>
          <w:highlight w:val="none"/>
        </w:rPr>
        <w:t>效益</w:t>
      </w:r>
      <w:r>
        <w:rPr>
          <w:rFonts w:hint="eastAsia" w:ascii="仿宋_GB2312" w:hAnsi="仿宋_GB2312" w:eastAsia="仿宋_GB2312" w:cs="仿宋_GB2312"/>
          <w:sz w:val="32"/>
          <w:szCs w:val="32"/>
          <w:highlight w:val="none"/>
          <w:lang w:val="en-US" w:eastAsia="zh-CN"/>
        </w:rPr>
        <w:t>以及项目</w:t>
      </w:r>
      <w:r>
        <w:rPr>
          <w:rFonts w:hint="eastAsia" w:ascii="仿宋_GB2312" w:hAnsi="仿宋_GB2312" w:eastAsia="仿宋_GB2312" w:cs="仿宋_GB2312"/>
          <w:sz w:val="32"/>
          <w:szCs w:val="32"/>
          <w:highlight w:val="none"/>
        </w:rPr>
        <w:t>可持续影响指标</w:t>
      </w:r>
      <w:r>
        <w:rPr>
          <w:rFonts w:hint="eastAsia" w:ascii="仿宋_GB2312" w:hAnsi="仿宋_GB2312" w:eastAsia="仿宋_GB2312" w:cs="仿宋_GB2312"/>
          <w:sz w:val="32"/>
          <w:szCs w:val="32"/>
          <w:highlight w:val="none"/>
          <w:lang w:eastAsia="zh-CN"/>
        </w:rPr>
        <w:t>。</w:t>
      </w:r>
    </w:p>
    <w:p>
      <w:pPr>
        <w:spacing w:line="56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4.评价标准</w:t>
      </w:r>
    </w:p>
    <w:p>
      <w:pPr>
        <w:spacing w:line="56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kern w:val="2"/>
          <w:sz w:val="32"/>
          <w:szCs w:val="32"/>
          <w:highlight w:val="none"/>
        </w:rPr>
        <w:t>评价分为4个等级：90（含）-100分为优；80（含）-90分为良；60（含）-80分为中；60分以下为差。</w:t>
      </w:r>
    </w:p>
    <w:p>
      <w:pPr>
        <w:pStyle w:val="4"/>
        <w:widowControl w:val="0"/>
        <w:spacing w:before="0" w:after="0" w:line="560" w:lineRule="exact"/>
        <w:ind w:firstLine="640"/>
        <w:jc w:val="both"/>
        <w:rPr>
          <w:rFonts w:eastAsia="楷体_GB2312"/>
          <w:bCs w:val="0"/>
          <w:color w:val="auto"/>
          <w:sz w:val="32"/>
          <w:szCs w:val="40"/>
          <w:highlight w:val="none"/>
          <w:lang w:val="en-US"/>
        </w:rPr>
      </w:pPr>
      <w:bookmarkStart w:id="6" w:name="_Toc18797"/>
      <w:r>
        <w:rPr>
          <w:rFonts w:hint="eastAsia" w:eastAsia="楷体_GB2312"/>
          <w:bCs w:val="0"/>
          <w:color w:val="auto"/>
          <w:sz w:val="32"/>
          <w:szCs w:val="40"/>
          <w:highlight w:val="none"/>
          <w:lang w:val="en-US"/>
        </w:rPr>
        <w:t>（三）评价组织实施与评价方法</w:t>
      </w:r>
      <w:bookmarkEnd w:id="6"/>
    </w:p>
    <w:p>
      <w:pPr>
        <w:spacing w:line="56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1.评价组织实施</w:t>
      </w:r>
    </w:p>
    <w:p>
      <w:pPr>
        <w:pStyle w:val="23"/>
        <w:wordWrap/>
        <w:adjustRightInd w:val="0"/>
        <w:snapToGrid w:val="0"/>
        <w:spacing w:line="560" w:lineRule="exact"/>
        <w:ind w:firstLine="640" w:firstLineChars="200"/>
        <w:rPr>
          <w:rFonts w:hint="eastAsia" w:ascii="仿宋_GB2312" w:eastAsia="仿宋_GB2312"/>
          <w:sz w:val="32"/>
          <w:szCs w:val="32"/>
          <w:highlight w:val="none"/>
        </w:rPr>
      </w:pPr>
      <w:bookmarkStart w:id="7" w:name="_Toc7178040"/>
      <w:r>
        <w:rPr>
          <w:rFonts w:hint="eastAsia" w:ascii="仿宋_GB2312" w:eastAsia="仿宋_GB2312"/>
          <w:sz w:val="32"/>
          <w:szCs w:val="32"/>
          <w:highlight w:val="none"/>
        </w:rPr>
        <w:t>（1）前期准备阶段。成立评价工作组，收集绩效评价政策信息资料，制定绩效评价工作方案及评价指标体系。</w:t>
      </w:r>
    </w:p>
    <w:p>
      <w:pPr>
        <w:pStyle w:val="23"/>
        <w:wordWrap/>
        <w:adjustRightInd w:val="0"/>
        <w:snapToGrid w:val="0"/>
        <w:spacing w:line="560" w:lineRule="exact"/>
        <w:ind w:firstLine="640" w:firstLineChars="200"/>
        <w:rPr>
          <w:rFonts w:hint="eastAsia" w:ascii="仿宋_GB2312" w:eastAsia="仿宋_GB2312"/>
          <w:sz w:val="32"/>
          <w:szCs w:val="32"/>
          <w:highlight w:val="none"/>
        </w:rPr>
      </w:pPr>
      <w:r>
        <w:rPr>
          <w:rFonts w:hint="eastAsia" w:ascii="仿宋_GB2312" w:eastAsia="仿宋_GB2312"/>
          <w:sz w:val="32"/>
          <w:szCs w:val="32"/>
          <w:highlight w:val="none"/>
        </w:rPr>
        <w:t>（2）组织实施阶段。开展现场评价，对收集的评价资料分类整理、汇总分析，参照行业优秀绩效评价案例进行评分，形成初步评价意见。</w:t>
      </w:r>
    </w:p>
    <w:p>
      <w:pPr>
        <w:pStyle w:val="23"/>
        <w:wordWrap/>
        <w:adjustRightInd w:val="0"/>
        <w:snapToGrid w:val="0"/>
        <w:spacing w:line="560" w:lineRule="exact"/>
        <w:ind w:firstLine="640" w:firstLineChars="200"/>
        <w:rPr>
          <w:rFonts w:ascii="仿宋_GB2312" w:eastAsia="仿宋_GB2312"/>
          <w:sz w:val="32"/>
          <w:szCs w:val="32"/>
          <w:highlight w:val="none"/>
        </w:rPr>
      </w:pPr>
      <w:r>
        <w:rPr>
          <w:rFonts w:hint="eastAsia" w:ascii="仿宋_GB2312" w:eastAsia="仿宋_GB2312"/>
          <w:sz w:val="32"/>
          <w:szCs w:val="32"/>
          <w:highlight w:val="none"/>
        </w:rPr>
        <w:t>（3）报告形成阶段。组织撰写报告，征求</w:t>
      </w:r>
      <w:r>
        <w:rPr>
          <w:rFonts w:hint="eastAsia" w:ascii="仿宋_GB2312" w:eastAsia="仿宋_GB2312"/>
          <w:sz w:val="32"/>
          <w:szCs w:val="32"/>
          <w:highlight w:val="none"/>
          <w:lang w:val="en-US" w:eastAsia="zh-CN"/>
        </w:rPr>
        <w:t>市委宣传部部</w:t>
      </w:r>
      <w:r>
        <w:rPr>
          <w:rFonts w:hint="eastAsia" w:ascii="仿宋_GB2312" w:eastAsia="仿宋_GB2312"/>
          <w:sz w:val="32"/>
          <w:szCs w:val="32"/>
          <w:highlight w:val="none"/>
        </w:rPr>
        <w:t>门意见并进一步修改完善，正式提交报告。</w:t>
      </w:r>
    </w:p>
    <w:bookmarkEnd w:id="7"/>
    <w:p>
      <w:pPr>
        <w:spacing w:line="56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2.评价方法</w:t>
      </w:r>
    </w:p>
    <w:p>
      <w:pPr>
        <w:spacing w:line="56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（1）比较法。</w:t>
      </w:r>
      <w:r>
        <w:rPr>
          <w:rFonts w:hint="eastAsia" w:ascii="仿宋_GB2312" w:hAnsi="仿宋_GB2312" w:eastAsia="仿宋_GB2312" w:cs="仿宋_GB2312"/>
          <w:sz w:val="32"/>
          <w:szCs w:val="32"/>
          <w:highlight w:val="none"/>
          <w:lang w:val="en-US" w:eastAsia="zh-CN"/>
        </w:rPr>
        <w:t>通过对比合同明细，对产出效益的完成状况进行判断。同时，对比相关规章制度判断项目执行过程的规范性</w:t>
      </w:r>
      <w:r>
        <w:rPr>
          <w:rFonts w:hint="eastAsia" w:ascii="仿宋_GB2312" w:hAnsi="仿宋_GB2312" w:eastAsia="仿宋_GB2312" w:cs="仿宋_GB2312"/>
          <w:sz w:val="32"/>
          <w:szCs w:val="32"/>
          <w:highlight w:val="none"/>
        </w:rPr>
        <w:t>。</w:t>
      </w:r>
    </w:p>
    <w:p>
      <w:pPr>
        <w:spacing w:line="56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（2）文献研究法。系统研读相关政策文件、项目实施</w:t>
      </w:r>
      <w:r>
        <w:rPr>
          <w:rFonts w:hint="eastAsia" w:ascii="仿宋_GB2312" w:hAnsi="仿宋_GB2312" w:eastAsia="仿宋_GB2312" w:cs="仿宋_GB2312"/>
          <w:sz w:val="32"/>
          <w:szCs w:val="32"/>
          <w:highlight w:val="none"/>
          <w:lang w:val="en-US" w:eastAsia="zh-CN"/>
        </w:rPr>
        <w:t>考核细则</w:t>
      </w:r>
      <w:r>
        <w:rPr>
          <w:rFonts w:hint="eastAsia" w:ascii="仿宋_GB2312" w:hAnsi="仿宋_GB2312" w:eastAsia="仿宋_GB2312" w:cs="仿宋_GB2312"/>
          <w:sz w:val="32"/>
          <w:szCs w:val="32"/>
          <w:highlight w:val="none"/>
        </w:rPr>
        <w:t>、年度总结报告等资料，梳理项目立项背景、实施流程与目标设定逻辑。</w:t>
      </w:r>
    </w:p>
    <w:p>
      <w:pPr>
        <w:spacing w:line="56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（3）数据核查法。对预算执行率、宣传传播数据、海外国家覆盖数量等核心指标，对照财务凭证、合同协议、活动结项报告、后台截图等材料逐项核验，确保数据真实准确。</w:t>
      </w:r>
    </w:p>
    <w:p>
      <w:pPr>
        <w:pStyle w:val="3"/>
        <w:widowControl w:val="0"/>
        <w:spacing w:before="0" w:after="0" w:line="560" w:lineRule="exact"/>
        <w:ind w:firstLine="640"/>
        <w:jc w:val="both"/>
        <w:rPr>
          <w:bCs w:val="0"/>
          <w:color w:val="auto"/>
          <w:kern w:val="2"/>
          <w:sz w:val="32"/>
          <w:szCs w:val="32"/>
          <w:highlight w:val="none"/>
          <w:lang w:val="en-US"/>
        </w:rPr>
      </w:pPr>
      <w:bookmarkStart w:id="8" w:name="_Toc24310"/>
      <w:r>
        <w:rPr>
          <w:rFonts w:hint="eastAsia"/>
          <w:bCs w:val="0"/>
          <w:color w:val="auto"/>
          <w:kern w:val="2"/>
          <w:sz w:val="32"/>
          <w:szCs w:val="32"/>
          <w:highlight w:val="none"/>
          <w:lang w:val="en-US"/>
        </w:rPr>
        <w:t>三、评价结论及分析</w:t>
      </w:r>
      <w:bookmarkEnd w:id="8"/>
    </w:p>
    <w:p>
      <w:pPr>
        <w:pStyle w:val="4"/>
        <w:widowControl w:val="0"/>
        <w:spacing w:before="0" w:after="0" w:line="560" w:lineRule="exact"/>
        <w:ind w:firstLine="640"/>
        <w:jc w:val="both"/>
        <w:rPr>
          <w:rFonts w:eastAsia="楷体_GB2312"/>
          <w:bCs w:val="0"/>
          <w:color w:val="auto"/>
          <w:sz w:val="32"/>
          <w:szCs w:val="40"/>
          <w:highlight w:val="none"/>
          <w:lang w:val="en-US"/>
        </w:rPr>
      </w:pPr>
      <w:bookmarkStart w:id="9" w:name="_Toc7726"/>
      <w:r>
        <w:rPr>
          <w:rFonts w:hint="eastAsia" w:eastAsia="楷体_GB2312"/>
          <w:bCs w:val="0"/>
          <w:color w:val="auto"/>
          <w:sz w:val="32"/>
          <w:szCs w:val="40"/>
          <w:highlight w:val="none"/>
          <w:lang w:val="en-US"/>
        </w:rPr>
        <w:t>（一）综合评价结论</w:t>
      </w:r>
      <w:bookmarkEnd w:id="9"/>
    </w:p>
    <w:p>
      <w:pPr>
        <w:spacing w:line="600" w:lineRule="exact"/>
        <w:ind w:firstLine="640" w:firstLineChars="200"/>
        <w:rPr>
          <w:rFonts w:hint="eastAsia" w:ascii="仿宋_GB2312" w:hAnsi="仿宋_GB2312" w:eastAsia="仿宋_GB2312" w:cs="仿宋_GB2312"/>
          <w:sz w:val="32"/>
          <w:szCs w:val="40"/>
          <w:highlight w:val="none"/>
        </w:rPr>
      </w:pPr>
      <w:r>
        <w:rPr>
          <w:rFonts w:hint="eastAsia" w:ascii="仿宋_GB2312" w:hAnsi="仿宋_GB2312" w:eastAsia="仿宋_GB2312" w:cs="仿宋_GB2312"/>
          <w:sz w:val="32"/>
          <w:szCs w:val="40"/>
          <w:highlight w:val="none"/>
          <w:lang w:eastAsia="zh-CN"/>
        </w:rPr>
        <w:t>该项目绩效评价得分</w:t>
      </w:r>
      <w:r>
        <w:rPr>
          <w:rFonts w:hint="eastAsia" w:ascii="仿宋_GB2312" w:hAnsi="仿宋_GB2312" w:eastAsia="仿宋_GB2312" w:cs="仿宋_GB2312"/>
          <w:sz w:val="32"/>
          <w:szCs w:val="40"/>
          <w:highlight w:val="none"/>
          <w:lang w:val="en-US" w:eastAsia="zh-CN"/>
        </w:rPr>
        <w:t>89.96</w:t>
      </w:r>
      <w:r>
        <w:rPr>
          <w:rFonts w:hint="eastAsia" w:ascii="仿宋_GB2312" w:hAnsi="仿宋_GB2312" w:eastAsia="仿宋_GB2312" w:cs="仿宋_GB2312"/>
          <w:sz w:val="32"/>
          <w:szCs w:val="40"/>
          <w:highlight w:val="none"/>
          <w:lang w:eastAsia="zh-CN"/>
        </w:rPr>
        <w:t>分，评价结果为“</w:t>
      </w:r>
      <w:r>
        <w:rPr>
          <w:rFonts w:hint="eastAsia" w:ascii="仿宋_GB2312" w:hAnsi="仿宋_GB2312" w:eastAsia="仿宋_GB2312" w:cs="仿宋_GB2312"/>
          <w:sz w:val="32"/>
          <w:szCs w:val="40"/>
          <w:highlight w:val="none"/>
          <w:lang w:val="en-US" w:eastAsia="zh-CN"/>
        </w:rPr>
        <w:t>良</w:t>
      </w:r>
      <w:r>
        <w:rPr>
          <w:rFonts w:hint="eastAsia" w:ascii="仿宋_GB2312" w:hAnsi="仿宋_GB2312" w:eastAsia="仿宋_GB2312" w:cs="仿宋_GB2312"/>
          <w:sz w:val="32"/>
          <w:szCs w:val="40"/>
          <w:highlight w:val="none"/>
          <w:lang w:eastAsia="zh-CN"/>
        </w:rPr>
        <w:t>”。具体情况如下：</w:t>
      </w:r>
    </w:p>
    <w:p>
      <w:pPr>
        <w:spacing w:line="600" w:lineRule="exact"/>
        <w:jc w:val="center"/>
        <w:rPr>
          <w:rFonts w:hint="eastAsia" w:ascii="黑体" w:hAnsi="黑体" w:eastAsia="黑体" w:cs="黑体"/>
          <w:sz w:val="28"/>
          <w:szCs w:val="28"/>
          <w:highlight w:val="none"/>
        </w:rPr>
      </w:pPr>
      <w:r>
        <w:rPr>
          <w:rFonts w:hint="eastAsia" w:ascii="黑体" w:hAnsi="黑体" w:eastAsia="黑体" w:cs="黑体"/>
          <w:sz w:val="28"/>
          <w:szCs w:val="28"/>
          <w:highlight w:val="none"/>
        </w:rPr>
        <w:t xml:space="preserve">表3-1 </w:t>
      </w:r>
      <w:r>
        <w:rPr>
          <w:rFonts w:hint="eastAsia" w:ascii="黑体" w:hAnsi="黑体" w:eastAsia="黑体" w:cs="黑体"/>
          <w:sz w:val="28"/>
          <w:szCs w:val="28"/>
          <w:highlight w:val="none"/>
          <w:lang w:eastAsia="zh-CN"/>
        </w:rPr>
        <w:t>2025年建设艺术城市宣传推广项目</w:t>
      </w:r>
      <w:r>
        <w:rPr>
          <w:rFonts w:hint="eastAsia" w:ascii="黑体" w:hAnsi="黑体" w:eastAsia="黑体" w:cs="黑体"/>
          <w:sz w:val="28"/>
          <w:szCs w:val="28"/>
          <w:highlight w:val="none"/>
        </w:rPr>
        <w:t>绩效评价得分表</w:t>
      </w:r>
    </w:p>
    <w:tbl>
      <w:tblPr>
        <w:tblStyle w:val="16"/>
        <w:tblW w:w="0" w:type="auto"/>
        <w:tblInd w:w="22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71"/>
        <w:gridCol w:w="2072"/>
        <w:gridCol w:w="2075"/>
        <w:gridCol w:w="20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blHeader/>
        </w:trPr>
        <w:tc>
          <w:tcPr>
            <w:tcW w:w="2087" w:type="dxa"/>
            <w:shd w:val="clear" w:color="auto" w:fill="BEBEBE" w:themeFill="background1" w:themeFillShade="BF"/>
            <w:vAlign w:val="center"/>
          </w:tcPr>
          <w:p>
            <w:pPr>
              <w:jc w:val="center"/>
              <w:textAlignment w:val="center"/>
              <w:rPr>
                <w:rFonts w:hint="eastAsia" w:ascii="仿宋_GB2312" w:hAnsi="仿宋_GB2312" w:eastAsia="仿宋_GB2312" w:cs="仿宋_GB2312"/>
                <w:b/>
                <w:bCs/>
                <w:color w:val="000000"/>
                <w:kern w:val="0"/>
                <w:sz w:val="24"/>
                <w:highlight w:val="none"/>
                <w:lang w:bidi="ar"/>
              </w:rPr>
            </w:pPr>
            <w:r>
              <w:rPr>
                <w:rFonts w:hint="eastAsia" w:ascii="仿宋_GB2312" w:hAnsi="仿宋_GB2312" w:eastAsia="仿宋_GB2312" w:cs="仿宋_GB2312"/>
                <w:b/>
                <w:bCs/>
                <w:color w:val="000000"/>
                <w:kern w:val="0"/>
                <w:sz w:val="24"/>
                <w:highlight w:val="none"/>
                <w:lang w:bidi="ar"/>
              </w:rPr>
              <w:t>一级指标</w:t>
            </w:r>
          </w:p>
        </w:tc>
        <w:tc>
          <w:tcPr>
            <w:tcW w:w="2087" w:type="dxa"/>
            <w:shd w:val="clear" w:color="auto" w:fill="BEBEBE" w:themeFill="background1" w:themeFillShade="BF"/>
            <w:vAlign w:val="center"/>
          </w:tcPr>
          <w:p>
            <w:pPr>
              <w:jc w:val="center"/>
              <w:textAlignment w:val="center"/>
              <w:rPr>
                <w:rFonts w:hint="eastAsia" w:ascii="仿宋_GB2312" w:hAnsi="仿宋_GB2312" w:eastAsia="仿宋_GB2312" w:cs="仿宋_GB2312"/>
                <w:b/>
                <w:bCs/>
                <w:color w:val="000000"/>
                <w:kern w:val="0"/>
                <w:sz w:val="24"/>
                <w:highlight w:val="none"/>
                <w:lang w:bidi="ar"/>
              </w:rPr>
            </w:pPr>
            <w:r>
              <w:rPr>
                <w:rFonts w:hint="eastAsia" w:ascii="仿宋_GB2312" w:hAnsi="仿宋_GB2312" w:eastAsia="仿宋_GB2312" w:cs="仿宋_GB2312"/>
                <w:b/>
                <w:bCs/>
                <w:color w:val="000000"/>
                <w:kern w:val="0"/>
                <w:sz w:val="24"/>
                <w:highlight w:val="none"/>
                <w:lang w:bidi="ar"/>
              </w:rPr>
              <w:t>指标分值</w:t>
            </w:r>
          </w:p>
        </w:tc>
        <w:tc>
          <w:tcPr>
            <w:tcW w:w="2087" w:type="dxa"/>
            <w:shd w:val="clear" w:color="auto" w:fill="BEBEBE" w:themeFill="background1" w:themeFillShade="BF"/>
            <w:vAlign w:val="center"/>
          </w:tcPr>
          <w:p>
            <w:pPr>
              <w:jc w:val="center"/>
              <w:textAlignment w:val="center"/>
              <w:rPr>
                <w:rFonts w:hint="eastAsia" w:ascii="仿宋_GB2312" w:hAnsi="仿宋_GB2312" w:eastAsia="仿宋_GB2312" w:cs="仿宋_GB2312"/>
                <w:b/>
                <w:bCs/>
                <w:color w:val="000000"/>
                <w:kern w:val="0"/>
                <w:sz w:val="24"/>
                <w:highlight w:val="none"/>
                <w:lang w:bidi="ar"/>
              </w:rPr>
            </w:pPr>
            <w:r>
              <w:rPr>
                <w:rFonts w:hint="eastAsia" w:ascii="仿宋_GB2312" w:hAnsi="仿宋_GB2312" w:eastAsia="仿宋_GB2312" w:cs="仿宋_GB2312"/>
                <w:b/>
                <w:bCs/>
                <w:color w:val="000000"/>
                <w:kern w:val="0"/>
                <w:sz w:val="24"/>
                <w:highlight w:val="none"/>
                <w:lang w:bidi="ar"/>
              </w:rPr>
              <w:t>得分</w:t>
            </w:r>
          </w:p>
        </w:tc>
        <w:tc>
          <w:tcPr>
            <w:tcW w:w="2088" w:type="dxa"/>
            <w:shd w:val="clear" w:color="auto" w:fill="BEBEBE" w:themeFill="background1" w:themeFillShade="BF"/>
            <w:vAlign w:val="center"/>
          </w:tcPr>
          <w:p>
            <w:pPr>
              <w:jc w:val="center"/>
              <w:textAlignment w:val="center"/>
              <w:rPr>
                <w:rFonts w:hint="eastAsia" w:ascii="仿宋_GB2312" w:hAnsi="仿宋_GB2312" w:eastAsia="仿宋_GB2312" w:cs="仿宋_GB2312"/>
                <w:b/>
                <w:bCs/>
                <w:color w:val="000000"/>
                <w:kern w:val="0"/>
                <w:sz w:val="24"/>
                <w:highlight w:val="none"/>
                <w:lang w:bidi="ar"/>
              </w:rPr>
            </w:pPr>
            <w:r>
              <w:rPr>
                <w:rFonts w:hint="eastAsia" w:ascii="仿宋_GB2312" w:hAnsi="仿宋_GB2312" w:eastAsia="仿宋_GB2312" w:cs="仿宋_GB2312"/>
                <w:b/>
                <w:bCs/>
                <w:color w:val="000000"/>
                <w:kern w:val="0"/>
                <w:sz w:val="24"/>
                <w:highlight w:val="none"/>
                <w:lang w:bidi="ar"/>
              </w:rPr>
              <w:t>得分率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2087" w:type="dxa"/>
            <w:vAlign w:val="center"/>
          </w:tcPr>
          <w:p>
            <w:pPr>
              <w:jc w:val="center"/>
              <w:textAlignment w:val="center"/>
              <w:rPr>
                <w:rFonts w:hint="eastAsia" w:ascii="仿宋_GB2312" w:hAnsi="仿宋_GB2312" w:eastAsia="仿宋_GB2312" w:cs="仿宋_GB2312"/>
                <w:color w:val="000000"/>
                <w:kern w:val="0"/>
                <w:sz w:val="24"/>
                <w:highlight w:val="none"/>
                <w:lang w:bidi="ar"/>
              </w:rPr>
            </w:pPr>
            <w:r>
              <w:rPr>
                <w:rFonts w:hint="eastAsia" w:ascii="仿宋_GB2312" w:hAnsi="仿宋_GB2312" w:eastAsia="仿宋_GB2312" w:cs="仿宋_GB2312"/>
                <w:color w:val="000000"/>
                <w:kern w:val="0"/>
                <w:sz w:val="24"/>
                <w:highlight w:val="none"/>
                <w:lang w:bidi="ar"/>
              </w:rPr>
              <w:t>过程</w:t>
            </w:r>
          </w:p>
        </w:tc>
        <w:tc>
          <w:tcPr>
            <w:tcW w:w="2087" w:type="dxa"/>
            <w:vAlign w:val="center"/>
          </w:tcPr>
          <w:p>
            <w:pPr>
              <w:keepNext w:val="0"/>
              <w:keepLines w:val="0"/>
              <w:widowControl/>
              <w:suppressLineNumbers w:val="0"/>
              <w:spacing w:line="240" w:lineRule="auto"/>
              <w:jc w:val="center"/>
              <w:textAlignment w:val="center"/>
              <w:rPr>
                <w:rFonts w:hint="eastAsia" w:ascii="仿宋_GB2312" w:hAnsi="仿宋_GB2312" w:eastAsia="仿宋_GB2312" w:cs="仿宋_GB2312"/>
                <w:color w:val="000000"/>
                <w:kern w:val="0"/>
                <w:sz w:val="24"/>
                <w:highlight w:val="none"/>
                <w:lang w:bidi="ar"/>
              </w:rPr>
            </w:pPr>
            <w:r>
              <w:rPr>
                <w:rFonts w:hint="eastAsia" w:ascii="仿宋_GB2312" w:hAnsi="仿宋_GB2312" w:eastAsia="仿宋_GB2312" w:cs="仿宋_GB2312"/>
                <w:i w:val="0"/>
                <w:iCs w:val="0"/>
                <w:color w:val="000000"/>
                <w:kern w:val="0"/>
                <w:sz w:val="24"/>
                <w:szCs w:val="24"/>
                <w:highlight w:val="none"/>
                <w:u w:val="none"/>
                <w:lang w:val="en-US" w:eastAsia="zh-CN" w:bidi="ar"/>
              </w:rPr>
              <w:t>20</w:t>
            </w:r>
          </w:p>
        </w:tc>
        <w:tc>
          <w:tcPr>
            <w:tcW w:w="2087" w:type="dxa"/>
            <w:vAlign w:val="center"/>
          </w:tcPr>
          <w:p>
            <w:pPr>
              <w:keepNext w:val="0"/>
              <w:keepLines w:val="0"/>
              <w:widowControl/>
              <w:suppressLineNumbers w:val="0"/>
              <w:spacing w:line="240" w:lineRule="auto"/>
              <w:jc w:val="center"/>
              <w:textAlignment w:val="center"/>
              <w:rPr>
                <w:rFonts w:hint="default" w:ascii="仿宋_GB2312" w:hAnsi="仿宋_GB2312" w:eastAsia="仿宋_GB2312" w:cs="仿宋_GB2312"/>
                <w:color w:val="000000"/>
                <w:kern w:val="0"/>
                <w:sz w:val="24"/>
                <w:highlight w:val="none"/>
                <w:lang w:val="en-US" w:bidi="ar"/>
              </w:rPr>
            </w:pPr>
            <w:r>
              <w:rPr>
                <w:rFonts w:hint="eastAsia" w:ascii="仿宋_GB2312" w:hAnsi="仿宋_GB2312" w:eastAsia="仿宋_GB2312" w:cs="仿宋_GB2312"/>
                <w:i w:val="0"/>
                <w:iCs w:val="0"/>
                <w:color w:val="000000"/>
                <w:kern w:val="0"/>
                <w:sz w:val="24"/>
                <w:szCs w:val="24"/>
                <w:highlight w:val="none"/>
                <w:u w:val="none"/>
                <w:lang w:val="en-US" w:eastAsia="zh-CN" w:bidi="ar"/>
              </w:rPr>
              <w:t>17.97</w:t>
            </w:r>
          </w:p>
        </w:tc>
        <w:tc>
          <w:tcPr>
            <w:tcW w:w="2088" w:type="dxa"/>
            <w:vAlign w:val="center"/>
          </w:tcPr>
          <w:p>
            <w:pPr>
              <w:keepNext w:val="0"/>
              <w:keepLines w:val="0"/>
              <w:widowControl/>
              <w:suppressLineNumbers w:val="0"/>
              <w:spacing w:line="240" w:lineRule="auto"/>
              <w:jc w:val="center"/>
              <w:textAlignment w:val="center"/>
              <w:rPr>
                <w:rFonts w:hint="eastAsia" w:ascii="仿宋_GB2312" w:hAnsi="仿宋_GB2312" w:eastAsia="仿宋_GB2312" w:cs="仿宋_GB2312"/>
                <w:color w:val="000000"/>
                <w:kern w:val="0"/>
                <w:sz w:val="24"/>
                <w:highlight w:val="none"/>
                <w:lang w:bidi="ar"/>
              </w:rPr>
            </w:pPr>
            <w:r>
              <w:rPr>
                <w:rFonts w:hint="eastAsia" w:ascii="仿宋_GB2312" w:hAnsi="仿宋_GB2312" w:eastAsia="仿宋_GB2312" w:cs="仿宋_GB2312"/>
                <w:i w:val="0"/>
                <w:iCs w:val="0"/>
                <w:color w:val="000000"/>
                <w:kern w:val="0"/>
                <w:sz w:val="24"/>
                <w:szCs w:val="24"/>
                <w:highlight w:val="none"/>
                <w:u w:val="none"/>
                <w:lang w:val="en-US" w:eastAsia="zh-CN" w:bidi="ar"/>
              </w:rPr>
              <w:t>89.85%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2087" w:type="dxa"/>
            <w:vAlign w:val="center"/>
          </w:tcPr>
          <w:p>
            <w:pPr>
              <w:jc w:val="center"/>
              <w:textAlignment w:val="center"/>
              <w:rPr>
                <w:rFonts w:hint="eastAsia" w:ascii="仿宋_GB2312" w:hAnsi="仿宋_GB2312" w:eastAsia="仿宋_GB2312" w:cs="仿宋_GB2312"/>
                <w:color w:val="000000"/>
                <w:kern w:val="0"/>
                <w:sz w:val="24"/>
                <w:highlight w:val="none"/>
                <w:lang w:bidi="ar"/>
              </w:rPr>
            </w:pPr>
            <w:r>
              <w:rPr>
                <w:rFonts w:hint="eastAsia" w:ascii="仿宋_GB2312" w:hAnsi="仿宋_GB2312" w:eastAsia="仿宋_GB2312" w:cs="仿宋_GB2312"/>
                <w:color w:val="000000"/>
                <w:kern w:val="0"/>
                <w:sz w:val="24"/>
                <w:highlight w:val="none"/>
                <w:lang w:bidi="ar"/>
              </w:rPr>
              <w:t>产出</w:t>
            </w:r>
          </w:p>
        </w:tc>
        <w:tc>
          <w:tcPr>
            <w:tcW w:w="2087" w:type="dxa"/>
            <w:vAlign w:val="center"/>
          </w:tcPr>
          <w:p>
            <w:pPr>
              <w:keepNext w:val="0"/>
              <w:keepLines w:val="0"/>
              <w:widowControl/>
              <w:suppressLineNumbers w:val="0"/>
              <w:spacing w:line="240" w:lineRule="auto"/>
              <w:jc w:val="center"/>
              <w:textAlignment w:val="center"/>
              <w:rPr>
                <w:rFonts w:hint="default" w:ascii="仿宋_GB2312" w:hAnsi="仿宋_GB2312" w:eastAsia="仿宋_GB2312" w:cs="仿宋_GB2312"/>
                <w:color w:val="000000"/>
                <w:kern w:val="0"/>
                <w:sz w:val="24"/>
                <w:highlight w:val="none"/>
                <w:lang w:val="en-US" w:bidi="ar"/>
              </w:rPr>
            </w:pPr>
            <w:r>
              <w:rPr>
                <w:rFonts w:hint="eastAsia" w:ascii="仿宋_GB2312" w:hAnsi="仿宋_GB2312" w:eastAsia="仿宋_GB2312" w:cs="仿宋_GB2312"/>
                <w:i w:val="0"/>
                <w:iCs w:val="0"/>
                <w:color w:val="000000"/>
                <w:kern w:val="0"/>
                <w:sz w:val="24"/>
                <w:szCs w:val="24"/>
                <w:highlight w:val="none"/>
                <w:u w:val="none"/>
                <w:lang w:val="en-US" w:eastAsia="zh-CN" w:bidi="ar"/>
              </w:rPr>
              <w:t>35</w:t>
            </w:r>
          </w:p>
        </w:tc>
        <w:tc>
          <w:tcPr>
            <w:tcW w:w="2087" w:type="dxa"/>
            <w:vAlign w:val="center"/>
          </w:tcPr>
          <w:p>
            <w:pPr>
              <w:keepNext w:val="0"/>
              <w:keepLines w:val="0"/>
              <w:widowControl/>
              <w:suppressLineNumbers w:val="0"/>
              <w:spacing w:line="240" w:lineRule="auto"/>
              <w:jc w:val="center"/>
              <w:textAlignment w:val="center"/>
              <w:rPr>
                <w:rFonts w:hint="default" w:ascii="仿宋_GB2312" w:hAnsi="仿宋_GB2312" w:eastAsia="仿宋_GB2312" w:cs="仿宋_GB2312"/>
                <w:color w:val="000000"/>
                <w:kern w:val="0"/>
                <w:sz w:val="24"/>
                <w:highlight w:val="none"/>
                <w:lang w:val="en-US" w:bidi="ar"/>
              </w:rPr>
            </w:pPr>
            <w:r>
              <w:rPr>
                <w:rFonts w:hint="eastAsia" w:ascii="仿宋_GB2312" w:hAnsi="仿宋_GB2312" w:eastAsia="仿宋_GB2312" w:cs="仿宋_GB2312"/>
                <w:i w:val="0"/>
                <w:iCs w:val="0"/>
                <w:color w:val="000000"/>
                <w:kern w:val="0"/>
                <w:sz w:val="24"/>
                <w:szCs w:val="24"/>
                <w:highlight w:val="none"/>
                <w:u w:val="none"/>
                <w:lang w:val="en-US" w:eastAsia="zh-CN" w:bidi="ar"/>
              </w:rPr>
              <w:t>31.45</w:t>
            </w:r>
          </w:p>
        </w:tc>
        <w:tc>
          <w:tcPr>
            <w:tcW w:w="2088" w:type="dxa"/>
            <w:vAlign w:val="center"/>
          </w:tcPr>
          <w:p>
            <w:pPr>
              <w:keepNext w:val="0"/>
              <w:keepLines w:val="0"/>
              <w:widowControl/>
              <w:suppressLineNumbers w:val="0"/>
              <w:spacing w:line="240" w:lineRule="auto"/>
              <w:jc w:val="center"/>
              <w:textAlignment w:val="center"/>
              <w:rPr>
                <w:rFonts w:hint="eastAsia" w:ascii="仿宋_GB2312" w:hAnsi="仿宋_GB2312" w:eastAsia="仿宋_GB2312" w:cs="仿宋_GB2312"/>
                <w:color w:val="000000"/>
                <w:kern w:val="0"/>
                <w:sz w:val="24"/>
                <w:highlight w:val="none"/>
                <w:lang w:bidi="ar"/>
              </w:rPr>
            </w:pPr>
            <w:r>
              <w:rPr>
                <w:rFonts w:hint="eastAsia" w:ascii="仿宋_GB2312" w:hAnsi="仿宋_GB2312" w:eastAsia="仿宋_GB2312" w:cs="仿宋_GB2312"/>
                <w:i w:val="0"/>
                <w:iCs w:val="0"/>
                <w:color w:val="000000"/>
                <w:kern w:val="0"/>
                <w:sz w:val="24"/>
                <w:szCs w:val="24"/>
                <w:highlight w:val="none"/>
                <w:u w:val="none"/>
                <w:lang w:val="en-US" w:eastAsia="zh-CN" w:bidi="ar"/>
              </w:rPr>
              <w:t>89.86%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2087" w:type="dxa"/>
            <w:vAlign w:val="center"/>
          </w:tcPr>
          <w:p>
            <w:pPr>
              <w:jc w:val="center"/>
              <w:textAlignment w:val="center"/>
              <w:rPr>
                <w:rFonts w:hint="eastAsia" w:ascii="仿宋_GB2312" w:hAnsi="仿宋_GB2312" w:eastAsia="仿宋_GB2312" w:cs="仿宋_GB2312"/>
                <w:color w:val="000000"/>
                <w:kern w:val="0"/>
                <w:sz w:val="24"/>
                <w:highlight w:val="none"/>
                <w:lang w:bidi="ar"/>
              </w:rPr>
            </w:pPr>
            <w:r>
              <w:rPr>
                <w:rFonts w:hint="eastAsia" w:ascii="仿宋_GB2312" w:hAnsi="仿宋_GB2312" w:eastAsia="仿宋_GB2312" w:cs="仿宋_GB2312"/>
                <w:color w:val="000000"/>
                <w:kern w:val="0"/>
                <w:sz w:val="24"/>
                <w:highlight w:val="none"/>
                <w:lang w:bidi="ar"/>
              </w:rPr>
              <w:t>效益</w:t>
            </w:r>
          </w:p>
        </w:tc>
        <w:tc>
          <w:tcPr>
            <w:tcW w:w="2087" w:type="dxa"/>
            <w:vAlign w:val="center"/>
          </w:tcPr>
          <w:p>
            <w:pPr>
              <w:keepNext w:val="0"/>
              <w:keepLines w:val="0"/>
              <w:widowControl/>
              <w:suppressLineNumbers w:val="0"/>
              <w:spacing w:line="240" w:lineRule="auto"/>
              <w:jc w:val="center"/>
              <w:textAlignment w:val="center"/>
              <w:rPr>
                <w:rFonts w:hint="default" w:ascii="仿宋_GB2312" w:hAnsi="仿宋_GB2312" w:eastAsia="仿宋_GB2312" w:cs="仿宋_GB2312"/>
                <w:color w:val="000000"/>
                <w:kern w:val="0"/>
                <w:sz w:val="24"/>
                <w:highlight w:val="none"/>
                <w:lang w:val="en-US" w:bidi="ar"/>
              </w:rPr>
            </w:pPr>
            <w:r>
              <w:rPr>
                <w:rFonts w:hint="eastAsia" w:ascii="仿宋_GB2312" w:hAnsi="仿宋_GB2312" w:eastAsia="仿宋_GB2312" w:cs="仿宋_GB2312"/>
                <w:i w:val="0"/>
                <w:iCs w:val="0"/>
                <w:color w:val="000000"/>
                <w:kern w:val="0"/>
                <w:sz w:val="24"/>
                <w:szCs w:val="24"/>
                <w:highlight w:val="none"/>
                <w:u w:val="none"/>
                <w:lang w:val="en-US" w:eastAsia="zh-CN" w:bidi="ar"/>
              </w:rPr>
              <w:t>45</w:t>
            </w:r>
          </w:p>
        </w:tc>
        <w:tc>
          <w:tcPr>
            <w:tcW w:w="2087" w:type="dxa"/>
            <w:vAlign w:val="center"/>
          </w:tcPr>
          <w:p>
            <w:pPr>
              <w:keepNext w:val="0"/>
              <w:keepLines w:val="0"/>
              <w:widowControl/>
              <w:suppressLineNumbers w:val="0"/>
              <w:spacing w:line="240" w:lineRule="auto"/>
              <w:jc w:val="center"/>
              <w:textAlignment w:val="center"/>
              <w:rPr>
                <w:rFonts w:hint="default" w:ascii="仿宋_GB2312" w:hAnsi="仿宋_GB2312" w:eastAsia="仿宋_GB2312" w:cs="仿宋_GB2312"/>
                <w:color w:val="000000"/>
                <w:kern w:val="0"/>
                <w:sz w:val="24"/>
                <w:highlight w:val="none"/>
                <w:u w:val="none"/>
                <w:lang w:val="en-US" w:bidi="ar"/>
              </w:rPr>
            </w:pPr>
            <w:r>
              <w:rPr>
                <w:rFonts w:hint="eastAsia" w:ascii="仿宋_GB2312" w:hAnsi="仿宋_GB2312" w:eastAsia="仿宋_GB2312" w:cs="仿宋_GB2312"/>
                <w:i w:val="0"/>
                <w:iCs w:val="0"/>
                <w:color w:val="000000"/>
                <w:kern w:val="0"/>
                <w:sz w:val="24"/>
                <w:szCs w:val="24"/>
                <w:highlight w:val="none"/>
                <w:u w:val="none"/>
                <w:lang w:val="en-US" w:eastAsia="zh-CN" w:bidi="ar"/>
              </w:rPr>
              <w:t>40.54</w:t>
            </w:r>
          </w:p>
        </w:tc>
        <w:tc>
          <w:tcPr>
            <w:tcW w:w="2088" w:type="dxa"/>
            <w:vAlign w:val="center"/>
          </w:tcPr>
          <w:p>
            <w:pPr>
              <w:keepNext w:val="0"/>
              <w:keepLines w:val="0"/>
              <w:widowControl/>
              <w:suppressLineNumbers w:val="0"/>
              <w:spacing w:line="240" w:lineRule="auto"/>
              <w:jc w:val="center"/>
              <w:textAlignment w:val="center"/>
              <w:rPr>
                <w:rFonts w:hint="eastAsia" w:ascii="仿宋_GB2312" w:hAnsi="仿宋_GB2312" w:eastAsia="仿宋_GB2312" w:cs="仿宋_GB2312"/>
                <w:color w:val="000000"/>
                <w:kern w:val="0"/>
                <w:sz w:val="24"/>
                <w:highlight w:val="none"/>
                <w:u w:val="none"/>
                <w:lang w:bidi="ar"/>
              </w:rPr>
            </w:pPr>
            <w:r>
              <w:rPr>
                <w:rFonts w:hint="eastAsia" w:ascii="仿宋_GB2312" w:hAnsi="仿宋_GB2312" w:eastAsia="仿宋_GB2312" w:cs="仿宋_GB2312"/>
                <w:i w:val="0"/>
                <w:iCs w:val="0"/>
                <w:color w:val="000000"/>
                <w:kern w:val="0"/>
                <w:sz w:val="24"/>
                <w:szCs w:val="24"/>
                <w:highlight w:val="none"/>
                <w:u w:val="none"/>
                <w:lang w:val="en-US" w:eastAsia="zh-CN" w:bidi="ar"/>
              </w:rPr>
              <w:t>90.09%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2087" w:type="dxa"/>
            <w:vAlign w:val="center"/>
          </w:tcPr>
          <w:p>
            <w:pPr>
              <w:jc w:val="center"/>
              <w:textAlignment w:val="center"/>
              <w:rPr>
                <w:rFonts w:hint="eastAsia" w:ascii="仿宋_GB2312" w:hAnsi="仿宋_GB2312" w:eastAsia="仿宋_GB2312" w:cs="仿宋_GB2312"/>
                <w:b/>
                <w:bCs/>
                <w:color w:val="000000"/>
                <w:kern w:val="0"/>
                <w:sz w:val="24"/>
                <w:highlight w:val="none"/>
                <w:lang w:bidi="ar"/>
              </w:rPr>
            </w:pPr>
            <w:r>
              <w:rPr>
                <w:rFonts w:hint="eastAsia" w:ascii="仿宋_GB2312" w:hAnsi="仿宋_GB2312" w:eastAsia="仿宋_GB2312" w:cs="仿宋_GB2312"/>
                <w:b/>
                <w:bCs/>
                <w:color w:val="000000"/>
                <w:kern w:val="0"/>
                <w:sz w:val="24"/>
                <w:highlight w:val="none"/>
                <w:lang w:bidi="ar"/>
              </w:rPr>
              <w:t>合计</w:t>
            </w:r>
          </w:p>
        </w:tc>
        <w:tc>
          <w:tcPr>
            <w:tcW w:w="2087" w:type="dxa"/>
            <w:vAlign w:val="center"/>
          </w:tcPr>
          <w:p>
            <w:pPr>
              <w:keepNext w:val="0"/>
              <w:keepLines w:val="0"/>
              <w:widowControl/>
              <w:suppressLineNumbers w:val="0"/>
              <w:spacing w:line="240" w:lineRule="auto"/>
              <w:jc w:val="center"/>
              <w:textAlignment w:val="center"/>
              <w:rPr>
                <w:rFonts w:hint="eastAsia" w:ascii="仿宋_GB2312" w:hAnsi="仿宋_GB2312" w:eastAsia="仿宋_GB2312" w:cs="仿宋_GB2312"/>
                <w:b/>
                <w:bCs/>
                <w:color w:val="000000"/>
                <w:kern w:val="0"/>
                <w:sz w:val="24"/>
                <w:highlight w:val="none"/>
                <w:lang w:bidi="ar"/>
              </w:rPr>
            </w:pPr>
            <w:r>
              <w:rPr>
                <w:rFonts w:hint="eastAsia" w:ascii="仿宋_GB2312" w:hAnsi="仿宋_GB2312" w:eastAsia="仿宋_GB2312" w:cs="仿宋_GB2312"/>
                <w:b/>
                <w:bCs/>
                <w:i w:val="0"/>
                <w:iCs w:val="0"/>
                <w:color w:val="000000"/>
                <w:kern w:val="0"/>
                <w:sz w:val="24"/>
                <w:szCs w:val="24"/>
                <w:highlight w:val="none"/>
                <w:u w:val="none"/>
                <w:lang w:val="en-US" w:eastAsia="zh-CN" w:bidi="ar"/>
              </w:rPr>
              <w:t>100</w:t>
            </w:r>
          </w:p>
        </w:tc>
        <w:tc>
          <w:tcPr>
            <w:tcW w:w="2087" w:type="dxa"/>
            <w:vAlign w:val="center"/>
          </w:tcPr>
          <w:p>
            <w:pPr>
              <w:keepNext w:val="0"/>
              <w:keepLines w:val="0"/>
              <w:widowControl/>
              <w:suppressLineNumbers w:val="0"/>
              <w:spacing w:line="240" w:lineRule="auto"/>
              <w:jc w:val="center"/>
              <w:textAlignment w:val="center"/>
              <w:rPr>
                <w:rFonts w:hint="default" w:ascii="仿宋_GB2312" w:hAnsi="仿宋_GB2312" w:eastAsia="仿宋_GB2312" w:cs="仿宋_GB2312"/>
                <w:b/>
                <w:bCs/>
                <w:color w:val="000000"/>
                <w:kern w:val="0"/>
                <w:sz w:val="24"/>
                <w:highlight w:val="none"/>
                <w:u w:val="none"/>
                <w:lang w:val="en-US" w:bidi="ar"/>
              </w:rPr>
            </w:pPr>
            <w:r>
              <w:rPr>
                <w:rFonts w:hint="eastAsia" w:ascii="仿宋_GB2312" w:hAnsi="仿宋_GB2312" w:eastAsia="仿宋_GB2312" w:cs="仿宋_GB2312"/>
                <w:b/>
                <w:bCs/>
                <w:i w:val="0"/>
                <w:iCs w:val="0"/>
                <w:color w:val="000000"/>
                <w:kern w:val="0"/>
                <w:sz w:val="24"/>
                <w:szCs w:val="24"/>
                <w:highlight w:val="none"/>
                <w:u w:val="none"/>
                <w:lang w:val="en-US" w:eastAsia="zh-CN" w:bidi="ar"/>
              </w:rPr>
              <w:t>89.96</w:t>
            </w:r>
          </w:p>
        </w:tc>
        <w:tc>
          <w:tcPr>
            <w:tcW w:w="2088" w:type="dxa"/>
            <w:vAlign w:val="center"/>
          </w:tcPr>
          <w:p>
            <w:pPr>
              <w:keepNext w:val="0"/>
              <w:keepLines w:val="0"/>
              <w:widowControl/>
              <w:suppressLineNumbers w:val="0"/>
              <w:spacing w:line="240" w:lineRule="auto"/>
              <w:jc w:val="center"/>
              <w:textAlignment w:val="center"/>
              <w:rPr>
                <w:rFonts w:hint="eastAsia" w:ascii="仿宋_GB2312" w:hAnsi="仿宋_GB2312" w:eastAsia="仿宋_GB2312" w:cs="仿宋_GB2312"/>
                <w:b/>
                <w:bCs/>
                <w:color w:val="000000"/>
                <w:kern w:val="0"/>
                <w:sz w:val="24"/>
                <w:highlight w:val="none"/>
                <w:u w:val="none"/>
                <w:lang w:bidi="ar"/>
              </w:rPr>
            </w:pPr>
            <w:r>
              <w:rPr>
                <w:rFonts w:hint="eastAsia" w:ascii="仿宋_GB2312" w:hAnsi="仿宋_GB2312" w:eastAsia="仿宋_GB2312" w:cs="仿宋_GB2312"/>
                <w:b/>
                <w:bCs/>
                <w:i w:val="0"/>
                <w:iCs w:val="0"/>
                <w:color w:val="000000"/>
                <w:kern w:val="0"/>
                <w:sz w:val="24"/>
                <w:szCs w:val="24"/>
                <w:highlight w:val="none"/>
                <w:u w:val="none"/>
                <w:lang w:val="en-US" w:eastAsia="zh-CN" w:bidi="ar"/>
              </w:rPr>
              <w:t>89.96%</w:t>
            </w:r>
          </w:p>
        </w:tc>
      </w:tr>
    </w:tbl>
    <w:p>
      <w:pPr>
        <w:pStyle w:val="4"/>
        <w:widowControl w:val="0"/>
        <w:spacing w:before="0" w:after="0" w:line="560" w:lineRule="exact"/>
        <w:ind w:firstLine="640"/>
        <w:jc w:val="both"/>
        <w:rPr>
          <w:rFonts w:eastAsia="楷体_GB2312"/>
          <w:bCs w:val="0"/>
          <w:color w:val="auto"/>
          <w:sz w:val="32"/>
          <w:szCs w:val="40"/>
          <w:highlight w:val="none"/>
          <w:lang w:val="en-US"/>
        </w:rPr>
      </w:pPr>
      <w:bookmarkStart w:id="10" w:name="_Toc5180"/>
      <w:r>
        <w:rPr>
          <w:rFonts w:hint="eastAsia" w:eastAsia="楷体_GB2312"/>
          <w:bCs w:val="0"/>
          <w:color w:val="auto"/>
          <w:sz w:val="32"/>
          <w:szCs w:val="40"/>
          <w:highlight w:val="none"/>
          <w:lang w:val="en-US"/>
        </w:rPr>
        <w:t>（二）指标分析</w:t>
      </w:r>
      <w:bookmarkEnd w:id="10"/>
    </w:p>
    <w:p>
      <w:pPr>
        <w:spacing w:line="560" w:lineRule="exact"/>
        <w:ind w:firstLine="640" w:firstLineChars="200"/>
        <w:rPr>
          <w:rFonts w:hint="eastAsia" w:ascii="仿宋_GB2312" w:hAnsi="仿宋_GB2312" w:eastAsia="仿宋_GB2312" w:cs="仿宋_GB2312"/>
          <w:sz w:val="32"/>
          <w:szCs w:val="40"/>
          <w:highlight w:val="none"/>
        </w:rPr>
      </w:pPr>
      <w:r>
        <w:rPr>
          <w:rFonts w:hint="eastAsia" w:ascii="仿宋_GB2312" w:hAnsi="仿宋_GB2312" w:eastAsia="仿宋_GB2312" w:cs="仿宋_GB2312"/>
          <w:sz w:val="32"/>
          <w:szCs w:val="40"/>
          <w:highlight w:val="none"/>
        </w:rPr>
        <w:t>1.过程</w:t>
      </w:r>
    </w:p>
    <w:p>
      <w:pPr>
        <w:spacing w:line="560" w:lineRule="exact"/>
        <w:ind w:firstLine="640" w:firstLineChars="200"/>
        <w:rPr>
          <w:rFonts w:hint="eastAsia" w:ascii="仿宋_GB2312" w:hAnsi="仿宋_GB2312" w:eastAsia="仿宋_GB2312" w:cs="仿宋_GB2312"/>
          <w:sz w:val="32"/>
          <w:szCs w:val="40"/>
          <w:highlight w:val="none"/>
        </w:rPr>
      </w:pPr>
      <w:r>
        <w:rPr>
          <w:rFonts w:hint="eastAsia" w:ascii="仿宋_GB2312" w:hAnsi="仿宋_GB2312" w:eastAsia="仿宋_GB2312" w:cs="仿宋_GB2312"/>
          <w:sz w:val="32"/>
          <w:szCs w:val="40"/>
          <w:highlight w:val="none"/>
        </w:rPr>
        <w:t>过程指标分值</w:t>
      </w:r>
      <w:r>
        <w:rPr>
          <w:rFonts w:hint="eastAsia" w:ascii="仿宋_GB2312" w:hAnsi="仿宋_GB2312" w:eastAsia="仿宋_GB2312" w:cs="仿宋_GB2312"/>
          <w:sz w:val="32"/>
          <w:szCs w:val="40"/>
          <w:highlight w:val="none"/>
          <w:lang w:val="en-US" w:eastAsia="zh-CN"/>
        </w:rPr>
        <w:t>2</w:t>
      </w:r>
      <w:r>
        <w:rPr>
          <w:rFonts w:hint="eastAsia" w:ascii="仿宋_GB2312" w:hAnsi="仿宋_GB2312" w:eastAsia="仿宋_GB2312" w:cs="仿宋_GB2312"/>
          <w:sz w:val="32"/>
          <w:szCs w:val="40"/>
          <w:highlight w:val="none"/>
        </w:rPr>
        <w:t>0分，评价得分</w:t>
      </w:r>
      <w:r>
        <w:rPr>
          <w:rFonts w:hint="eastAsia" w:ascii="仿宋_GB2312" w:hAnsi="仿宋_GB2312" w:eastAsia="仿宋_GB2312" w:cs="仿宋_GB2312"/>
          <w:sz w:val="32"/>
          <w:szCs w:val="40"/>
          <w:highlight w:val="none"/>
          <w:lang w:val="en-US" w:eastAsia="zh-CN"/>
        </w:rPr>
        <w:t>17.97</w:t>
      </w:r>
      <w:r>
        <w:rPr>
          <w:rFonts w:hint="eastAsia" w:ascii="仿宋_GB2312" w:hAnsi="仿宋_GB2312" w:eastAsia="仿宋_GB2312" w:cs="仿宋_GB2312"/>
          <w:sz w:val="32"/>
          <w:szCs w:val="40"/>
          <w:highlight w:val="none"/>
        </w:rPr>
        <w:t>分，得分率</w:t>
      </w:r>
      <w:r>
        <w:rPr>
          <w:rFonts w:hint="eastAsia" w:ascii="仿宋_GB2312" w:hAnsi="仿宋_GB2312" w:eastAsia="仿宋_GB2312" w:cs="仿宋_GB2312"/>
          <w:sz w:val="32"/>
          <w:szCs w:val="40"/>
          <w:lang w:val="en-US" w:eastAsia="zh-CN"/>
        </w:rPr>
        <w:t>89.85</w:t>
      </w:r>
      <w:r>
        <w:rPr>
          <w:rFonts w:hint="eastAsia" w:ascii="仿宋_GB2312" w:hAnsi="仿宋_GB2312" w:eastAsia="仿宋_GB2312" w:cs="仿宋_GB2312"/>
          <w:sz w:val="32"/>
          <w:szCs w:val="40"/>
          <w:highlight w:val="none"/>
        </w:rPr>
        <w:t>%。</w:t>
      </w:r>
    </w:p>
    <w:p>
      <w:pPr>
        <w:spacing w:line="560" w:lineRule="exact"/>
        <w:ind w:firstLine="640" w:firstLineChars="200"/>
        <w:rPr>
          <w:rFonts w:hint="eastAsia" w:ascii="仿宋_GB2312" w:hAnsi="仿宋_GB2312" w:eastAsia="仿宋_GB2312" w:cs="仿宋_GB2312"/>
          <w:sz w:val="32"/>
          <w:szCs w:val="40"/>
          <w:highlight w:val="none"/>
          <w:lang w:val="en-US" w:eastAsia="zh-CN"/>
        </w:rPr>
      </w:pPr>
      <w:r>
        <w:rPr>
          <w:rFonts w:hint="eastAsia" w:ascii="仿宋_GB2312" w:hAnsi="仿宋_GB2312" w:eastAsia="仿宋_GB2312" w:cs="仿宋_GB2312"/>
          <w:sz w:val="32"/>
          <w:szCs w:val="40"/>
          <w:highlight w:val="none"/>
        </w:rPr>
        <w:t>2025年项目预算金额2</w:t>
      </w:r>
      <w:r>
        <w:rPr>
          <w:rFonts w:hint="eastAsia" w:ascii="仿宋_GB2312" w:hAnsi="仿宋_GB2312" w:eastAsia="仿宋_GB2312" w:cs="仿宋_GB2312"/>
          <w:sz w:val="32"/>
          <w:szCs w:val="40"/>
          <w:highlight w:val="none"/>
          <w:lang w:val="en-US" w:eastAsia="zh-CN"/>
        </w:rPr>
        <w:t>,5</w:t>
      </w:r>
      <w:r>
        <w:rPr>
          <w:rFonts w:hint="eastAsia" w:ascii="仿宋_GB2312" w:hAnsi="仿宋_GB2312" w:eastAsia="仿宋_GB2312" w:cs="仿宋_GB2312"/>
          <w:sz w:val="32"/>
          <w:szCs w:val="40"/>
          <w:highlight w:val="none"/>
        </w:rPr>
        <w:t>00</w:t>
      </w:r>
      <w:r>
        <w:rPr>
          <w:rFonts w:hint="eastAsia" w:ascii="仿宋_GB2312" w:hAnsi="仿宋_GB2312" w:eastAsia="仿宋_GB2312" w:cs="仿宋_GB2312"/>
          <w:sz w:val="32"/>
          <w:szCs w:val="40"/>
          <w:highlight w:val="none"/>
          <w:lang w:val="en-US" w:eastAsia="zh-CN"/>
        </w:rPr>
        <w:t>.00</w:t>
      </w:r>
      <w:r>
        <w:rPr>
          <w:rFonts w:hint="eastAsia" w:ascii="仿宋_GB2312" w:hAnsi="仿宋_GB2312" w:eastAsia="仿宋_GB2312" w:cs="仿宋_GB2312"/>
          <w:sz w:val="32"/>
          <w:szCs w:val="40"/>
          <w:highlight w:val="none"/>
        </w:rPr>
        <w:t>万元，实际</w:t>
      </w:r>
      <w:r>
        <w:rPr>
          <w:rFonts w:hint="eastAsia" w:ascii="仿宋_GB2312" w:hAnsi="仿宋_GB2312" w:eastAsia="仿宋_GB2312" w:cs="仿宋_GB2312"/>
          <w:sz w:val="32"/>
          <w:szCs w:val="40"/>
          <w:highlight w:val="none"/>
          <w:lang w:val="en-US" w:eastAsia="zh-CN"/>
        </w:rPr>
        <w:t>执行</w:t>
      </w:r>
      <w:r>
        <w:rPr>
          <w:rFonts w:hint="eastAsia" w:ascii="仿宋_GB2312" w:hAnsi="仿宋_GB2312" w:eastAsia="仿宋_GB2312" w:cs="仿宋_GB2312"/>
          <w:sz w:val="32"/>
          <w:szCs w:val="40"/>
          <w:lang w:val="en-US" w:eastAsia="zh-CN"/>
        </w:rPr>
        <w:t>2,484</w:t>
      </w:r>
      <w:r>
        <w:rPr>
          <w:rFonts w:hint="eastAsia" w:ascii="仿宋_GB2312" w:hAnsi="仿宋_GB2312" w:eastAsia="仿宋_GB2312" w:cs="仿宋_GB2312"/>
          <w:sz w:val="32"/>
          <w:szCs w:val="40"/>
        </w:rPr>
        <w:t>.2</w:t>
      </w:r>
      <w:r>
        <w:rPr>
          <w:rFonts w:hint="eastAsia" w:ascii="仿宋_GB2312" w:hAnsi="仿宋_GB2312" w:eastAsia="仿宋_GB2312" w:cs="仿宋_GB2312"/>
          <w:sz w:val="32"/>
          <w:szCs w:val="40"/>
          <w:lang w:val="en-US" w:eastAsia="zh-CN"/>
        </w:rPr>
        <w:t>7</w:t>
      </w:r>
      <w:r>
        <w:rPr>
          <w:rFonts w:hint="eastAsia" w:ascii="仿宋_GB2312" w:hAnsi="仿宋_GB2312" w:eastAsia="仿宋_GB2312" w:cs="仿宋_GB2312"/>
          <w:sz w:val="32"/>
          <w:szCs w:val="40"/>
        </w:rPr>
        <w:t>万</w:t>
      </w:r>
      <w:r>
        <w:rPr>
          <w:rFonts w:hint="eastAsia" w:ascii="仿宋_GB2312" w:hAnsi="仿宋_GB2312" w:eastAsia="仿宋_GB2312" w:cs="仿宋_GB2312"/>
          <w:sz w:val="32"/>
          <w:szCs w:val="40"/>
          <w:highlight w:val="none"/>
        </w:rPr>
        <w:t>元，预算</w:t>
      </w:r>
      <w:r>
        <w:rPr>
          <w:rFonts w:hint="eastAsia" w:ascii="仿宋_GB2312" w:hAnsi="仿宋_GB2312" w:eastAsia="仿宋_GB2312" w:cs="仿宋_GB2312"/>
          <w:sz w:val="32"/>
          <w:szCs w:val="40"/>
          <w:highlight w:val="none"/>
          <w:lang w:val="en-US" w:eastAsia="zh-CN"/>
        </w:rPr>
        <w:t>执行</w:t>
      </w:r>
      <w:r>
        <w:rPr>
          <w:rFonts w:hint="eastAsia" w:ascii="仿宋_GB2312" w:hAnsi="仿宋_GB2312" w:eastAsia="仿宋_GB2312" w:cs="仿宋_GB2312"/>
          <w:sz w:val="32"/>
          <w:szCs w:val="40"/>
          <w:highlight w:val="none"/>
        </w:rPr>
        <w:t>率为</w:t>
      </w:r>
      <w:r>
        <w:rPr>
          <w:rFonts w:hint="eastAsia" w:ascii="仿宋_GB2312" w:hAnsi="仿宋_GB2312" w:eastAsia="仿宋_GB2312" w:cs="仿宋_GB2312"/>
          <w:sz w:val="32"/>
          <w:szCs w:val="40"/>
          <w:highlight w:val="none"/>
          <w:lang w:val="en-US" w:eastAsia="zh-CN"/>
        </w:rPr>
        <w:t>99.37</w:t>
      </w:r>
      <w:r>
        <w:rPr>
          <w:rFonts w:hint="eastAsia" w:ascii="仿宋_GB2312" w:hAnsi="仿宋_GB2312" w:eastAsia="仿宋_GB2312" w:cs="仿宋_GB2312"/>
          <w:sz w:val="32"/>
          <w:szCs w:val="40"/>
          <w:highlight w:val="none"/>
        </w:rPr>
        <w:t>%。资金使用总体符合国家财经法规、财务管理制度及《青岛市宣传事务资金管理办法》（青财文〔2025〕6号）相关要求，支出均严格按照预算批复及合同约定用途列支</w:t>
      </w:r>
      <w:r>
        <w:rPr>
          <w:rFonts w:hint="eastAsia" w:ascii="仿宋_GB2312" w:hAnsi="仿宋_GB2312" w:eastAsia="仿宋_GB2312" w:cs="仿宋_GB2312"/>
          <w:sz w:val="32"/>
          <w:szCs w:val="40"/>
          <w:highlight w:val="none"/>
          <w:lang w:eastAsia="zh-CN"/>
        </w:rPr>
        <w:t>。</w:t>
      </w:r>
      <w:r>
        <w:rPr>
          <w:rFonts w:hint="eastAsia" w:ascii="仿宋_GB2312" w:hAnsi="仿宋_GB2312" w:eastAsia="仿宋_GB2312" w:cs="仿宋_GB2312"/>
          <w:sz w:val="32"/>
          <w:szCs w:val="40"/>
          <w:highlight w:val="none"/>
          <w:lang w:val="en-US" w:eastAsia="zh-CN"/>
        </w:rPr>
        <w:t>但部分项目在采购执行、合同管理环节存在不规范的问题：2025年青岛市高雅艺术进历史城区艺术季、高雅艺术进校园项目，涉及金额90万元，未履行竞争性磋商、竞争性谈判等法定竞争性采购程序；与山东广播电视台签订的《山东广播电视台融媒体资讯中心合作协议》合同金额200万元，合同签订日期2026年1月1日，发票开具日期为2025年12月19日，付款日期为2025年12月22日。与青岛出版社有限公司签订的《合作协议书》，合同签订日期2025年12月15日，发票开具日期为2025年12月12日，付款日期为2025年12月13日。</w:t>
      </w:r>
    </w:p>
    <w:p>
      <w:pPr>
        <w:spacing w:line="560" w:lineRule="exact"/>
        <w:ind w:firstLine="640" w:firstLineChars="200"/>
        <w:rPr>
          <w:rFonts w:hint="default" w:ascii="仿宋_GB2312" w:hAnsi="仿宋_GB2312" w:eastAsia="仿宋_GB2312" w:cs="仿宋_GB2312"/>
          <w:sz w:val="32"/>
          <w:szCs w:val="40"/>
          <w:highlight w:val="none"/>
          <w:lang w:val="en-US" w:eastAsia="zh-CN"/>
        </w:rPr>
      </w:pPr>
      <w:r>
        <w:rPr>
          <w:rFonts w:hint="eastAsia" w:ascii="仿宋_GB2312" w:hAnsi="仿宋_GB2312" w:eastAsia="仿宋_GB2312" w:cs="仿宋_GB2312"/>
          <w:sz w:val="32"/>
          <w:szCs w:val="40"/>
          <w:highlight w:val="none"/>
          <w:lang w:val="en-US" w:eastAsia="zh-CN"/>
        </w:rPr>
        <w:t>中共青岛市委宣传部、青岛市财政局联合印发《青岛市宣传事务资金管理办法》（青财文〔2025〕6号），中共青岛市委宣传部制定出台了《打造“青岛故事”宣传品牌工作实施方案》及《青岛市主流媒体所办新媒体生产传播效果评价激励实施办法》；依据《2025青岛市中秋晚会项目考核细则》，在“融媒体传播”考核项中明确要求“提供收视率、融媒体宣推相关数据材料”作为验收依据，但绩效成果中列示的传播数据（阅读量、点击量等），未建立相应的业务台账，后台原始数据截图等佐证材料也未归档。</w:t>
      </w:r>
    </w:p>
    <w:p>
      <w:pPr>
        <w:spacing w:line="560" w:lineRule="exact"/>
        <w:ind w:firstLine="640" w:firstLineChars="200"/>
        <w:rPr>
          <w:rFonts w:hint="eastAsia" w:ascii="仿宋_GB2312" w:hAnsi="仿宋_GB2312" w:eastAsia="仿宋_GB2312" w:cs="仿宋_GB2312"/>
          <w:sz w:val="32"/>
          <w:szCs w:val="40"/>
          <w:highlight w:val="none"/>
        </w:rPr>
      </w:pPr>
      <w:r>
        <w:rPr>
          <w:rFonts w:hint="eastAsia" w:ascii="仿宋_GB2312" w:hAnsi="仿宋_GB2312" w:eastAsia="仿宋_GB2312" w:cs="仿宋_GB2312"/>
          <w:sz w:val="32"/>
          <w:szCs w:val="32"/>
          <w:highlight w:val="none"/>
          <w:lang w:val="en-US" w:eastAsia="zh-CN"/>
        </w:rPr>
        <w:t>2.</w:t>
      </w:r>
      <w:r>
        <w:rPr>
          <w:rFonts w:hint="eastAsia" w:ascii="仿宋_GB2312" w:hAnsi="仿宋_GB2312" w:eastAsia="仿宋_GB2312" w:cs="仿宋_GB2312"/>
          <w:sz w:val="32"/>
          <w:szCs w:val="40"/>
          <w:highlight w:val="none"/>
        </w:rPr>
        <w:t>产出</w:t>
      </w:r>
    </w:p>
    <w:p>
      <w:pPr>
        <w:spacing w:line="560" w:lineRule="exact"/>
        <w:ind w:firstLine="640" w:firstLineChars="200"/>
        <w:rPr>
          <w:rFonts w:hint="eastAsia" w:ascii="仿宋_GB2312" w:hAnsi="仿宋_GB2312" w:eastAsia="仿宋_GB2312" w:cs="仿宋_GB2312"/>
          <w:sz w:val="32"/>
          <w:szCs w:val="40"/>
          <w:highlight w:val="none"/>
        </w:rPr>
      </w:pPr>
      <w:r>
        <w:rPr>
          <w:rFonts w:hint="eastAsia" w:ascii="仿宋_GB2312" w:hAnsi="仿宋_GB2312" w:eastAsia="仿宋_GB2312" w:cs="仿宋_GB2312"/>
          <w:sz w:val="32"/>
          <w:szCs w:val="40"/>
          <w:highlight w:val="none"/>
        </w:rPr>
        <w:t>产出指标分值</w:t>
      </w:r>
      <w:r>
        <w:rPr>
          <w:rFonts w:hint="eastAsia" w:ascii="仿宋_GB2312" w:hAnsi="仿宋_GB2312" w:eastAsia="仿宋_GB2312" w:cs="仿宋_GB2312"/>
          <w:sz w:val="32"/>
          <w:szCs w:val="40"/>
          <w:highlight w:val="none"/>
          <w:lang w:val="en-US" w:eastAsia="zh-CN"/>
        </w:rPr>
        <w:t>35</w:t>
      </w:r>
      <w:r>
        <w:rPr>
          <w:rFonts w:hint="eastAsia" w:ascii="仿宋_GB2312" w:hAnsi="仿宋_GB2312" w:eastAsia="仿宋_GB2312" w:cs="仿宋_GB2312"/>
          <w:sz w:val="32"/>
          <w:szCs w:val="40"/>
          <w:highlight w:val="none"/>
        </w:rPr>
        <w:t>分，评价得分</w:t>
      </w:r>
      <w:r>
        <w:rPr>
          <w:rFonts w:hint="eastAsia" w:ascii="仿宋_GB2312" w:hAnsi="仿宋_GB2312" w:eastAsia="仿宋_GB2312" w:cs="仿宋_GB2312"/>
          <w:sz w:val="32"/>
          <w:szCs w:val="40"/>
          <w:highlight w:val="none"/>
          <w:lang w:val="en-US" w:eastAsia="zh-CN"/>
        </w:rPr>
        <w:t>31.45</w:t>
      </w:r>
      <w:r>
        <w:rPr>
          <w:rFonts w:hint="eastAsia" w:ascii="仿宋_GB2312" w:hAnsi="仿宋_GB2312" w:eastAsia="仿宋_GB2312" w:cs="仿宋_GB2312"/>
          <w:sz w:val="32"/>
          <w:szCs w:val="40"/>
          <w:highlight w:val="none"/>
        </w:rPr>
        <w:t>分，得分率</w:t>
      </w:r>
      <w:r>
        <w:rPr>
          <w:rFonts w:hint="eastAsia" w:ascii="仿宋_GB2312" w:hAnsi="仿宋_GB2312" w:eastAsia="仿宋_GB2312" w:cs="仿宋_GB2312"/>
          <w:sz w:val="32"/>
          <w:szCs w:val="40"/>
          <w:highlight w:val="none"/>
          <w:lang w:val="en-US" w:eastAsia="zh-CN"/>
        </w:rPr>
        <w:t>89.86</w:t>
      </w:r>
      <w:r>
        <w:rPr>
          <w:rFonts w:hint="eastAsia" w:ascii="仿宋_GB2312" w:hAnsi="仿宋_GB2312" w:eastAsia="仿宋_GB2312" w:cs="仿宋_GB2312"/>
          <w:sz w:val="32"/>
          <w:szCs w:val="40"/>
          <w:highlight w:val="none"/>
        </w:rPr>
        <w:t>%。</w:t>
      </w:r>
    </w:p>
    <w:p>
      <w:pPr>
        <w:spacing w:line="560" w:lineRule="exact"/>
        <w:ind w:firstLine="640" w:firstLineChars="200"/>
        <w:rPr>
          <w:rFonts w:hint="eastAsia" w:ascii="仿宋_GB2312" w:hAnsi="仿宋_GB2312" w:eastAsia="仿宋_GB2312" w:cs="仿宋_GB2312"/>
          <w:sz w:val="32"/>
          <w:szCs w:val="40"/>
          <w:highlight w:val="none"/>
        </w:rPr>
      </w:pPr>
      <w:r>
        <w:rPr>
          <w:rFonts w:hint="eastAsia" w:ascii="仿宋_GB2312" w:hAnsi="仿宋_GB2312" w:eastAsia="仿宋_GB2312" w:cs="仿宋_GB2312"/>
          <w:sz w:val="32"/>
          <w:szCs w:val="40"/>
          <w:highlight w:val="none"/>
        </w:rPr>
        <w:t>（1）产出数量情况</w:t>
      </w:r>
    </w:p>
    <w:p>
      <w:pPr>
        <w:spacing w:line="560" w:lineRule="exact"/>
        <w:ind w:firstLine="640" w:firstLineChars="200"/>
        <w:rPr>
          <w:rFonts w:hint="eastAsia" w:ascii="仿宋_GB2312" w:hAnsi="仿宋_GB2312" w:eastAsia="仿宋_GB2312" w:cs="仿宋_GB2312"/>
          <w:sz w:val="32"/>
          <w:szCs w:val="40"/>
          <w:highlight w:val="none"/>
        </w:rPr>
      </w:pPr>
      <w:r>
        <w:rPr>
          <w:rFonts w:hint="eastAsia" w:ascii="仿宋_GB2312" w:hAnsi="仿宋_GB2312" w:eastAsia="仿宋_GB2312" w:cs="仿宋_GB2312"/>
          <w:sz w:val="32"/>
          <w:szCs w:val="40"/>
          <w:highlight w:val="none"/>
        </w:rPr>
        <w:t>中共青岛市委宣传部、青岛市广播电视台联合举办“驰骋山海 策马迎春”2026青岛市春节联欢晚会、“明月映山海 中秋月夜游”2025青岛市中秋晚会</w:t>
      </w:r>
      <w:r>
        <w:rPr>
          <w:rFonts w:hint="eastAsia" w:ascii="仿宋_GB2312" w:hAnsi="仿宋_GB2312" w:eastAsia="仿宋_GB2312" w:cs="仿宋_GB2312"/>
          <w:sz w:val="32"/>
          <w:szCs w:val="40"/>
          <w:highlight w:val="none"/>
          <w:lang w:val="en-US" w:eastAsia="zh-CN"/>
        </w:rPr>
        <w:t>、</w:t>
      </w:r>
      <w:r>
        <w:rPr>
          <w:rFonts w:hint="eastAsia" w:ascii="仿宋_GB2312" w:hAnsi="仿宋_GB2312" w:eastAsia="仿宋_GB2312" w:cs="仿宋_GB2312"/>
          <w:sz w:val="32"/>
          <w:szCs w:val="40"/>
          <w:highlight w:val="none"/>
        </w:rPr>
        <w:t>2025年青岛市迎春茶话会文艺演出，高雅艺术进历史城区艺术季活动5</w:t>
      </w:r>
      <w:r>
        <w:rPr>
          <w:rFonts w:hint="eastAsia" w:ascii="仿宋_GB2312" w:hAnsi="仿宋_GB2312" w:eastAsia="仿宋_GB2312" w:cs="仿宋_GB2312"/>
          <w:sz w:val="32"/>
          <w:szCs w:val="40"/>
          <w:highlight w:val="none"/>
          <w:lang w:val="en-US" w:eastAsia="zh-CN"/>
        </w:rPr>
        <w:t>9</w:t>
      </w:r>
      <w:r>
        <w:rPr>
          <w:rFonts w:hint="eastAsia" w:ascii="仿宋_GB2312" w:hAnsi="仿宋_GB2312" w:eastAsia="仿宋_GB2312" w:cs="仿宋_GB2312"/>
          <w:sz w:val="32"/>
          <w:szCs w:val="40"/>
          <w:highlight w:val="none"/>
        </w:rPr>
        <w:t>场次、高雅艺术进校园活动10场，曹春生雕塑艺术馆开馆活动在山东大学青岛校区举行，联合市北</w:t>
      </w:r>
      <w:r>
        <w:rPr>
          <w:rFonts w:hint="eastAsia" w:ascii="仿宋_GB2312" w:hAnsi="仿宋_GB2312" w:eastAsia="仿宋_GB2312" w:cs="仿宋_GB2312"/>
          <w:sz w:val="32"/>
          <w:szCs w:val="40"/>
          <w:highlight w:val="none"/>
          <w:lang w:val="en-US" w:eastAsia="zh-CN"/>
        </w:rPr>
        <w:t>区委</w:t>
      </w:r>
      <w:r>
        <w:rPr>
          <w:rFonts w:hint="eastAsia" w:ascii="仿宋_GB2312" w:hAnsi="仿宋_GB2312" w:eastAsia="仿宋_GB2312" w:cs="仿宋_GB2312"/>
          <w:sz w:val="32"/>
          <w:szCs w:val="40"/>
          <w:highlight w:val="none"/>
        </w:rPr>
        <w:t>宣传部举办“沿着黄河遇见海”沿黄九省非遗手造大赏暨2025年糖球会</w:t>
      </w:r>
      <w:r>
        <w:rPr>
          <w:rFonts w:hint="eastAsia" w:ascii="仿宋_GB2312" w:hAnsi="仿宋_GB2312" w:eastAsia="仿宋_GB2312" w:cs="仿宋_GB2312"/>
          <w:sz w:val="32"/>
          <w:szCs w:val="40"/>
          <w:highlight w:val="none"/>
          <w:lang w:eastAsia="zh-CN"/>
        </w:rPr>
        <w:t>；</w:t>
      </w:r>
      <w:r>
        <w:rPr>
          <w:rFonts w:hint="eastAsia" w:ascii="仿宋_GB2312" w:hAnsi="仿宋_GB2312" w:eastAsia="仿宋_GB2312" w:cs="仿宋_GB2312"/>
          <w:color w:val="auto"/>
          <w:sz w:val="32"/>
          <w:szCs w:val="40"/>
          <w:highlight w:val="none"/>
        </w:rPr>
        <w:t>我市</w:t>
      </w:r>
      <w:r>
        <w:rPr>
          <w:rFonts w:hint="eastAsia" w:ascii="仿宋_GB2312" w:hAnsi="仿宋_GB2312" w:eastAsia="仿宋_GB2312" w:cs="仿宋_GB2312"/>
          <w:sz w:val="32"/>
          <w:szCs w:val="40"/>
          <w:highlight w:val="none"/>
        </w:rPr>
        <w:t>“学习强国”APP用户数237万人</w:t>
      </w:r>
      <w:r>
        <w:rPr>
          <w:rFonts w:hint="eastAsia" w:ascii="仿宋_GB2312" w:hAnsi="仿宋_GB2312" w:eastAsia="仿宋_GB2312" w:cs="仿宋_GB2312"/>
          <w:sz w:val="32"/>
          <w:szCs w:val="40"/>
          <w:highlight w:val="none"/>
          <w:lang w:eastAsia="zh-CN"/>
        </w:rPr>
        <w:t>，</w:t>
      </w:r>
      <w:r>
        <w:rPr>
          <w:rFonts w:hint="eastAsia" w:ascii="仿宋_GB2312" w:hAnsi="仿宋_GB2312" w:eastAsia="仿宋_GB2312" w:cs="仿宋_GB2312"/>
          <w:sz w:val="32"/>
          <w:szCs w:val="40"/>
          <w:highlight w:val="none"/>
        </w:rPr>
        <w:t>“学习强国”青岛学习平台全年上线稿件12653篇，其中学习类稿件6418篇，占比50.72%，原创短视频稿件153篇</w:t>
      </w:r>
      <w:r>
        <w:rPr>
          <w:rFonts w:hint="eastAsia" w:ascii="仿宋_GB2312" w:hAnsi="仿宋_GB2312" w:eastAsia="仿宋_GB2312" w:cs="仿宋_GB2312"/>
          <w:sz w:val="32"/>
          <w:szCs w:val="40"/>
          <w:highlight w:val="none"/>
          <w:lang w:eastAsia="zh-CN"/>
        </w:rPr>
        <w:t>；2025年青岛市各媒体累计推出“青岛故事”产品7100余条，制作完成《青岛故事2025优秀作品集》2000册；完成青岛与西方名城对话、“一带一路” 产业出海、中非人文交流三大主题外宣行动，开展实地采访的海外国家18个，举办推介会4场；外宣画册《青岛》于2026年7月初正式定稿。</w:t>
      </w:r>
    </w:p>
    <w:p>
      <w:pPr>
        <w:spacing w:line="560" w:lineRule="exact"/>
        <w:ind w:firstLine="640" w:firstLineChars="200"/>
        <w:rPr>
          <w:rFonts w:hint="eastAsia" w:ascii="仿宋_GB2312" w:hAnsi="仿宋_GB2312" w:eastAsia="仿宋_GB2312" w:cs="仿宋_GB2312"/>
          <w:sz w:val="32"/>
          <w:szCs w:val="40"/>
          <w:highlight w:val="none"/>
        </w:rPr>
      </w:pPr>
      <w:r>
        <w:rPr>
          <w:rFonts w:hint="eastAsia" w:ascii="仿宋_GB2312" w:hAnsi="仿宋_GB2312" w:eastAsia="仿宋_GB2312" w:cs="仿宋_GB2312"/>
          <w:sz w:val="32"/>
          <w:szCs w:val="40"/>
          <w:highlight w:val="none"/>
        </w:rPr>
        <w:t>（2）产出质量情况</w:t>
      </w:r>
    </w:p>
    <w:p>
      <w:pPr>
        <w:spacing w:line="560" w:lineRule="exact"/>
        <w:ind w:firstLine="640" w:firstLineChars="200"/>
        <w:rPr>
          <w:rFonts w:hint="eastAsia" w:ascii="仿宋_GB2312" w:hAnsi="仿宋_GB2312" w:eastAsia="仿宋_GB2312" w:cs="仿宋_GB2312"/>
          <w:sz w:val="32"/>
          <w:szCs w:val="40"/>
          <w:highlight w:val="none"/>
          <w:lang w:val="en-US" w:eastAsia="zh-CN"/>
        </w:rPr>
      </w:pPr>
      <w:r>
        <w:rPr>
          <w:rFonts w:hint="eastAsia" w:ascii="仿宋_GB2312" w:hAnsi="仿宋_GB2312" w:eastAsia="仿宋_GB2312" w:cs="仿宋_GB2312"/>
          <w:sz w:val="32"/>
          <w:szCs w:val="40"/>
          <w:highlight w:val="none"/>
        </w:rPr>
        <w:t>举办雕塑家曹春生艺术人生分享会</w:t>
      </w:r>
      <w:r>
        <w:rPr>
          <w:rFonts w:hint="eastAsia" w:ascii="仿宋_GB2312" w:hAnsi="仿宋_GB2312" w:eastAsia="仿宋_GB2312" w:cs="仿宋_GB2312"/>
          <w:sz w:val="32"/>
          <w:szCs w:val="40"/>
          <w:highlight w:val="none"/>
          <w:lang w:eastAsia="zh-CN"/>
        </w:rPr>
        <w:t>，</w:t>
      </w:r>
      <w:r>
        <w:rPr>
          <w:rFonts w:hint="eastAsia" w:ascii="仿宋_GB2312" w:hAnsi="仿宋_GB2312" w:eastAsia="仿宋_GB2312" w:cs="仿宋_GB2312"/>
          <w:sz w:val="32"/>
          <w:szCs w:val="40"/>
          <w:highlight w:val="none"/>
        </w:rPr>
        <w:t>现场邀请10余名全国知名艺术家出席活动；联合市北</w:t>
      </w:r>
      <w:r>
        <w:rPr>
          <w:rFonts w:hint="eastAsia" w:ascii="仿宋_GB2312" w:hAnsi="仿宋_GB2312" w:eastAsia="仿宋_GB2312" w:cs="仿宋_GB2312"/>
          <w:sz w:val="32"/>
          <w:szCs w:val="40"/>
          <w:highlight w:val="none"/>
          <w:lang w:val="en-US" w:eastAsia="zh-CN"/>
        </w:rPr>
        <w:t>区委</w:t>
      </w:r>
      <w:r>
        <w:rPr>
          <w:rFonts w:hint="eastAsia" w:ascii="仿宋_GB2312" w:hAnsi="仿宋_GB2312" w:eastAsia="仿宋_GB2312" w:cs="仿宋_GB2312"/>
          <w:sz w:val="32"/>
          <w:szCs w:val="40"/>
          <w:highlight w:val="none"/>
        </w:rPr>
        <w:t>宣传部举办“沿着黄河遇见海”沿黄九省非遗手造大赏暨2025年糖球会，邀请18位国家级、省级代表性传承人出席活动</w:t>
      </w:r>
      <w:r>
        <w:rPr>
          <w:rFonts w:hint="eastAsia" w:ascii="仿宋_GB2312" w:hAnsi="仿宋_GB2312" w:eastAsia="仿宋_GB2312" w:cs="仿宋_GB2312"/>
          <w:sz w:val="32"/>
          <w:szCs w:val="40"/>
          <w:highlight w:val="none"/>
          <w:lang w:eastAsia="zh-CN"/>
        </w:rPr>
        <w:t>；“</w:t>
      </w:r>
      <w:r>
        <w:rPr>
          <w:rFonts w:hint="eastAsia" w:ascii="仿宋_GB2312" w:hAnsi="仿宋_GB2312" w:eastAsia="仿宋_GB2312" w:cs="仿宋_GB2312"/>
          <w:sz w:val="32"/>
          <w:szCs w:val="40"/>
          <w:highlight w:val="none"/>
          <w:lang w:val="en-US" w:eastAsia="zh-CN"/>
        </w:rPr>
        <w:t>学习强国”青岛学习平台</w:t>
      </w:r>
      <w:r>
        <w:rPr>
          <w:rFonts w:hint="eastAsia" w:ascii="仿宋_GB2312" w:hAnsi="仿宋_GB2312" w:eastAsia="仿宋_GB2312" w:cs="仿宋_GB2312"/>
          <w:sz w:val="32"/>
          <w:szCs w:val="40"/>
          <w:highlight w:val="none"/>
        </w:rPr>
        <w:t>全年创建“学习贯彻党的二十届四中全会精神”“纪念抗战胜利80周年”“中华传统文化研习社”等21个专题，开展专题培训3次</w:t>
      </w:r>
      <w:r>
        <w:rPr>
          <w:rFonts w:hint="eastAsia" w:ascii="仿宋_GB2312" w:hAnsi="仿宋_GB2312" w:eastAsia="仿宋_GB2312" w:cs="仿宋_GB2312"/>
          <w:sz w:val="32"/>
          <w:szCs w:val="40"/>
          <w:highlight w:val="none"/>
          <w:lang w:eastAsia="zh-CN"/>
        </w:rPr>
        <w:t>；</w:t>
      </w:r>
      <w:r>
        <w:rPr>
          <w:rFonts w:hint="eastAsia" w:ascii="仿宋_GB2312" w:hAnsi="仿宋_GB2312" w:eastAsia="仿宋_GB2312" w:cs="仿宋_GB2312"/>
          <w:sz w:val="32"/>
          <w:szCs w:val="40"/>
          <w:highlight w:val="none"/>
          <w:lang w:val="en-US" w:eastAsia="zh-CN"/>
        </w:rPr>
        <w:t>2025年青岛市各媒体制作大流量短视频作品1486条，64个话题登上微博、抖音平台全国热榜，15条作品被人民日报、新华社、中央广播电视总台等重点央媒转发，省委宣传部向中宣部推荐青岛市“三好作品”42篇；完成青岛与西方名城对话、“一带一路”产业出海、中非人文交流三大主题外宣活动，制作优质短视频50条，在Facebook、Instagram、YouTube、TikTok等海外社交媒体平台全网发布，并在央视频、今日头条、抖音、微博、B站等国内平台同步推送170条；依托山东广电融媒传播矩阵闪电大平台，在微博平台开设阅读量超过500万的大流量话题13个，超过200万的话题2个。</w:t>
      </w:r>
    </w:p>
    <w:p>
      <w:pPr>
        <w:spacing w:line="560" w:lineRule="exact"/>
        <w:ind w:firstLine="640" w:firstLineChars="200"/>
        <w:rPr>
          <w:rFonts w:hint="eastAsia" w:ascii="仿宋_GB2312" w:hAnsi="仿宋_GB2312" w:eastAsia="仿宋_GB2312" w:cs="仿宋_GB2312"/>
          <w:sz w:val="32"/>
          <w:szCs w:val="40"/>
          <w:highlight w:val="none"/>
        </w:rPr>
      </w:pPr>
      <w:r>
        <w:rPr>
          <w:rFonts w:hint="eastAsia" w:ascii="仿宋_GB2312" w:hAnsi="仿宋_GB2312" w:eastAsia="仿宋_GB2312" w:cs="仿宋_GB2312"/>
          <w:sz w:val="32"/>
          <w:szCs w:val="40"/>
          <w:highlight w:val="none"/>
        </w:rPr>
        <w:t>3.效益指标分析</w:t>
      </w:r>
    </w:p>
    <w:p>
      <w:pPr>
        <w:spacing w:line="560" w:lineRule="exact"/>
        <w:ind w:firstLine="640" w:firstLineChars="200"/>
        <w:rPr>
          <w:rFonts w:hint="eastAsia" w:ascii="仿宋_GB2312" w:hAnsi="仿宋_GB2312" w:eastAsia="仿宋_GB2312" w:cs="仿宋_GB2312"/>
          <w:sz w:val="32"/>
          <w:szCs w:val="40"/>
          <w:highlight w:val="none"/>
        </w:rPr>
      </w:pPr>
      <w:r>
        <w:rPr>
          <w:rFonts w:hint="eastAsia" w:ascii="仿宋_GB2312" w:hAnsi="仿宋_GB2312" w:eastAsia="仿宋_GB2312" w:cs="仿宋_GB2312"/>
          <w:sz w:val="32"/>
          <w:szCs w:val="40"/>
          <w:highlight w:val="none"/>
        </w:rPr>
        <w:t>效益指标分值</w:t>
      </w:r>
      <w:r>
        <w:rPr>
          <w:rFonts w:hint="eastAsia" w:ascii="仿宋_GB2312" w:hAnsi="仿宋_GB2312" w:eastAsia="仿宋_GB2312" w:cs="仿宋_GB2312"/>
          <w:sz w:val="32"/>
          <w:szCs w:val="40"/>
          <w:highlight w:val="none"/>
          <w:lang w:val="en-US" w:eastAsia="zh-CN"/>
        </w:rPr>
        <w:t>45</w:t>
      </w:r>
      <w:r>
        <w:rPr>
          <w:rFonts w:hint="eastAsia" w:ascii="仿宋_GB2312" w:hAnsi="仿宋_GB2312" w:eastAsia="仿宋_GB2312" w:cs="仿宋_GB2312"/>
          <w:sz w:val="32"/>
          <w:szCs w:val="40"/>
          <w:highlight w:val="none"/>
        </w:rPr>
        <w:t>分，评价得分</w:t>
      </w:r>
      <w:r>
        <w:rPr>
          <w:rFonts w:hint="eastAsia" w:ascii="仿宋_GB2312" w:hAnsi="仿宋_GB2312" w:eastAsia="仿宋_GB2312" w:cs="仿宋_GB2312"/>
          <w:sz w:val="32"/>
          <w:szCs w:val="40"/>
          <w:highlight w:val="none"/>
          <w:lang w:val="en-US" w:eastAsia="zh-CN"/>
        </w:rPr>
        <w:t>40.54</w:t>
      </w:r>
      <w:r>
        <w:rPr>
          <w:rFonts w:hint="eastAsia" w:ascii="仿宋_GB2312" w:hAnsi="仿宋_GB2312" w:eastAsia="仿宋_GB2312" w:cs="仿宋_GB2312"/>
          <w:sz w:val="32"/>
          <w:szCs w:val="40"/>
          <w:highlight w:val="none"/>
        </w:rPr>
        <w:t>分，得分率</w:t>
      </w:r>
      <w:r>
        <w:rPr>
          <w:rFonts w:hint="eastAsia" w:ascii="仿宋_GB2312" w:hAnsi="仿宋_GB2312" w:eastAsia="仿宋_GB2312" w:cs="仿宋_GB2312"/>
          <w:sz w:val="32"/>
          <w:szCs w:val="40"/>
          <w:highlight w:val="none"/>
          <w:lang w:val="en-US" w:eastAsia="zh-CN"/>
        </w:rPr>
        <w:t>90.09</w:t>
      </w:r>
      <w:r>
        <w:rPr>
          <w:rFonts w:hint="eastAsia" w:ascii="仿宋_GB2312" w:hAnsi="仿宋_GB2312" w:eastAsia="仿宋_GB2312" w:cs="仿宋_GB2312"/>
          <w:sz w:val="32"/>
          <w:szCs w:val="40"/>
          <w:highlight w:val="none"/>
        </w:rPr>
        <w:t>%。</w:t>
      </w:r>
    </w:p>
    <w:p>
      <w:pPr>
        <w:spacing w:line="560" w:lineRule="exact"/>
        <w:ind w:firstLine="640" w:firstLineChars="200"/>
        <w:rPr>
          <w:rFonts w:hint="eastAsia" w:ascii="仿宋_GB2312" w:hAnsi="仿宋_GB2312" w:eastAsia="仿宋_GB2312" w:cs="仿宋_GB2312"/>
          <w:sz w:val="32"/>
          <w:szCs w:val="40"/>
          <w:highlight w:val="none"/>
        </w:rPr>
      </w:pPr>
      <w:r>
        <w:rPr>
          <w:rFonts w:hint="eastAsia" w:ascii="仿宋_GB2312" w:hAnsi="仿宋_GB2312" w:eastAsia="仿宋_GB2312" w:cs="仿宋_GB2312"/>
          <w:sz w:val="32"/>
          <w:szCs w:val="40"/>
          <w:highlight w:val="none"/>
        </w:rPr>
        <w:t>（1）艺术城市品牌传播影响力</w:t>
      </w:r>
    </w:p>
    <w:p>
      <w:pPr>
        <w:spacing w:line="560" w:lineRule="exact"/>
        <w:ind w:firstLine="640" w:firstLineChars="200"/>
        <w:rPr>
          <w:rFonts w:hint="default" w:ascii="仿宋_GB2312" w:hAnsi="仿宋_GB2312" w:eastAsia="仿宋_GB2312" w:cs="仿宋_GB2312"/>
          <w:color w:val="auto"/>
          <w:kern w:val="2"/>
          <w:sz w:val="32"/>
          <w:szCs w:val="40"/>
          <w:highlight w:val="none"/>
          <w:lang w:val="en-US" w:eastAsia="zh-CN" w:bidi="ar-SA"/>
        </w:rPr>
      </w:pPr>
      <w:r>
        <w:rPr>
          <w:rFonts w:hint="eastAsia" w:ascii="仿宋_GB2312" w:hAnsi="仿宋_GB2312" w:eastAsia="仿宋_GB2312" w:cs="仿宋_GB2312"/>
          <w:sz w:val="32"/>
          <w:szCs w:val="40"/>
          <w:highlight w:val="none"/>
          <w:lang w:val="en-US" w:eastAsia="zh-CN"/>
        </w:rPr>
        <w:t>2026青岛市春节联欢晚会全网点击量1482万次，蓝睛客户端、视频号等同步直播全网观看量66万次；外宣短视频在海外主流社交媒体平台（Facebook、Instagram、YouTube、TikTok）的播放量27万次；映像青岛网站注册用户70.55万，网站总浏览量936.24万。</w:t>
      </w:r>
    </w:p>
    <w:p>
      <w:pPr>
        <w:pStyle w:val="2"/>
        <w:spacing w:line="560" w:lineRule="atLeast"/>
        <w:rPr>
          <w:rFonts w:hint="eastAsia" w:ascii="仿宋_GB2312" w:hAnsi="仿宋_GB2312" w:eastAsia="仿宋_GB2312" w:cs="仿宋_GB2312"/>
          <w:sz w:val="32"/>
          <w:szCs w:val="40"/>
          <w:highlight w:val="none"/>
          <w:lang w:val="en-US" w:eastAsia="zh-CN"/>
        </w:rPr>
      </w:pPr>
      <w:r>
        <w:rPr>
          <w:rFonts w:hint="eastAsia" w:ascii="仿宋_GB2312" w:hAnsi="仿宋_GB2312" w:eastAsia="仿宋_GB2312" w:cs="仿宋_GB2312"/>
          <w:sz w:val="32"/>
          <w:szCs w:val="40"/>
          <w:highlight w:val="none"/>
          <w:lang w:eastAsia="zh-CN"/>
        </w:rPr>
        <w:t>（</w:t>
      </w:r>
      <w:r>
        <w:rPr>
          <w:rFonts w:hint="eastAsia" w:ascii="仿宋_GB2312" w:hAnsi="仿宋_GB2312" w:eastAsia="仿宋_GB2312" w:cs="仿宋_GB2312"/>
          <w:sz w:val="32"/>
          <w:szCs w:val="40"/>
          <w:highlight w:val="none"/>
          <w:lang w:val="en-US" w:eastAsia="zh-CN"/>
        </w:rPr>
        <w:t>2</w:t>
      </w:r>
      <w:r>
        <w:rPr>
          <w:rFonts w:hint="eastAsia" w:ascii="仿宋_GB2312" w:hAnsi="仿宋_GB2312" w:eastAsia="仿宋_GB2312" w:cs="仿宋_GB2312"/>
          <w:sz w:val="32"/>
          <w:szCs w:val="40"/>
          <w:highlight w:val="none"/>
          <w:lang w:eastAsia="zh-CN"/>
        </w:rPr>
        <w:t>）</w:t>
      </w:r>
      <w:r>
        <w:rPr>
          <w:rFonts w:hint="eastAsia" w:ascii="仿宋_GB2312" w:hAnsi="仿宋_GB2312" w:eastAsia="仿宋_GB2312" w:cs="仿宋_GB2312"/>
          <w:sz w:val="32"/>
          <w:szCs w:val="40"/>
          <w:highlight w:val="none"/>
          <w:lang w:val="en-US" w:eastAsia="zh-CN"/>
        </w:rPr>
        <w:t>“青岛故事”精品创作与传播效益</w:t>
      </w:r>
    </w:p>
    <w:p>
      <w:pPr>
        <w:spacing w:line="560" w:lineRule="exact"/>
        <w:ind w:firstLine="640" w:firstLineChars="200"/>
        <w:rPr>
          <w:rFonts w:hint="default" w:ascii="仿宋_GB2312" w:hAnsi="仿宋_GB2312" w:eastAsia="仿宋_GB2312" w:cs="仿宋_GB2312"/>
          <w:sz w:val="32"/>
          <w:szCs w:val="40"/>
          <w:highlight w:val="none"/>
          <w:lang w:val="en-US"/>
        </w:rPr>
      </w:pPr>
      <w:r>
        <w:rPr>
          <w:rFonts w:hint="eastAsia" w:ascii="仿宋_GB2312" w:hAnsi="仿宋_GB2312" w:eastAsia="仿宋_GB2312" w:cs="仿宋_GB2312"/>
          <w:sz w:val="32"/>
          <w:szCs w:val="40"/>
          <w:highlight w:val="none"/>
          <w:lang w:eastAsia="zh-CN"/>
        </w:rPr>
        <w:t>“青岛故事” 系列内容累计总浏览量77亿次，产业链千万级话题数量13条，登上全国热榜前10位的话题18条，登上全国热榜前50位的话题33条</w:t>
      </w:r>
      <w:r>
        <w:rPr>
          <w:rFonts w:hint="eastAsia" w:ascii="仿宋_GB2312" w:hAnsi="仿宋_GB2312" w:eastAsia="仿宋_GB2312" w:cs="仿宋_GB2312"/>
          <w:color w:val="auto"/>
          <w:kern w:val="2"/>
          <w:sz w:val="32"/>
          <w:szCs w:val="40"/>
          <w:highlight w:val="none"/>
          <w:lang w:eastAsia="zh-CN" w:bidi="ar"/>
        </w:rPr>
        <w:t>；</w:t>
      </w:r>
      <w:r>
        <w:rPr>
          <w:rFonts w:hint="eastAsia" w:ascii="仿宋_GB2312" w:hAnsi="仿宋_GB2312" w:eastAsia="仿宋_GB2312" w:cs="仿宋_GB2312"/>
          <w:sz w:val="32"/>
          <w:szCs w:val="40"/>
          <w:highlight w:val="none"/>
          <w:lang w:val="en-US" w:eastAsia="zh-CN"/>
        </w:rPr>
        <w:t>浪涨新闻抖音号1月位列“地方重点抖音号”第14位，观海新闻客户端11月位列“地方重点客户端”第16位；媒体综合传播力常态化稳居全省第一，微博、微信、抖音平台等新媒体重点账号入选数量常态化位居省宣排名首位。</w:t>
      </w:r>
    </w:p>
    <w:p>
      <w:pPr>
        <w:numPr>
          <w:ilvl w:val="0"/>
          <w:numId w:val="0"/>
        </w:numPr>
        <w:spacing w:line="560" w:lineRule="exact"/>
        <w:ind w:firstLine="640" w:firstLineChars="200"/>
        <w:rPr>
          <w:rFonts w:hint="eastAsia" w:ascii="仿宋_GB2312" w:hAnsi="仿宋_GB2312" w:eastAsia="仿宋_GB2312" w:cs="仿宋_GB2312"/>
          <w:sz w:val="32"/>
          <w:szCs w:val="40"/>
          <w:highlight w:val="none"/>
        </w:rPr>
      </w:pPr>
      <w:r>
        <w:rPr>
          <w:rFonts w:hint="eastAsia" w:ascii="仿宋_GB2312" w:hAnsi="仿宋_GB2312" w:eastAsia="仿宋_GB2312" w:cs="仿宋_GB2312"/>
          <w:sz w:val="32"/>
          <w:szCs w:val="40"/>
          <w:highlight w:val="none"/>
          <w:lang w:eastAsia="zh-CN"/>
        </w:rPr>
        <w:t>（</w:t>
      </w:r>
      <w:r>
        <w:rPr>
          <w:rFonts w:hint="eastAsia" w:ascii="仿宋_GB2312" w:hAnsi="仿宋_GB2312" w:eastAsia="仿宋_GB2312" w:cs="仿宋_GB2312"/>
          <w:sz w:val="32"/>
          <w:szCs w:val="40"/>
          <w:highlight w:val="none"/>
          <w:lang w:val="en-US" w:eastAsia="zh-CN"/>
        </w:rPr>
        <w:t>3）</w:t>
      </w:r>
      <w:r>
        <w:rPr>
          <w:rFonts w:hint="eastAsia" w:ascii="仿宋_GB2312" w:hAnsi="仿宋_GB2312" w:eastAsia="仿宋_GB2312" w:cs="仿宋_GB2312"/>
          <w:sz w:val="32"/>
          <w:szCs w:val="40"/>
          <w:highlight w:val="none"/>
        </w:rPr>
        <w:t>建设艺术城市宣传推广项目发展可持续性</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highlight w:val="none"/>
          <w:lang w:eastAsia="zh-CN"/>
        </w:rPr>
      </w:pPr>
      <w:r>
        <w:rPr>
          <w:rFonts w:hint="eastAsia" w:ascii="仿宋_GB2312" w:hAnsi="仿宋_GB2312" w:eastAsia="仿宋_GB2312" w:cs="仿宋_GB2312"/>
          <w:sz w:val="32"/>
          <w:szCs w:val="40"/>
          <w:highlight w:val="none"/>
          <w:lang w:eastAsia="zh-CN"/>
        </w:rPr>
        <w:t>中共青岛市委宣传部为</w:t>
      </w:r>
      <w:r>
        <w:rPr>
          <w:rFonts w:hint="eastAsia" w:ascii="仿宋_GB2312" w:hAnsi="仿宋_GB2312" w:eastAsia="仿宋_GB2312" w:cs="仿宋_GB2312"/>
          <w:sz w:val="32"/>
          <w:szCs w:val="40"/>
          <w:highlight w:val="none"/>
        </w:rPr>
        <w:t>“学习强国”青岛学习平台</w:t>
      </w:r>
      <w:r>
        <w:rPr>
          <w:rFonts w:hint="eastAsia" w:ascii="仿宋_GB2312" w:hAnsi="仿宋_GB2312" w:eastAsia="仿宋_GB2312" w:cs="仿宋_GB2312"/>
          <w:sz w:val="32"/>
          <w:szCs w:val="40"/>
          <w:highlight w:val="none"/>
          <w:lang w:eastAsia="zh-CN"/>
        </w:rPr>
        <w:t>运营制定了《“学习强国”青岛学习平台问题稿件处理方法及流程》、《“学习强国”青岛学习平台供稿审稿规范》、《“学习强国”青岛学习平台转发审稿规范》等制度；制定出台了《打造“青岛故事”宣传品牌工作实施方案》及《青岛市主流媒体所办新媒体生产传播效果评价激励实施办法》。依据美国友城长滩落地活动项目合作协议和韩国大邱友城文化交流项目合作协议，开展中美青年文化交流系列活动及中韩青少年交流项目。另外，邀请7家上合组织和共建“一带一路”国家的媒体来青岛进行采风采访。通过“走出去”与“请进来”相互结合，与相关国家和地区建立了较为稳定的文化交流合作渠道。</w:t>
      </w:r>
    </w:p>
    <w:p>
      <w:pPr>
        <w:spacing w:line="560" w:lineRule="exact"/>
        <w:ind w:firstLine="640" w:firstLineChars="200"/>
        <w:rPr>
          <w:rFonts w:hint="eastAsia" w:ascii="仿宋_GB2312" w:hAnsi="仿宋_GB2312" w:eastAsia="仿宋_GB2312" w:cs="仿宋_GB2312"/>
          <w:sz w:val="32"/>
          <w:szCs w:val="40"/>
          <w:highlight w:val="none"/>
        </w:rPr>
      </w:pPr>
      <w:r>
        <w:rPr>
          <w:rFonts w:hint="eastAsia" w:ascii="仿宋_GB2312" w:hAnsi="仿宋_GB2312" w:eastAsia="仿宋_GB2312" w:cs="仿宋_GB2312"/>
          <w:sz w:val="32"/>
          <w:szCs w:val="40"/>
          <w:highlight w:val="none"/>
        </w:rPr>
        <w:t>（</w:t>
      </w:r>
      <w:r>
        <w:rPr>
          <w:rFonts w:hint="eastAsia" w:ascii="仿宋_GB2312" w:hAnsi="仿宋_GB2312" w:eastAsia="仿宋_GB2312" w:cs="仿宋_GB2312"/>
          <w:sz w:val="32"/>
          <w:szCs w:val="40"/>
          <w:highlight w:val="none"/>
          <w:lang w:val="en-US" w:eastAsia="zh-CN"/>
        </w:rPr>
        <w:t>4</w:t>
      </w:r>
      <w:r>
        <w:rPr>
          <w:rFonts w:hint="eastAsia" w:ascii="仿宋_GB2312" w:hAnsi="仿宋_GB2312" w:eastAsia="仿宋_GB2312" w:cs="仿宋_GB2312"/>
          <w:sz w:val="32"/>
          <w:szCs w:val="40"/>
          <w:highlight w:val="none"/>
        </w:rPr>
        <w:t>）文艺活动群众满意度</w:t>
      </w:r>
    </w:p>
    <w:p>
      <w:pPr>
        <w:spacing w:line="56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40"/>
          <w:highlight w:val="none"/>
        </w:rPr>
        <w:t>依据调查问卷，文艺活动群众满意度91.71%。</w:t>
      </w:r>
    </w:p>
    <w:p>
      <w:pPr>
        <w:pStyle w:val="3"/>
        <w:widowControl w:val="0"/>
        <w:spacing w:before="0" w:after="0" w:line="560" w:lineRule="exact"/>
        <w:ind w:firstLine="640"/>
        <w:jc w:val="both"/>
        <w:rPr>
          <w:bCs w:val="0"/>
          <w:color w:val="auto"/>
          <w:kern w:val="2"/>
          <w:sz w:val="32"/>
          <w:szCs w:val="32"/>
          <w:highlight w:val="none"/>
          <w:lang w:val="en-US"/>
        </w:rPr>
      </w:pPr>
      <w:bookmarkStart w:id="11" w:name="_Toc15710"/>
      <w:r>
        <w:rPr>
          <w:rFonts w:hint="eastAsia"/>
          <w:bCs w:val="0"/>
          <w:color w:val="auto"/>
          <w:kern w:val="2"/>
          <w:sz w:val="32"/>
          <w:szCs w:val="32"/>
          <w:highlight w:val="none"/>
          <w:lang w:val="en-US" w:eastAsia="zh-CN"/>
        </w:rPr>
        <w:t>四</w:t>
      </w:r>
      <w:r>
        <w:rPr>
          <w:rFonts w:hint="eastAsia"/>
          <w:bCs w:val="0"/>
          <w:color w:val="auto"/>
          <w:kern w:val="2"/>
          <w:sz w:val="32"/>
          <w:szCs w:val="32"/>
          <w:highlight w:val="none"/>
          <w:lang w:val="en-US"/>
        </w:rPr>
        <w:t>、发现的问题及原因分析</w:t>
      </w:r>
      <w:bookmarkEnd w:id="11"/>
    </w:p>
    <w:p>
      <w:pPr>
        <w:pStyle w:val="4"/>
        <w:keepNext/>
        <w:keepLines/>
        <w:pageBreakBefore w:val="0"/>
        <w:widowControl w:val="0"/>
        <w:kinsoku/>
        <w:wordWrap/>
        <w:overflowPunct/>
        <w:topLinePunct w:val="0"/>
        <w:autoSpaceDE/>
        <w:autoSpaceDN/>
        <w:bidi w:val="0"/>
        <w:adjustRightInd/>
        <w:snapToGrid/>
        <w:spacing w:before="0" w:after="0" w:line="560" w:lineRule="exact"/>
        <w:jc w:val="both"/>
        <w:textAlignment w:val="auto"/>
        <w:rPr>
          <w:rFonts w:hint="eastAsia" w:ascii="Times New Roman" w:hAnsi="Times New Roman" w:eastAsia="楷体_GB2312" w:cs="Times New Roman"/>
          <w:bCs w:val="0"/>
          <w:color w:val="auto"/>
          <w:sz w:val="32"/>
          <w:szCs w:val="40"/>
          <w:highlight w:val="none"/>
          <w:lang w:val="en-US"/>
        </w:rPr>
      </w:pPr>
      <w:bookmarkStart w:id="12" w:name="_Toc27845"/>
      <w:r>
        <w:rPr>
          <w:rFonts w:hint="eastAsia" w:ascii="Times New Roman" w:hAnsi="Times New Roman" w:eastAsia="楷体_GB2312" w:cs="Times New Roman"/>
          <w:bCs w:val="0"/>
          <w:color w:val="auto"/>
          <w:sz w:val="32"/>
          <w:szCs w:val="40"/>
          <w:highlight w:val="none"/>
          <w:lang w:val="en-US"/>
        </w:rPr>
        <w:t>（一）部分服务类项目未履行</w:t>
      </w:r>
      <w:r>
        <w:rPr>
          <w:rFonts w:hint="eastAsia" w:eastAsia="楷体_GB2312" w:cs="Times New Roman"/>
          <w:bCs w:val="0"/>
          <w:color w:val="auto"/>
          <w:sz w:val="32"/>
          <w:szCs w:val="40"/>
          <w:highlight w:val="none"/>
          <w:lang w:val="en-US" w:eastAsia="zh-CN"/>
        </w:rPr>
        <w:t>政府</w:t>
      </w:r>
      <w:r>
        <w:rPr>
          <w:rFonts w:hint="eastAsia" w:ascii="Times New Roman" w:hAnsi="Times New Roman" w:eastAsia="楷体_GB2312" w:cs="Times New Roman"/>
          <w:bCs w:val="0"/>
          <w:color w:val="auto"/>
          <w:sz w:val="32"/>
          <w:szCs w:val="40"/>
          <w:highlight w:val="none"/>
          <w:lang w:val="en-US"/>
        </w:rPr>
        <w:t>采购程序</w:t>
      </w:r>
      <w:bookmarkEnd w:id="12"/>
    </w:p>
    <w:p>
      <w:pPr>
        <w:spacing w:line="560" w:lineRule="exact"/>
        <w:ind w:firstLine="640" w:firstLineChars="200"/>
        <w:rPr>
          <w:rFonts w:hint="eastAsia" w:ascii="仿宋_GB2312" w:hAnsi="仿宋_GB2312" w:eastAsia="仿宋_GB2312" w:cs="仿宋_GB2312"/>
          <w:sz w:val="32"/>
          <w:szCs w:val="40"/>
          <w:highlight w:val="none"/>
        </w:rPr>
      </w:pPr>
      <w:r>
        <w:rPr>
          <w:rFonts w:hint="eastAsia" w:ascii="仿宋_GB2312" w:hAnsi="仿宋_GB2312" w:eastAsia="仿宋_GB2312" w:cs="仿宋_GB2312"/>
          <w:sz w:val="32"/>
          <w:szCs w:val="40"/>
          <w:highlight w:val="none"/>
        </w:rPr>
        <w:t>2025年中共青岛市委宣传部与青岛演艺集团签订《合作协议书》，合同金额99.8万元</w:t>
      </w:r>
      <w:r>
        <w:rPr>
          <w:rFonts w:hint="eastAsia" w:ascii="仿宋_GB2312" w:hAnsi="仿宋_GB2312" w:eastAsia="仿宋_GB2312" w:cs="仿宋_GB2312"/>
          <w:sz w:val="32"/>
          <w:szCs w:val="40"/>
          <w:highlight w:val="none"/>
          <w:lang w:eastAsia="zh-CN"/>
        </w:rPr>
        <w:t>。</w:t>
      </w:r>
      <w:r>
        <w:rPr>
          <w:rFonts w:hint="eastAsia" w:ascii="仿宋_GB2312" w:hAnsi="仿宋_GB2312" w:eastAsia="仿宋_GB2312" w:cs="仿宋_GB2312"/>
          <w:sz w:val="32"/>
          <w:szCs w:val="40"/>
          <w:highlight w:val="none"/>
          <w:lang w:val="en-US" w:eastAsia="zh-CN"/>
        </w:rPr>
        <w:t>其中2025青岛市</w:t>
      </w:r>
      <w:r>
        <w:rPr>
          <w:rFonts w:hint="eastAsia" w:ascii="仿宋_GB2312" w:hAnsi="仿宋_GB2312" w:eastAsia="仿宋_GB2312" w:cs="仿宋_GB2312"/>
          <w:sz w:val="32"/>
          <w:szCs w:val="40"/>
          <w:highlight w:val="none"/>
        </w:rPr>
        <w:t>高雅艺术进历史城区艺术季</w:t>
      </w:r>
      <w:r>
        <w:rPr>
          <w:rFonts w:hint="eastAsia" w:ascii="仿宋_GB2312" w:hAnsi="仿宋_GB2312" w:eastAsia="仿宋_GB2312" w:cs="仿宋_GB2312"/>
          <w:sz w:val="32"/>
          <w:szCs w:val="40"/>
          <w:highlight w:val="none"/>
          <w:lang w:val="en-US" w:eastAsia="zh-CN"/>
        </w:rPr>
        <w:t>和</w:t>
      </w:r>
      <w:r>
        <w:rPr>
          <w:rFonts w:hint="eastAsia" w:ascii="仿宋_GB2312" w:hAnsi="仿宋_GB2312" w:eastAsia="仿宋_GB2312" w:cs="仿宋_GB2312"/>
          <w:sz w:val="32"/>
          <w:szCs w:val="40"/>
          <w:highlight w:val="none"/>
        </w:rPr>
        <w:t>高雅艺术进校园</w:t>
      </w:r>
      <w:r>
        <w:rPr>
          <w:rFonts w:hint="eastAsia" w:ascii="仿宋_GB2312" w:hAnsi="仿宋_GB2312" w:eastAsia="仿宋_GB2312" w:cs="仿宋_GB2312"/>
          <w:sz w:val="32"/>
          <w:szCs w:val="40"/>
          <w:highlight w:val="none"/>
          <w:lang w:val="en-US" w:eastAsia="zh-CN"/>
        </w:rPr>
        <w:t>活动</w:t>
      </w:r>
      <w:r>
        <w:rPr>
          <w:rFonts w:hint="eastAsia" w:ascii="仿宋_GB2312" w:hAnsi="仿宋_GB2312" w:eastAsia="仿宋_GB2312" w:cs="仿宋_GB2312"/>
          <w:sz w:val="32"/>
          <w:szCs w:val="40"/>
          <w:highlight w:val="none"/>
        </w:rPr>
        <w:t>，</w:t>
      </w:r>
      <w:r>
        <w:rPr>
          <w:rFonts w:hint="eastAsia" w:ascii="仿宋_GB2312" w:hAnsi="仿宋_GB2312" w:eastAsia="仿宋_GB2312" w:cs="仿宋_GB2312"/>
          <w:sz w:val="32"/>
          <w:szCs w:val="40"/>
          <w:highlight w:val="none"/>
          <w:lang w:val="en-US" w:eastAsia="zh-CN"/>
        </w:rPr>
        <w:t>共涉及</w:t>
      </w:r>
      <w:r>
        <w:rPr>
          <w:rFonts w:hint="eastAsia" w:ascii="仿宋_GB2312" w:hAnsi="仿宋_GB2312" w:eastAsia="仿宋_GB2312" w:cs="仿宋_GB2312"/>
          <w:sz w:val="32"/>
          <w:szCs w:val="40"/>
          <w:highlight w:val="none"/>
        </w:rPr>
        <w:t>金额90万</w:t>
      </w:r>
      <w:r>
        <w:rPr>
          <w:rFonts w:hint="eastAsia" w:ascii="仿宋_GB2312" w:hAnsi="仿宋_GB2312" w:eastAsia="仿宋_GB2312" w:cs="仿宋_GB2312"/>
          <w:sz w:val="32"/>
          <w:szCs w:val="40"/>
          <w:highlight w:val="none"/>
          <w:lang w:val="en-US" w:eastAsia="zh-CN"/>
        </w:rPr>
        <w:t>元</w:t>
      </w:r>
      <w:r>
        <w:rPr>
          <w:rFonts w:hint="eastAsia" w:ascii="仿宋_GB2312" w:hAnsi="仿宋_GB2312" w:eastAsia="仿宋_GB2312" w:cs="仿宋_GB2312"/>
          <w:sz w:val="32"/>
          <w:szCs w:val="40"/>
          <w:highlight w:val="none"/>
        </w:rPr>
        <w:t>，未履行竞争性磋商、竞争性谈判等</w:t>
      </w:r>
      <w:r>
        <w:rPr>
          <w:rFonts w:hint="eastAsia" w:ascii="仿宋_GB2312" w:hAnsi="仿宋_GB2312" w:eastAsia="仿宋_GB2312" w:cs="仿宋_GB2312"/>
          <w:sz w:val="32"/>
          <w:szCs w:val="40"/>
          <w:highlight w:val="none"/>
          <w:lang w:val="en-US" w:eastAsia="zh-CN"/>
        </w:rPr>
        <w:t>政府</w:t>
      </w:r>
      <w:r>
        <w:rPr>
          <w:rFonts w:hint="eastAsia" w:ascii="仿宋_GB2312" w:hAnsi="仿宋_GB2312" w:eastAsia="仿宋_GB2312" w:cs="仿宋_GB2312"/>
          <w:sz w:val="32"/>
          <w:szCs w:val="40"/>
          <w:highlight w:val="none"/>
        </w:rPr>
        <w:t>采购程序。</w:t>
      </w:r>
    </w:p>
    <w:p>
      <w:pPr>
        <w:spacing w:line="560" w:lineRule="exact"/>
        <w:ind w:firstLine="640" w:firstLineChars="200"/>
        <w:rPr>
          <w:rFonts w:hint="eastAsia" w:ascii="仿宋_GB2312" w:hAnsi="仿宋_GB2312" w:eastAsia="仿宋_GB2312" w:cs="仿宋_GB2312"/>
          <w:sz w:val="32"/>
          <w:szCs w:val="40"/>
          <w:highlight w:val="none"/>
        </w:rPr>
      </w:pPr>
      <w:r>
        <w:rPr>
          <w:rFonts w:hint="eastAsia" w:ascii="仿宋_GB2312" w:hAnsi="仿宋_GB2312" w:eastAsia="仿宋_GB2312" w:cs="仿宋_GB2312"/>
          <w:sz w:val="32"/>
          <w:szCs w:val="40"/>
          <w:highlight w:val="none"/>
        </w:rPr>
        <w:t>依据《青岛市财政局关于印发青岛市政府集中采购目录及标准（2025年版）的通知》（青财采〔2024〕11号）规定，“政府集中采购目录以外单项或批量采购金额（同一二级品目年度累计）达到分散采购限额标准的项目，依法实行分散采购......全市分散采购限额标准为货物、服务项目50万元、工程项目60万元。”“对于不具有竞争性或情况特殊的下列政府采购项目，采购人应遵循行政事业单位内部控制规范的要求，成立采购小组，在主管预算单位的监督下实施采购活动……（一）特定媒体广告公告（仅指发布，不含制作）……”</w:t>
      </w:r>
      <w:r>
        <w:rPr>
          <w:rFonts w:hint="eastAsia" w:ascii="仿宋_GB2312" w:hAnsi="仿宋_GB2312" w:eastAsia="仿宋_GB2312" w:cs="仿宋_GB2312"/>
          <w:sz w:val="32"/>
          <w:szCs w:val="40"/>
          <w:highlight w:val="none"/>
          <w:lang w:eastAsia="zh-CN"/>
        </w:rPr>
        <w:t>。</w:t>
      </w:r>
      <w:r>
        <w:rPr>
          <w:rFonts w:hint="eastAsia" w:ascii="仿宋_GB2312" w:hAnsi="仿宋_GB2312" w:eastAsia="仿宋_GB2312" w:cs="仿宋_GB2312"/>
          <w:sz w:val="32"/>
          <w:szCs w:val="40"/>
          <w:highlight w:val="none"/>
        </w:rPr>
        <w:t>本次艺术展演属于综合文化服务，不在文件列明的豁免招标特殊项目范围内，不适用简化内部采购流程。项目金额90万元，已超过服务项目50万元的分散采购限额标准，应依法实行分散采购。</w:t>
      </w:r>
    </w:p>
    <w:p>
      <w:pPr>
        <w:pStyle w:val="4"/>
        <w:widowControl w:val="0"/>
        <w:spacing w:before="0" w:after="0"/>
        <w:jc w:val="both"/>
        <w:rPr>
          <w:rFonts w:hint="eastAsia" w:ascii="Times New Roman" w:hAnsi="Times New Roman" w:eastAsia="楷体_GB2312" w:cs="Times New Roman"/>
          <w:bCs w:val="0"/>
          <w:color w:val="auto"/>
          <w:sz w:val="32"/>
          <w:szCs w:val="40"/>
          <w:highlight w:val="none"/>
          <w:lang w:val="en-US"/>
        </w:rPr>
      </w:pPr>
      <w:bookmarkStart w:id="13" w:name="_Toc14361"/>
      <w:r>
        <w:rPr>
          <w:rFonts w:hint="eastAsia" w:ascii="Times New Roman" w:hAnsi="Times New Roman" w:eastAsia="楷体_GB2312" w:cs="Times New Roman"/>
          <w:bCs w:val="0"/>
          <w:color w:val="auto"/>
          <w:sz w:val="32"/>
          <w:szCs w:val="40"/>
          <w:highlight w:val="none"/>
          <w:lang w:val="en-US"/>
        </w:rPr>
        <w:t>（二）合同管理与资金支付衔接的规范性有待加强</w:t>
      </w:r>
      <w:bookmarkEnd w:id="13"/>
    </w:p>
    <w:p>
      <w:pPr>
        <w:spacing w:line="560" w:lineRule="exact"/>
        <w:ind w:firstLine="643" w:firstLineChars="200"/>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一是合同签订日期晚于发票开具日期及付款日期。</w:t>
      </w:r>
      <w:r>
        <w:rPr>
          <w:rFonts w:hint="eastAsia" w:ascii="仿宋_GB2312" w:hAnsi="仿宋_GB2312" w:eastAsia="仿宋_GB2312" w:cs="仿宋_GB2312"/>
          <w:sz w:val="32"/>
          <w:szCs w:val="32"/>
          <w:highlight w:val="none"/>
        </w:rPr>
        <w:t>与山东广播电视台签订的《山东广播电视台融媒体资讯中心合作协议》，合同签订日期2026年1月1日，发票开具日期为2025年12月19日，付款日期为2025年12月22日</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与青岛出版社有限公司签订的《合作协议书》，合同签订日期2025年12月15日，发票开具日期为2025年12月12日，付款日期为2025年12月13日。根据中共青岛市委宣传部《财务工作管理规定》第四条第（六）项“按照经费审批意见和合同约定，配合业务处室办理资金支付业务”的规定，上述两笔付款发生时相关合同尚未签订成立，执行不够规范。</w:t>
      </w:r>
    </w:p>
    <w:p>
      <w:pPr>
        <w:pStyle w:val="2"/>
        <w:spacing w:line="560" w:lineRule="exact"/>
        <w:ind w:firstLine="643"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二是部分</w:t>
      </w:r>
      <w:r>
        <w:rPr>
          <w:rFonts w:hint="eastAsia" w:ascii="仿宋_GB2312" w:hAnsi="仿宋_GB2312" w:eastAsia="仿宋_GB2312" w:cs="仿宋_GB2312"/>
          <w:b/>
          <w:bCs/>
          <w:color w:val="auto"/>
          <w:sz w:val="32"/>
          <w:szCs w:val="32"/>
          <w:highlight w:val="none"/>
        </w:rPr>
        <w:t>合同款项支付方式与履约进度关联性不强。</w:t>
      </w:r>
      <w:r>
        <w:rPr>
          <w:rFonts w:hint="eastAsia" w:ascii="仿宋_GB2312" w:hAnsi="仿宋_GB2312" w:eastAsia="仿宋_GB2312" w:cs="仿宋_GB2312"/>
          <w:color w:val="auto"/>
          <w:sz w:val="32"/>
          <w:szCs w:val="32"/>
          <w:highlight w:val="none"/>
          <w:lang w:val="en-US" w:eastAsia="zh-CN"/>
        </w:rPr>
        <w:t>2025年建设艺术城市宣传推广项目共涉及14个合同，其中8个合同采用一次性全额预付模式，未设置预付款、进度款、验收尾款等分期支付节点。以市委宣传部与中新凯悦传媒集团有限公司签订的宣传合作协议为例，合同约定“甲方收到乙方开具的增值税发票10个工作日内，支付乙方合作费用”。即付款触发条件为收到发票，未与服务交付、阶段性成果验收等履约节点挂钩</w:t>
      </w:r>
      <w:r>
        <w:rPr>
          <w:rFonts w:hint="eastAsia" w:ascii="仿宋_GB2312" w:hAnsi="仿宋_GB2312" w:eastAsia="仿宋_GB2312" w:cs="仿宋_GB2312"/>
          <w:color w:val="auto"/>
          <w:sz w:val="32"/>
          <w:szCs w:val="32"/>
          <w:highlight w:val="none"/>
        </w:rPr>
        <w:t>。</w:t>
      </w:r>
    </w:p>
    <w:p>
      <w:pPr>
        <w:pStyle w:val="2"/>
        <w:spacing w:line="560" w:lineRule="exact"/>
        <w:ind w:firstLine="643" w:firstLineChars="200"/>
        <w:jc w:val="both"/>
        <w:rPr>
          <w:rFonts w:hint="default" w:ascii="仿宋_GB2312" w:hAnsi="仿宋_GB2312" w:eastAsia="仿宋_GB2312" w:cs="仿宋_GB2312"/>
          <w:color w:val="auto"/>
          <w:kern w:val="2"/>
          <w:sz w:val="32"/>
          <w:szCs w:val="32"/>
          <w:highlight w:val="none"/>
          <w:lang w:val="en-US" w:eastAsia="zh-CN"/>
        </w:rPr>
      </w:pPr>
      <w:r>
        <w:rPr>
          <w:rFonts w:hint="eastAsia" w:ascii="仿宋_GB2312" w:hAnsi="仿宋_GB2312" w:eastAsia="仿宋_GB2312" w:cs="仿宋_GB2312"/>
          <w:b/>
          <w:bCs/>
          <w:color w:val="auto"/>
          <w:kern w:val="2"/>
          <w:sz w:val="32"/>
          <w:szCs w:val="32"/>
          <w:highlight w:val="none"/>
          <w:lang w:val="en-US" w:eastAsia="zh-CN"/>
        </w:rPr>
        <w:t>三是</w:t>
      </w:r>
      <w:r>
        <w:rPr>
          <w:rFonts w:hint="eastAsia" w:ascii="仿宋_GB2312" w:hAnsi="仿宋_GB2312" w:eastAsia="仿宋_GB2312" w:cs="仿宋_GB2312"/>
          <w:b/>
          <w:bCs/>
          <w:color w:val="auto"/>
          <w:kern w:val="2"/>
          <w:sz w:val="32"/>
          <w:szCs w:val="32"/>
          <w:highlight w:val="none"/>
        </w:rPr>
        <w:t>合同履约</w:t>
      </w:r>
      <w:r>
        <w:rPr>
          <w:rFonts w:hint="eastAsia" w:ascii="仿宋_GB2312" w:hAnsi="仿宋_GB2312" w:eastAsia="仿宋_GB2312" w:cs="仿宋_GB2312"/>
          <w:b/>
          <w:bCs/>
          <w:color w:val="auto"/>
          <w:kern w:val="2"/>
          <w:sz w:val="32"/>
          <w:szCs w:val="32"/>
          <w:highlight w:val="none"/>
          <w:lang w:val="en-US" w:eastAsia="zh-CN"/>
        </w:rPr>
        <w:t>效果</w:t>
      </w:r>
      <w:r>
        <w:rPr>
          <w:rFonts w:hint="eastAsia" w:ascii="仿宋_GB2312" w:hAnsi="仿宋_GB2312" w:eastAsia="仿宋_GB2312" w:cs="仿宋_GB2312"/>
          <w:b/>
          <w:bCs/>
          <w:color w:val="auto"/>
          <w:kern w:val="2"/>
          <w:sz w:val="32"/>
          <w:szCs w:val="32"/>
          <w:highlight w:val="none"/>
        </w:rPr>
        <w:t>缺乏可量化衡量标准</w:t>
      </w:r>
      <w:r>
        <w:rPr>
          <w:rFonts w:hint="eastAsia" w:ascii="仿宋_GB2312" w:hAnsi="仿宋_GB2312" w:eastAsia="仿宋_GB2312" w:cs="仿宋_GB2312"/>
          <w:b/>
          <w:bCs/>
          <w:color w:val="auto"/>
          <w:kern w:val="2"/>
          <w:sz w:val="32"/>
          <w:szCs w:val="32"/>
          <w:highlight w:val="none"/>
          <w:lang w:eastAsia="zh-CN"/>
        </w:rPr>
        <w:t>。</w:t>
      </w:r>
      <w:r>
        <w:rPr>
          <w:rFonts w:hint="eastAsia" w:ascii="仿宋_GB2312" w:hAnsi="仿宋_GB2312" w:eastAsia="仿宋_GB2312" w:cs="仿宋_GB2312"/>
          <w:color w:val="auto"/>
          <w:kern w:val="2"/>
          <w:sz w:val="32"/>
          <w:szCs w:val="32"/>
          <w:highlight w:val="none"/>
        </w:rPr>
        <w:t>部分重大宣传活动合同仅约定了活动的执行内容（</w:t>
      </w:r>
      <w:r>
        <w:rPr>
          <w:rFonts w:hint="eastAsia" w:ascii="仿宋_GB2312" w:hAnsi="仿宋_GB2312" w:eastAsia="仿宋_GB2312" w:cs="仿宋_GB2312"/>
          <w:color w:val="auto"/>
          <w:kern w:val="2"/>
          <w:sz w:val="32"/>
          <w:szCs w:val="32"/>
          <w:highlight w:val="none"/>
          <w:lang w:val="en-US" w:eastAsia="zh-CN"/>
        </w:rPr>
        <w:t>如</w:t>
      </w:r>
      <w:r>
        <w:rPr>
          <w:rFonts w:hint="eastAsia" w:ascii="仿宋_GB2312" w:hAnsi="仿宋_GB2312" w:eastAsia="仿宋_GB2312" w:cs="仿宋_GB2312"/>
          <w:color w:val="auto"/>
          <w:kern w:val="2"/>
          <w:sz w:val="32"/>
          <w:szCs w:val="32"/>
          <w:highlight w:val="none"/>
        </w:rPr>
        <w:t>播出、发布、报道等），但未将宣传效果的量化指标（</w:t>
      </w:r>
      <w:r>
        <w:rPr>
          <w:rFonts w:hint="eastAsia" w:ascii="仿宋_GB2312" w:hAnsi="仿宋_GB2312" w:eastAsia="仿宋_GB2312" w:cs="仿宋_GB2312"/>
          <w:color w:val="auto"/>
          <w:kern w:val="2"/>
          <w:sz w:val="32"/>
          <w:szCs w:val="32"/>
          <w:highlight w:val="none"/>
          <w:lang w:val="en-US" w:eastAsia="zh-CN"/>
        </w:rPr>
        <w:t>如</w:t>
      </w:r>
      <w:r>
        <w:rPr>
          <w:rFonts w:hint="eastAsia" w:ascii="仿宋_GB2312" w:hAnsi="仿宋_GB2312" w:eastAsia="仿宋_GB2312" w:cs="仿宋_GB2312"/>
          <w:color w:val="auto"/>
          <w:kern w:val="2"/>
          <w:sz w:val="32"/>
          <w:szCs w:val="32"/>
          <w:highlight w:val="none"/>
        </w:rPr>
        <w:t>点击量、阅读量、浏览量等）纳入合同约束范围。</w:t>
      </w:r>
      <w:r>
        <w:rPr>
          <w:rFonts w:hint="eastAsia" w:ascii="仿宋_GB2312" w:hAnsi="仿宋_GB2312" w:eastAsia="仿宋_GB2312" w:cs="仿宋_GB2312"/>
          <w:color w:val="auto"/>
          <w:kern w:val="2"/>
          <w:sz w:val="32"/>
          <w:szCs w:val="32"/>
          <w:highlight w:val="none"/>
          <w:lang w:val="en-US" w:eastAsia="zh-CN"/>
        </w:rPr>
        <w:t>以“青岛—欧洲旅游名城对话活动”为例，市委宣传部与青岛市广播电视台的协议要求制作不少于12条短视频并投放海外媒体，但未设定传播效果指标，项目完成后无法衡量宣传效果。</w:t>
      </w:r>
    </w:p>
    <w:p>
      <w:pPr>
        <w:pStyle w:val="4"/>
        <w:widowControl w:val="0"/>
        <w:spacing w:before="0" w:after="0"/>
        <w:jc w:val="both"/>
        <w:rPr>
          <w:rFonts w:hint="eastAsia" w:ascii="Times New Roman" w:hAnsi="Times New Roman" w:eastAsia="楷体_GB2312" w:cs="Times New Roman"/>
          <w:bCs w:val="0"/>
          <w:color w:val="auto"/>
          <w:sz w:val="32"/>
          <w:szCs w:val="40"/>
          <w:highlight w:val="none"/>
          <w:lang w:val="en-US"/>
        </w:rPr>
      </w:pPr>
      <w:bookmarkStart w:id="14" w:name="_Toc31672"/>
      <w:r>
        <w:rPr>
          <w:rFonts w:hint="eastAsia" w:ascii="Times New Roman" w:hAnsi="Times New Roman" w:eastAsia="楷体_GB2312" w:cs="Times New Roman"/>
          <w:bCs w:val="0"/>
          <w:color w:val="auto"/>
          <w:sz w:val="32"/>
          <w:szCs w:val="40"/>
          <w:highlight w:val="none"/>
          <w:lang w:val="en-US"/>
        </w:rPr>
        <w:t>（</w:t>
      </w:r>
      <w:r>
        <w:rPr>
          <w:rFonts w:hint="eastAsia" w:eastAsia="楷体_GB2312" w:cs="Times New Roman"/>
          <w:bCs w:val="0"/>
          <w:color w:val="auto"/>
          <w:sz w:val="32"/>
          <w:szCs w:val="40"/>
          <w:highlight w:val="none"/>
          <w:lang w:val="en-US" w:eastAsia="zh-CN"/>
        </w:rPr>
        <w:t>三</w:t>
      </w:r>
      <w:r>
        <w:rPr>
          <w:rFonts w:hint="eastAsia" w:ascii="Times New Roman" w:hAnsi="Times New Roman" w:eastAsia="楷体_GB2312" w:cs="Times New Roman"/>
          <w:bCs w:val="0"/>
          <w:color w:val="auto"/>
          <w:sz w:val="32"/>
          <w:szCs w:val="40"/>
          <w:highlight w:val="none"/>
          <w:lang w:val="en-US"/>
        </w:rPr>
        <w:t>）部分产出和效益指标的实际完成值与预期目标存在偏差</w:t>
      </w:r>
      <w:bookmarkEnd w:id="14"/>
    </w:p>
    <w:p>
      <w:pPr>
        <w:spacing w:line="560" w:lineRule="exact"/>
        <w:ind w:firstLine="643" w:firstLineChars="200"/>
        <w:rPr>
          <w:rFonts w:hint="eastAsia" w:ascii="仿宋_GB2312" w:hAnsi="仿宋_GB2312" w:eastAsia="仿宋_GB2312" w:cs="仿宋_GB2312"/>
          <w:color w:val="auto"/>
          <w:sz w:val="32"/>
          <w:szCs w:val="40"/>
          <w:highlight w:val="none"/>
          <w:lang w:val="en-US" w:eastAsia="zh-CN"/>
        </w:rPr>
      </w:pPr>
      <w:r>
        <w:rPr>
          <w:rFonts w:hint="eastAsia" w:ascii="仿宋_GB2312" w:hAnsi="仿宋_GB2312" w:eastAsia="仿宋_GB2312" w:cs="仿宋_GB2312"/>
          <w:b/>
          <w:bCs/>
          <w:color w:val="auto"/>
          <w:sz w:val="32"/>
          <w:szCs w:val="40"/>
          <w:highlight w:val="none"/>
          <w:lang w:val="en-US" w:eastAsia="zh-CN"/>
        </w:rPr>
        <w:t>一是个别产出数量指标未足额完成。</w:t>
      </w:r>
      <w:r>
        <w:rPr>
          <w:rFonts w:hint="eastAsia" w:ascii="仿宋_GB2312" w:hAnsi="仿宋_GB2312" w:eastAsia="仿宋_GB2312" w:cs="仿宋_GB2312"/>
          <w:color w:val="auto"/>
          <w:sz w:val="32"/>
          <w:szCs w:val="40"/>
          <w:highlight w:val="none"/>
          <w:lang w:val="en-US" w:eastAsia="zh-CN"/>
        </w:rPr>
        <w:t>与青岛演艺集团有限公司签订的合作协议约定举办高雅艺术进历史城区艺术季活动60场次，依据市委宣传部提供的活动链接及活动现场照片，实际涉及高雅艺术进历史城区艺术季活动59场次。此外，与青岛出版社有限公司签订的合作协议约定出版《青岛》中型画册2000册，合作期限为2025年12月15日至2026年6月30日。外宣画册《青岛》于2026年7月初正式定稿，超出合同约定合作期限。截至评价日，项目尚未完成验收。</w:t>
      </w:r>
    </w:p>
    <w:p>
      <w:pPr>
        <w:spacing w:line="560" w:lineRule="exact"/>
        <w:ind w:firstLine="643" w:firstLineChars="200"/>
        <w:rPr>
          <w:rFonts w:hint="eastAsia" w:ascii="仿宋_GB2312" w:hAnsi="仿宋_GB2312" w:eastAsia="仿宋_GB2312" w:cs="仿宋_GB2312"/>
          <w:color w:val="auto"/>
          <w:sz w:val="32"/>
          <w:szCs w:val="40"/>
          <w:highlight w:val="none"/>
          <w:lang w:val="en-US" w:eastAsia="zh-CN"/>
        </w:rPr>
      </w:pPr>
      <w:r>
        <w:rPr>
          <w:rFonts w:hint="eastAsia" w:ascii="仿宋_GB2312" w:hAnsi="仿宋_GB2312" w:eastAsia="仿宋_GB2312" w:cs="仿宋_GB2312"/>
          <w:b/>
          <w:bCs/>
          <w:color w:val="auto"/>
          <w:sz w:val="32"/>
          <w:szCs w:val="40"/>
          <w:highlight w:val="none"/>
          <w:lang w:val="en-US" w:eastAsia="zh-CN"/>
        </w:rPr>
        <w:t>二是部分项目产出质量与合同约定存在偏差</w:t>
      </w:r>
      <w:r>
        <w:rPr>
          <w:rFonts w:hint="eastAsia" w:ascii="仿宋_GB2312" w:hAnsi="仿宋_GB2312" w:eastAsia="仿宋_GB2312" w:cs="仿宋_GB2312"/>
          <w:color w:val="auto"/>
          <w:sz w:val="32"/>
          <w:szCs w:val="40"/>
          <w:highlight w:val="none"/>
          <w:lang w:val="en-US" w:eastAsia="zh-CN"/>
        </w:rPr>
        <w:t>。外宣短视频制作推广合同约定，视频内容在海外社交媒体平台进行全网发布，同时在央视频、今日头条、抖音、微博、B站等国内平台同步推送，形成内外宣联动传播声势。经核查，实际完成的50条优质短视频中，有8条未按合同约定同步在国内平台推送传播，部分海外拍摄成果未实现国内传播效果转化。此外，与山东广播电视台签订的《山东广播电视台融媒体资讯中心合作协议》约定，在抖音和微博平台为城市发展热点开设阅读量超过500万的大流量话题15个。经核查，实际开设阅读量超过500万的话题13个，超过200万的话题2个，与合同约定目标存在差距。</w:t>
      </w:r>
    </w:p>
    <w:p>
      <w:pPr>
        <w:spacing w:line="560" w:lineRule="exact"/>
        <w:ind w:firstLine="643" w:firstLineChars="200"/>
        <w:rPr>
          <w:rFonts w:hint="eastAsia" w:ascii="仿宋_GB2312" w:hAnsi="仿宋_GB2312" w:eastAsia="仿宋_GB2312" w:cs="仿宋_GB2312"/>
          <w:color w:val="auto"/>
          <w:sz w:val="32"/>
          <w:szCs w:val="40"/>
          <w:highlight w:val="none"/>
        </w:rPr>
      </w:pPr>
      <w:r>
        <w:rPr>
          <w:rFonts w:hint="eastAsia" w:ascii="仿宋_GB2312" w:hAnsi="仿宋_GB2312" w:eastAsia="仿宋_GB2312" w:cs="仿宋_GB2312"/>
          <w:b/>
          <w:bCs/>
          <w:color w:val="auto"/>
          <w:sz w:val="32"/>
          <w:szCs w:val="40"/>
          <w:highlight w:val="none"/>
          <w:lang w:val="en-US" w:eastAsia="zh-CN"/>
        </w:rPr>
        <w:t>三是部分效益指标佐证材料缺失。</w:t>
      </w:r>
      <w:r>
        <w:rPr>
          <w:rFonts w:hint="eastAsia" w:ascii="仿宋_GB2312" w:hAnsi="仿宋_GB2312" w:eastAsia="仿宋_GB2312" w:cs="仿宋_GB2312"/>
          <w:b w:val="0"/>
          <w:bCs w:val="0"/>
          <w:color w:val="auto"/>
          <w:sz w:val="32"/>
          <w:szCs w:val="40"/>
          <w:highlight w:val="none"/>
          <w:lang w:val="en-US" w:eastAsia="zh-CN"/>
        </w:rPr>
        <w:t>2025青岛市中秋晚会制作宣传</w:t>
      </w:r>
      <w:r>
        <w:rPr>
          <w:rFonts w:hint="eastAsia" w:ascii="仿宋_GB2312" w:hAnsi="仿宋_GB2312" w:eastAsia="仿宋_GB2312" w:cs="仿宋_GB2312"/>
          <w:color w:val="auto"/>
          <w:sz w:val="32"/>
          <w:szCs w:val="40"/>
          <w:highlight w:val="none"/>
        </w:rPr>
        <w:t>“跟着秋晚游青岛”“来青岛共赏一轮明月”等主题系列短视频，但项目验收时未将全网阅读量对应的后台截图、统计报表等原始佐证材料归档，</w:t>
      </w:r>
      <w:r>
        <w:rPr>
          <w:rFonts w:hint="eastAsia" w:ascii="仿宋_GB2312" w:hAnsi="仿宋_GB2312" w:eastAsia="仿宋_GB2312" w:cs="仿宋_GB2312"/>
          <w:color w:val="auto"/>
          <w:sz w:val="32"/>
          <w:szCs w:val="40"/>
          <w:highlight w:val="none"/>
          <w:lang w:val="en-US" w:eastAsia="zh-CN"/>
        </w:rPr>
        <w:t>后</w:t>
      </w:r>
      <w:r>
        <w:rPr>
          <w:rFonts w:hint="eastAsia" w:ascii="仿宋_GB2312" w:hAnsi="仿宋_GB2312" w:eastAsia="仿宋_GB2312" w:cs="仿宋_GB2312"/>
          <w:color w:val="auto"/>
          <w:sz w:val="32"/>
          <w:szCs w:val="40"/>
          <w:highlight w:val="none"/>
        </w:rPr>
        <w:t>因相关报道下架、后台数据无法追溯，无法核实</w:t>
      </w:r>
      <w:r>
        <w:rPr>
          <w:rFonts w:hint="eastAsia" w:ascii="仿宋_GB2312" w:hAnsi="仿宋_GB2312" w:eastAsia="仿宋_GB2312" w:cs="仿宋_GB2312"/>
          <w:color w:val="auto"/>
          <w:sz w:val="32"/>
          <w:szCs w:val="40"/>
          <w:highlight w:val="none"/>
          <w:lang w:val="en-US" w:eastAsia="zh-CN"/>
        </w:rPr>
        <w:t>实际效果</w:t>
      </w:r>
      <w:r>
        <w:rPr>
          <w:rFonts w:hint="eastAsia" w:ascii="仿宋_GB2312" w:hAnsi="仿宋_GB2312" w:eastAsia="仿宋_GB2312" w:cs="仿宋_GB2312"/>
          <w:color w:val="auto"/>
          <w:sz w:val="32"/>
          <w:szCs w:val="40"/>
          <w:highlight w:val="none"/>
        </w:rPr>
        <w:t>。</w:t>
      </w:r>
    </w:p>
    <w:p>
      <w:pPr>
        <w:pStyle w:val="3"/>
        <w:keepNext w:val="0"/>
        <w:keepLines w:val="0"/>
        <w:pageBreakBefore w:val="0"/>
        <w:widowControl w:val="0"/>
        <w:kinsoku/>
        <w:wordWrap/>
        <w:overflowPunct/>
        <w:topLinePunct w:val="0"/>
        <w:autoSpaceDE/>
        <w:autoSpaceDN/>
        <w:bidi w:val="0"/>
        <w:adjustRightInd/>
        <w:snapToGrid/>
        <w:spacing w:before="0" w:after="0" w:line="560" w:lineRule="exact"/>
        <w:ind w:left="0" w:leftChars="0" w:firstLine="640" w:firstLineChars="200"/>
        <w:jc w:val="both"/>
        <w:textAlignment w:val="auto"/>
        <w:rPr>
          <w:bCs w:val="0"/>
          <w:color w:val="auto"/>
          <w:kern w:val="2"/>
          <w:sz w:val="32"/>
          <w:szCs w:val="32"/>
          <w:highlight w:val="none"/>
          <w:lang w:val="en-US"/>
        </w:rPr>
      </w:pPr>
      <w:bookmarkStart w:id="15" w:name="_Toc26999"/>
      <w:r>
        <w:rPr>
          <w:rFonts w:hint="eastAsia"/>
          <w:bCs w:val="0"/>
          <w:color w:val="auto"/>
          <w:kern w:val="2"/>
          <w:sz w:val="32"/>
          <w:szCs w:val="32"/>
          <w:highlight w:val="none"/>
          <w:lang w:val="en-US" w:eastAsia="zh-CN"/>
        </w:rPr>
        <w:t>五</w:t>
      </w:r>
      <w:r>
        <w:rPr>
          <w:rFonts w:hint="eastAsia"/>
          <w:bCs w:val="0"/>
          <w:color w:val="auto"/>
          <w:kern w:val="2"/>
          <w:sz w:val="32"/>
          <w:szCs w:val="32"/>
          <w:highlight w:val="none"/>
          <w:lang w:val="en-US"/>
        </w:rPr>
        <w:t>、相关建议</w:t>
      </w:r>
      <w:bookmarkEnd w:id="15"/>
    </w:p>
    <w:p>
      <w:pPr>
        <w:pStyle w:val="4"/>
        <w:keepNext w:val="0"/>
        <w:keepLines w:val="0"/>
        <w:pageBreakBefore w:val="0"/>
        <w:widowControl/>
        <w:kinsoku/>
        <w:wordWrap/>
        <w:overflowPunct/>
        <w:topLinePunct w:val="0"/>
        <w:autoSpaceDE/>
        <w:autoSpaceDN/>
        <w:bidi w:val="0"/>
        <w:adjustRightInd/>
        <w:snapToGrid/>
        <w:spacing w:before="0" w:after="0" w:line="560" w:lineRule="exact"/>
        <w:textAlignment w:val="auto"/>
        <w:rPr>
          <w:rFonts w:hint="eastAsia" w:ascii="Times New Roman" w:hAnsi="Times New Roman" w:eastAsia="楷体_GB2312" w:cs="Times New Roman"/>
          <w:bCs w:val="0"/>
          <w:color w:val="auto"/>
          <w:sz w:val="32"/>
          <w:szCs w:val="40"/>
          <w:highlight w:val="none"/>
          <w:lang w:val="en-US"/>
        </w:rPr>
      </w:pPr>
      <w:bookmarkStart w:id="16" w:name="_Toc14866"/>
      <w:r>
        <w:rPr>
          <w:rFonts w:hint="eastAsia" w:ascii="Times New Roman" w:hAnsi="Times New Roman" w:eastAsia="楷体_GB2312" w:cs="Times New Roman"/>
          <w:bCs w:val="0"/>
          <w:color w:val="auto"/>
          <w:sz w:val="32"/>
          <w:szCs w:val="40"/>
          <w:highlight w:val="none"/>
          <w:lang w:val="en-US"/>
        </w:rPr>
        <w:t>（一）严格履行法定采购程序，规范采购管理</w:t>
      </w:r>
      <w:bookmarkEnd w:id="16"/>
    </w:p>
    <w:p>
      <w:pPr>
        <w:spacing w:line="560" w:lineRule="exact"/>
        <w:ind w:firstLine="640" w:firstLineChars="200"/>
        <w:rPr>
          <w:rFonts w:hint="eastAsia" w:ascii="仿宋_GB2312" w:hAnsi="仿宋_GB2312" w:eastAsia="仿宋_GB2312" w:cs="仿宋_GB2312"/>
          <w:sz w:val="32"/>
          <w:szCs w:val="40"/>
          <w:highlight w:val="none"/>
        </w:rPr>
      </w:pPr>
      <w:r>
        <w:rPr>
          <w:rFonts w:hint="eastAsia" w:ascii="仿宋_GB2312" w:hAnsi="仿宋_GB2312" w:eastAsia="仿宋_GB2312" w:cs="仿宋_GB2312"/>
          <w:sz w:val="32"/>
          <w:szCs w:val="40"/>
          <w:highlight w:val="none"/>
        </w:rPr>
        <w:t>对服务类项目达到分散采购限额标准的，依法履行竞争性磋商、竞争性谈判或公开招标等法定采购程序，确需采用单一来源采购的，应严格履行审批手续。同时，加强政府采购培训，厘清“单纯广告发布”与“综合文化服务”在采购方式适用上的政策差异，</w:t>
      </w:r>
      <w:r>
        <w:rPr>
          <w:rFonts w:hint="eastAsia" w:ascii="仿宋_GB2312" w:hAnsi="仿宋_GB2312" w:eastAsia="仿宋_GB2312" w:cs="仿宋_GB2312"/>
          <w:sz w:val="32"/>
          <w:szCs w:val="40"/>
          <w:highlight w:val="none"/>
          <w:lang w:val="en-US" w:eastAsia="zh-CN"/>
        </w:rPr>
        <w:t>规范采购管理</w:t>
      </w:r>
      <w:r>
        <w:rPr>
          <w:rFonts w:hint="eastAsia" w:ascii="仿宋_GB2312" w:hAnsi="仿宋_GB2312" w:eastAsia="仿宋_GB2312" w:cs="仿宋_GB2312"/>
          <w:sz w:val="32"/>
          <w:szCs w:val="40"/>
          <w:highlight w:val="none"/>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Times New Roman" w:hAnsi="Times New Roman" w:eastAsia="楷体_GB2312" w:cs="Times New Roman"/>
          <w:bCs w:val="0"/>
          <w:color w:val="auto"/>
          <w:sz w:val="32"/>
          <w:szCs w:val="40"/>
          <w:highlight w:val="none"/>
          <w:lang w:val="en-US"/>
        </w:rPr>
      </w:pPr>
      <w:bookmarkStart w:id="17" w:name="_Toc28585"/>
      <w:r>
        <w:rPr>
          <w:rFonts w:hint="eastAsia" w:ascii="Times New Roman" w:hAnsi="Times New Roman" w:eastAsia="楷体_GB2312" w:cs="Times New Roman"/>
          <w:bCs w:val="0"/>
          <w:color w:val="auto"/>
          <w:sz w:val="32"/>
          <w:szCs w:val="40"/>
          <w:highlight w:val="none"/>
          <w:lang w:val="en-US"/>
        </w:rPr>
        <w:t>（二）加强合同管理与资金支付</w:t>
      </w:r>
      <w:r>
        <w:rPr>
          <w:rFonts w:hint="eastAsia" w:ascii="Times New Roman" w:hAnsi="Times New Roman" w:eastAsia="楷体_GB2312" w:cs="Times New Roman"/>
          <w:bCs w:val="0"/>
          <w:color w:val="auto"/>
          <w:sz w:val="32"/>
          <w:szCs w:val="40"/>
          <w:highlight w:val="none"/>
          <w:lang w:val="en-US" w:eastAsia="zh-CN"/>
        </w:rPr>
        <w:t>有效</w:t>
      </w:r>
      <w:r>
        <w:rPr>
          <w:rFonts w:hint="eastAsia" w:ascii="Times New Roman" w:hAnsi="Times New Roman" w:eastAsia="楷体_GB2312" w:cs="Times New Roman"/>
          <w:bCs w:val="0"/>
          <w:color w:val="auto"/>
          <w:sz w:val="32"/>
          <w:szCs w:val="40"/>
          <w:highlight w:val="none"/>
          <w:lang w:val="en-US"/>
        </w:rPr>
        <w:t>衔接，完善合同条款约束</w:t>
      </w:r>
      <w:bookmarkEnd w:id="17"/>
    </w:p>
    <w:p>
      <w:pPr>
        <w:spacing w:line="560" w:lineRule="exact"/>
        <w:ind w:firstLine="640" w:firstLineChars="200"/>
        <w:rPr>
          <w:rFonts w:hint="eastAsia" w:ascii="仿宋_GB2312" w:hAnsi="仿宋_GB2312" w:eastAsia="仿宋_GB2312" w:cs="仿宋_GB2312"/>
          <w:sz w:val="32"/>
          <w:szCs w:val="40"/>
          <w:highlight w:val="none"/>
        </w:rPr>
      </w:pPr>
      <w:r>
        <w:rPr>
          <w:rFonts w:hint="eastAsia" w:ascii="仿宋_GB2312" w:hAnsi="仿宋_GB2312" w:eastAsia="仿宋_GB2312" w:cs="仿宋_GB2312"/>
          <w:sz w:val="32"/>
          <w:szCs w:val="40"/>
          <w:highlight w:val="none"/>
        </w:rPr>
        <w:t>一是严格落实“按照经费审批意见和合同约定办理资金支付业务”的要求。将生效合同作为资金支付的必要前置要件，付款审批环节须核验合同签订状态，确保合同签订日期不晚于付款日期。同时，加强合同管理部门与财务部门的信息共享，确保合同签订、发票开具、款项支付等关键环节有效衔接。</w:t>
      </w:r>
    </w:p>
    <w:p>
      <w:pPr>
        <w:spacing w:line="560" w:lineRule="exact"/>
        <w:ind w:firstLine="640" w:firstLineChars="200"/>
        <w:rPr>
          <w:rFonts w:hint="eastAsia" w:ascii="仿宋_GB2312" w:hAnsi="仿宋_GB2312" w:eastAsia="仿宋_GB2312" w:cs="仿宋_GB2312"/>
          <w:sz w:val="32"/>
          <w:szCs w:val="40"/>
          <w:highlight w:val="none"/>
        </w:rPr>
      </w:pPr>
      <w:r>
        <w:rPr>
          <w:rFonts w:hint="eastAsia" w:ascii="仿宋_GB2312" w:hAnsi="仿宋_GB2312" w:eastAsia="仿宋_GB2312" w:cs="仿宋_GB2312"/>
          <w:sz w:val="32"/>
          <w:szCs w:val="40"/>
          <w:highlight w:val="none"/>
        </w:rPr>
        <w:t>二是合理设置合同支付节点，强化资金与履约进度的联动。对周期较长、内容复杂的外宣服务类项目，应在合同中约定预付款、进度款和验收尾款等分期支付条款，明确各阶段付款与履约成果挂钩的具体比例。合同签订前，应对支付方式的合理性进行审核，对一次性全额预付模式应严格控制，确需采用的应说明理由；对延期交付或未完成验收的项目，暂缓支付尾款，督促</w:t>
      </w:r>
      <w:r>
        <w:rPr>
          <w:rFonts w:hint="eastAsia" w:ascii="仿宋_GB2312" w:hAnsi="仿宋_GB2312" w:eastAsia="仿宋_GB2312" w:cs="仿宋_GB2312"/>
          <w:sz w:val="32"/>
          <w:szCs w:val="40"/>
          <w:highlight w:val="none"/>
          <w:lang w:val="en-US" w:eastAsia="zh-CN"/>
        </w:rPr>
        <w:t>供应商</w:t>
      </w:r>
      <w:r>
        <w:rPr>
          <w:rFonts w:hint="eastAsia" w:ascii="仿宋_GB2312" w:hAnsi="仿宋_GB2312" w:eastAsia="仿宋_GB2312" w:cs="仿宋_GB2312"/>
          <w:sz w:val="32"/>
          <w:szCs w:val="40"/>
          <w:highlight w:val="none"/>
        </w:rPr>
        <w:t>按约履行，降低财政资金风险。</w:t>
      </w:r>
    </w:p>
    <w:p>
      <w:pPr>
        <w:spacing w:line="560" w:lineRule="exact"/>
        <w:ind w:firstLine="640" w:firstLineChars="200"/>
        <w:rPr>
          <w:rFonts w:hint="eastAsia" w:ascii="仿宋_GB2312" w:hAnsi="仿宋_GB2312" w:eastAsia="仿宋_GB2312" w:cs="仿宋_GB2312"/>
          <w:sz w:val="32"/>
          <w:szCs w:val="40"/>
          <w:highlight w:val="none"/>
        </w:rPr>
      </w:pPr>
      <w:r>
        <w:rPr>
          <w:rFonts w:hint="eastAsia" w:ascii="仿宋_GB2312" w:hAnsi="仿宋_GB2312" w:eastAsia="仿宋_GB2312" w:cs="仿宋_GB2312"/>
          <w:sz w:val="32"/>
          <w:szCs w:val="40"/>
          <w:highlight w:val="none"/>
        </w:rPr>
        <w:t>三是将</w:t>
      </w:r>
      <w:r>
        <w:rPr>
          <w:rFonts w:hint="eastAsia" w:ascii="仿宋_GB2312" w:hAnsi="仿宋_GB2312" w:eastAsia="仿宋_GB2312" w:cs="仿宋_GB2312"/>
          <w:sz w:val="32"/>
          <w:szCs w:val="40"/>
          <w:highlight w:val="none"/>
          <w:lang w:val="en-US" w:eastAsia="zh-CN"/>
        </w:rPr>
        <w:t>可量化的效益</w:t>
      </w:r>
      <w:r>
        <w:rPr>
          <w:rFonts w:hint="eastAsia" w:ascii="仿宋_GB2312" w:hAnsi="仿宋_GB2312" w:eastAsia="仿宋_GB2312" w:cs="仿宋_GB2312"/>
          <w:sz w:val="32"/>
          <w:szCs w:val="40"/>
          <w:highlight w:val="none"/>
        </w:rPr>
        <w:t>指标纳入合同条款，增强合同约束力。</w:t>
      </w:r>
      <w:r>
        <w:rPr>
          <w:rFonts w:hint="eastAsia" w:ascii="仿宋_GB2312" w:hAnsi="仿宋_GB2312" w:eastAsia="仿宋_GB2312" w:cs="仿宋_GB2312"/>
          <w:sz w:val="32"/>
          <w:szCs w:val="40"/>
          <w:highlight w:val="none"/>
          <w:lang w:val="en-US" w:eastAsia="zh-CN"/>
        </w:rPr>
        <w:t>比如</w:t>
      </w:r>
      <w:r>
        <w:rPr>
          <w:rFonts w:hint="eastAsia" w:ascii="仿宋_GB2312" w:hAnsi="仿宋_GB2312" w:eastAsia="仿宋_GB2312" w:cs="仿宋_GB2312"/>
          <w:sz w:val="32"/>
          <w:szCs w:val="40"/>
          <w:highlight w:val="none"/>
        </w:rPr>
        <w:t>在宣传推广类合同中，</w:t>
      </w:r>
      <w:r>
        <w:rPr>
          <w:rFonts w:hint="eastAsia" w:ascii="仿宋_GB2312" w:hAnsi="仿宋_GB2312" w:eastAsia="仿宋_GB2312" w:cs="仿宋_GB2312"/>
          <w:sz w:val="32"/>
          <w:szCs w:val="40"/>
          <w:highlight w:val="none"/>
          <w:lang w:val="en-US" w:eastAsia="zh-CN"/>
        </w:rPr>
        <w:t>可以</w:t>
      </w:r>
      <w:r>
        <w:rPr>
          <w:rFonts w:hint="eastAsia" w:ascii="仿宋_GB2312" w:hAnsi="仿宋_GB2312" w:eastAsia="仿宋_GB2312" w:cs="仿宋_GB2312"/>
          <w:sz w:val="32"/>
          <w:szCs w:val="40"/>
          <w:highlight w:val="none"/>
        </w:rPr>
        <w:t>明确约定点击量、阅读量、浏览量、话题量等可量化的效果指标。合同条款设置时应重点关注量化指标是否明确</w:t>
      </w:r>
      <w:r>
        <w:rPr>
          <w:rFonts w:hint="eastAsia" w:ascii="仿宋_GB2312" w:hAnsi="仿宋_GB2312" w:eastAsia="仿宋_GB2312" w:cs="仿宋_GB2312"/>
          <w:sz w:val="32"/>
          <w:szCs w:val="40"/>
          <w:highlight w:val="none"/>
          <w:lang w:val="en-US" w:eastAsia="zh-CN"/>
        </w:rPr>
        <w:t>、</w:t>
      </w:r>
      <w:r>
        <w:rPr>
          <w:rFonts w:hint="eastAsia" w:ascii="仿宋_GB2312" w:hAnsi="仿宋_GB2312" w:eastAsia="仿宋_GB2312" w:cs="仿宋_GB2312"/>
          <w:sz w:val="32"/>
          <w:szCs w:val="40"/>
          <w:highlight w:val="none"/>
        </w:rPr>
        <w:t>验收标准是否清晰等核心要素，将履约情况与款项支付挂钩，为验收提供可核验的客观依据。</w:t>
      </w:r>
    </w:p>
    <w:p>
      <w:pPr>
        <w:pStyle w:val="4"/>
        <w:spacing w:before="0" w:after="0"/>
        <w:rPr>
          <w:rFonts w:hint="eastAsia" w:ascii="Times New Roman" w:hAnsi="Times New Roman" w:eastAsia="楷体_GB2312" w:cs="Times New Roman"/>
          <w:bCs w:val="0"/>
          <w:color w:val="auto"/>
          <w:sz w:val="32"/>
          <w:szCs w:val="40"/>
          <w:highlight w:val="none"/>
          <w:lang w:val="en-US"/>
        </w:rPr>
      </w:pPr>
      <w:bookmarkStart w:id="18" w:name="_Toc14817"/>
      <w:r>
        <w:rPr>
          <w:rFonts w:hint="eastAsia" w:ascii="Times New Roman" w:hAnsi="Times New Roman" w:eastAsia="楷体_GB2312" w:cs="Times New Roman"/>
          <w:bCs w:val="0"/>
          <w:color w:val="auto"/>
          <w:sz w:val="32"/>
          <w:szCs w:val="40"/>
          <w:highlight w:val="none"/>
          <w:lang w:val="en-US"/>
        </w:rPr>
        <w:t>（三）加强产出和效益指标过程管控，提升</w:t>
      </w:r>
      <w:r>
        <w:rPr>
          <w:rFonts w:hint="eastAsia" w:eastAsia="楷体_GB2312" w:cs="Times New Roman"/>
          <w:bCs w:val="0"/>
          <w:color w:val="auto"/>
          <w:sz w:val="32"/>
          <w:szCs w:val="40"/>
          <w:highlight w:val="none"/>
          <w:lang w:val="en-US" w:eastAsia="zh-CN"/>
        </w:rPr>
        <w:t>预期</w:t>
      </w:r>
      <w:r>
        <w:rPr>
          <w:rFonts w:hint="eastAsia" w:ascii="Times New Roman" w:hAnsi="Times New Roman" w:eastAsia="楷体_GB2312" w:cs="Times New Roman"/>
          <w:bCs w:val="0"/>
          <w:color w:val="auto"/>
          <w:sz w:val="32"/>
          <w:szCs w:val="40"/>
          <w:highlight w:val="none"/>
          <w:lang w:val="en-US"/>
        </w:rPr>
        <w:t>目标实现程度</w:t>
      </w:r>
      <w:bookmarkEnd w:id="18"/>
    </w:p>
    <w:p>
      <w:pPr>
        <w:spacing w:line="560" w:lineRule="exact"/>
        <w:ind w:firstLine="640" w:firstLineChars="200"/>
        <w:rPr>
          <w:rFonts w:hint="eastAsia" w:ascii="仿宋_GB2312" w:hAnsi="仿宋_GB2312" w:eastAsia="仿宋_GB2312" w:cs="仿宋_GB2312"/>
          <w:sz w:val="32"/>
          <w:szCs w:val="40"/>
          <w:highlight w:val="none"/>
        </w:rPr>
      </w:pPr>
      <w:r>
        <w:rPr>
          <w:rFonts w:hint="eastAsia" w:ascii="仿宋_GB2312" w:hAnsi="仿宋_GB2312" w:eastAsia="仿宋_GB2312" w:cs="仿宋_GB2312"/>
          <w:sz w:val="32"/>
          <w:szCs w:val="40"/>
          <w:highlight w:val="none"/>
        </w:rPr>
        <w:t>一是加强项目实施进度的动态跟踪。建立合同执行台账，对活动场次执行、画册出版交付等关键节点实行进度管理，发现问题及时沟通纠偏。对已出现的产出数量未达标、交付延期等问题，应督促</w:t>
      </w:r>
      <w:r>
        <w:rPr>
          <w:rFonts w:hint="eastAsia" w:ascii="仿宋_GB2312" w:hAnsi="仿宋_GB2312" w:eastAsia="仿宋_GB2312" w:cs="仿宋_GB2312"/>
          <w:sz w:val="32"/>
          <w:szCs w:val="40"/>
          <w:highlight w:val="none"/>
          <w:lang w:val="en-US" w:eastAsia="zh-CN"/>
        </w:rPr>
        <w:t>供应商</w:t>
      </w:r>
      <w:r>
        <w:rPr>
          <w:rFonts w:hint="eastAsia" w:ascii="仿宋_GB2312" w:hAnsi="仿宋_GB2312" w:eastAsia="仿宋_GB2312" w:cs="仿宋_GB2312"/>
          <w:sz w:val="32"/>
          <w:szCs w:val="40"/>
          <w:highlight w:val="none"/>
        </w:rPr>
        <w:t>尽快完成履约交付。</w:t>
      </w:r>
    </w:p>
    <w:p>
      <w:pPr>
        <w:spacing w:line="560" w:lineRule="exact"/>
        <w:ind w:firstLine="640" w:firstLineChars="200"/>
        <w:rPr>
          <w:rFonts w:hint="eastAsia" w:ascii="仿宋_GB2312" w:hAnsi="仿宋_GB2312" w:eastAsia="仿宋_GB2312" w:cs="仿宋_GB2312"/>
          <w:sz w:val="32"/>
          <w:szCs w:val="40"/>
          <w:highlight w:val="none"/>
        </w:rPr>
      </w:pPr>
      <w:r>
        <w:rPr>
          <w:rFonts w:hint="eastAsia" w:ascii="仿宋_GB2312" w:hAnsi="仿宋_GB2312" w:eastAsia="仿宋_GB2312" w:cs="仿宋_GB2312"/>
          <w:sz w:val="32"/>
          <w:szCs w:val="40"/>
          <w:highlight w:val="none"/>
          <w:lang w:val="en-US" w:eastAsia="zh-CN"/>
        </w:rPr>
        <w:t>二是严格把关产出质量验收环节。对短视频制作推广、大流量话题开设等合同约定的质量要求，应在验收环节逐项核验合同条款的落实情况，确保财政资金支出与合同履约质量相匹配</w:t>
      </w:r>
      <w:r>
        <w:rPr>
          <w:rFonts w:hint="eastAsia" w:ascii="仿宋_GB2312" w:hAnsi="仿宋_GB2312" w:eastAsia="仿宋_GB2312" w:cs="仿宋_GB2312"/>
          <w:sz w:val="32"/>
          <w:szCs w:val="40"/>
          <w:highlight w:val="none"/>
        </w:rPr>
        <w:t>。</w:t>
      </w:r>
    </w:p>
    <w:p>
      <w:pPr>
        <w:spacing w:line="560" w:lineRule="exact"/>
        <w:ind w:firstLine="640" w:firstLineChars="200"/>
        <w:rPr>
          <w:rFonts w:hint="eastAsia" w:ascii="仿宋_GB2312" w:hAnsi="仿宋_GB2312" w:eastAsia="仿宋_GB2312" w:cs="仿宋_GB2312"/>
          <w:sz w:val="32"/>
          <w:szCs w:val="40"/>
          <w:highlight w:val="none"/>
        </w:rPr>
      </w:pPr>
      <w:r>
        <w:rPr>
          <w:rFonts w:hint="eastAsia" w:ascii="仿宋_GB2312" w:hAnsi="仿宋_GB2312" w:eastAsia="仿宋_GB2312" w:cs="仿宋_GB2312"/>
          <w:sz w:val="32"/>
          <w:szCs w:val="40"/>
          <w:highlight w:val="none"/>
        </w:rPr>
        <w:t>三是完善项目档案资料归档管理。项目验收环节应将后台截图、统计报表等原始佐证材料作为必要交付物归档留存。</w:t>
      </w:r>
    </w:p>
    <w:p>
      <w:pPr>
        <w:spacing w:line="560" w:lineRule="exact"/>
        <w:ind w:firstLine="640" w:firstLineChars="200"/>
        <w:rPr>
          <w:rFonts w:hint="eastAsia" w:ascii="仿宋_GB2312" w:hAnsi="仿宋_GB2312" w:eastAsia="仿宋_GB2312" w:cs="仿宋_GB2312"/>
          <w:color w:val="auto"/>
          <w:sz w:val="32"/>
          <w:szCs w:val="40"/>
          <w:highlight w:val="none"/>
        </w:rPr>
      </w:pPr>
      <w:bookmarkStart w:id="19" w:name="_GoBack"/>
      <w:bookmarkEnd w:id="19"/>
    </w:p>
    <w:sectPr>
      <w:footerReference r:id="rId3" w:type="default"/>
      <w:pgSz w:w="11906" w:h="16838"/>
      <w:pgMar w:top="1440" w:right="1800" w:bottom="1440" w:left="1800" w:header="851" w:footer="1020" w:gutter="0"/>
      <w:pgBorders>
        <w:top w:val="none" w:sz="0" w:space="0"/>
        <w:left w:val="none" w:sz="0" w:space="0"/>
        <w:bottom w:val="none" w:sz="0" w:space="0"/>
        <w:right w:val="none" w:sz="0" w:space="0"/>
      </w:pgBorders>
      <w:pgNumType w:fmt="decimal" w:start="1"/>
      <w:cols w:space="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50"/>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仿宋_GB2312">
    <w:altName w:val="仿宋"/>
    <w:panose1 w:val="02000000000000000000"/>
    <w:charset w:val="86"/>
    <w:family w:val="auto"/>
    <w:pitch w:val="default"/>
    <w:sig w:usb0="00000000" w:usb1="00000000" w:usb2="00000012" w:usb3="00000000" w:csb0="00040001" w:csb1="00000000"/>
  </w:font>
  <w:font w:name="Tahoma">
    <w:panose1 w:val="020B0604030504040204"/>
    <w:charset w:val="00"/>
    <w:family w:val="auto"/>
    <w:pitch w:val="default"/>
    <w:sig w:usb0="61007A87" w:usb1="80000000" w:usb2="00000008" w:usb3="00000000" w:csb0="200101FF" w:csb1="20280000"/>
  </w:font>
  <w:font w:name="文星仿宋">
    <w:panose1 w:val="0201060900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rPr>
        <w:sz w:val="22"/>
        <w:szCs w:val="36"/>
      </w:rPr>
    </w:pPr>
    <w:r>
      <w:rPr>
        <w:sz w:val="22"/>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69719"/>
                            <w:docPartObj>
                              <w:docPartGallery w:val="autotext"/>
                            </w:docPartObj>
                          </w:sdtPr>
                          <w:sdtEndPr>
                            <w:rPr>
                              <w:sz w:val="22"/>
                              <w:szCs w:val="36"/>
                            </w:rPr>
                          </w:sdtEndPr>
                          <w:sdtContent>
                            <w:p>
                              <w:pPr>
                                <w:pStyle w:val="9"/>
                                <w:jc w:val="center"/>
                                <w:rPr>
                                  <w:sz w:val="22"/>
                                  <w:szCs w:val="36"/>
                                </w:rPr>
                              </w:pPr>
                              <w:r>
                                <w:rPr>
                                  <w:sz w:val="22"/>
                                  <w:szCs w:val="36"/>
                                </w:rPr>
                                <w:fldChar w:fldCharType="begin"/>
                              </w:r>
                              <w:r>
                                <w:rPr>
                                  <w:sz w:val="22"/>
                                  <w:szCs w:val="36"/>
                                </w:rPr>
                                <w:instrText xml:space="preserve">PAGE   \* MERGEFORMAT</w:instrText>
                              </w:r>
                              <w:r>
                                <w:rPr>
                                  <w:sz w:val="22"/>
                                  <w:szCs w:val="36"/>
                                </w:rPr>
                                <w:fldChar w:fldCharType="separate"/>
                              </w:r>
                              <w:r>
                                <w:rPr>
                                  <w:sz w:val="22"/>
                                  <w:szCs w:val="36"/>
                                  <w:lang w:val="zh-CN"/>
                                </w:rPr>
                                <w:t>2</w:t>
                              </w:r>
                              <w:r>
                                <w:rPr>
                                  <w:sz w:val="22"/>
                                  <w:szCs w:val="36"/>
                                </w:rPr>
                                <w:fldChar w:fldCharType="end"/>
                              </w:r>
                            </w:p>
                          </w:sdtContent>
                        </w:sdt>
                        <w:p>
                          <w:pPr>
                            <w:pStyle w:val="2"/>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a4X5+zECAABhBAAADgAAAAAAAAABACAAAAA1&#10;AQAAZHJzL2Uyb0RvYy54bWxQSwUGAAAAAAYABgBZAQAA2AUAAAAA&#10;">
              <v:fill on="f" focussize="0,0"/>
              <v:stroke on="f" weight="0.5pt"/>
              <v:imagedata o:title=""/>
              <o:lock v:ext="edit" aspectratio="f"/>
              <v:textbox inset="0mm,0mm,0mm,0mm" style="mso-fit-shape-to-text:t;">
                <w:txbxContent>
                  <w:sdt>
                    <w:sdtPr>
                      <w:id w:val="147469719"/>
                      <w:docPartObj>
                        <w:docPartGallery w:val="autotext"/>
                      </w:docPartObj>
                    </w:sdtPr>
                    <w:sdtEndPr>
                      <w:rPr>
                        <w:sz w:val="22"/>
                        <w:szCs w:val="36"/>
                      </w:rPr>
                    </w:sdtEndPr>
                    <w:sdtContent>
                      <w:p>
                        <w:pPr>
                          <w:pStyle w:val="9"/>
                          <w:jc w:val="center"/>
                          <w:rPr>
                            <w:sz w:val="22"/>
                            <w:szCs w:val="36"/>
                          </w:rPr>
                        </w:pPr>
                        <w:r>
                          <w:rPr>
                            <w:sz w:val="22"/>
                            <w:szCs w:val="36"/>
                          </w:rPr>
                          <w:fldChar w:fldCharType="begin"/>
                        </w:r>
                        <w:r>
                          <w:rPr>
                            <w:sz w:val="22"/>
                            <w:szCs w:val="36"/>
                          </w:rPr>
                          <w:instrText xml:space="preserve">PAGE   \* MERGEFORMAT</w:instrText>
                        </w:r>
                        <w:r>
                          <w:rPr>
                            <w:sz w:val="22"/>
                            <w:szCs w:val="36"/>
                          </w:rPr>
                          <w:fldChar w:fldCharType="separate"/>
                        </w:r>
                        <w:r>
                          <w:rPr>
                            <w:sz w:val="22"/>
                            <w:szCs w:val="36"/>
                            <w:lang w:val="zh-CN"/>
                          </w:rPr>
                          <w:t>2</w:t>
                        </w:r>
                        <w:r>
                          <w:rPr>
                            <w:sz w:val="22"/>
                            <w:szCs w:val="36"/>
                          </w:rPr>
                          <w:fldChar w:fldCharType="end"/>
                        </w:r>
                      </w:p>
                    </w:sdtContent>
                  </w:sdt>
                  <w:p>
                    <w:pPr>
                      <w:pStyle w:val="2"/>
                    </w:pP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1"/>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272E"/>
    <w:rsid w:val="0013154B"/>
    <w:rsid w:val="001B0A26"/>
    <w:rsid w:val="0021272E"/>
    <w:rsid w:val="00242E47"/>
    <w:rsid w:val="00243C1C"/>
    <w:rsid w:val="00392A6C"/>
    <w:rsid w:val="0042651C"/>
    <w:rsid w:val="0071660E"/>
    <w:rsid w:val="00780467"/>
    <w:rsid w:val="007B0A78"/>
    <w:rsid w:val="00825DAA"/>
    <w:rsid w:val="00831890"/>
    <w:rsid w:val="00906052"/>
    <w:rsid w:val="009172EF"/>
    <w:rsid w:val="00A9613B"/>
    <w:rsid w:val="00BA25CB"/>
    <w:rsid w:val="00C252E4"/>
    <w:rsid w:val="00C339C4"/>
    <w:rsid w:val="00C43C81"/>
    <w:rsid w:val="00D62131"/>
    <w:rsid w:val="00DD32CF"/>
    <w:rsid w:val="00E12767"/>
    <w:rsid w:val="00E23611"/>
    <w:rsid w:val="00E901CF"/>
    <w:rsid w:val="00FD6836"/>
    <w:rsid w:val="00FF11AC"/>
    <w:rsid w:val="01424108"/>
    <w:rsid w:val="01461960"/>
    <w:rsid w:val="01782095"/>
    <w:rsid w:val="01971DE7"/>
    <w:rsid w:val="01E2755F"/>
    <w:rsid w:val="021222D3"/>
    <w:rsid w:val="0212463C"/>
    <w:rsid w:val="021427CE"/>
    <w:rsid w:val="023B01BC"/>
    <w:rsid w:val="025A3B8E"/>
    <w:rsid w:val="0299738B"/>
    <w:rsid w:val="02A60CC5"/>
    <w:rsid w:val="02C37B4B"/>
    <w:rsid w:val="02DE4871"/>
    <w:rsid w:val="02E564C1"/>
    <w:rsid w:val="03132CE9"/>
    <w:rsid w:val="03262D5A"/>
    <w:rsid w:val="034C3602"/>
    <w:rsid w:val="038B2759"/>
    <w:rsid w:val="039D70A9"/>
    <w:rsid w:val="03C11691"/>
    <w:rsid w:val="03C436EA"/>
    <w:rsid w:val="040B47D2"/>
    <w:rsid w:val="04187028"/>
    <w:rsid w:val="04282065"/>
    <w:rsid w:val="04325E67"/>
    <w:rsid w:val="04791528"/>
    <w:rsid w:val="04BD2693"/>
    <w:rsid w:val="04BE0657"/>
    <w:rsid w:val="050B208B"/>
    <w:rsid w:val="050D1A12"/>
    <w:rsid w:val="05107BBD"/>
    <w:rsid w:val="054011A2"/>
    <w:rsid w:val="05464258"/>
    <w:rsid w:val="05492DC2"/>
    <w:rsid w:val="054C7DEB"/>
    <w:rsid w:val="05613B66"/>
    <w:rsid w:val="05783020"/>
    <w:rsid w:val="057834D5"/>
    <w:rsid w:val="057E5747"/>
    <w:rsid w:val="05A4135A"/>
    <w:rsid w:val="05CF6057"/>
    <w:rsid w:val="05E01427"/>
    <w:rsid w:val="06207B25"/>
    <w:rsid w:val="06C57DDA"/>
    <w:rsid w:val="06DB7679"/>
    <w:rsid w:val="06F35FB1"/>
    <w:rsid w:val="07005812"/>
    <w:rsid w:val="07136CF3"/>
    <w:rsid w:val="072720DF"/>
    <w:rsid w:val="072B4269"/>
    <w:rsid w:val="07321941"/>
    <w:rsid w:val="075A534D"/>
    <w:rsid w:val="076112C3"/>
    <w:rsid w:val="07B2273C"/>
    <w:rsid w:val="080A7AC8"/>
    <w:rsid w:val="08276E2E"/>
    <w:rsid w:val="0834245F"/>
    <w:rsid w:val="08401A76"/>
    <w:rsid w:val="08431E7C"/>
    <w:rsid w:val="084A41A0"/>
    <w:rsid w:val="086D5FBC"/>
    <w:rsid w:val="0874714B"/>
    <w:rsid w:val="0878716E"/>
    <w:rsid w:val="08B3215B"/>
    <w:rsid w:val="08CD2BD6"/>
    <w:rsid w:val="08CF0949"/>
    <w:rsid w:val="08D963B8"/>
    <w:rsid w:val="08DF03B0"/>
    <w:rsid w:val="0937052E"/>
    <w:rsid w:val="095A0970"/>
    <w:rsid w:val="09611C3A"/>
    <w:rsid w:val="09776AB8"/>
    <w:rsid w:val="097F4E64"/>
    <w:rsid w:val="099B77C5"/>
    <w:rsid w:val="09B40462"/>
    <w:rsid w:val="09D3643E"/>
    <w:rsid w:val="09EC0102"/>
    <w:rsid w:val="09F01883"/>
    <w:rsid w:val="09F23134"/>
    <w:rsid w:val="0A250DC0"/>
    <w:rsid w:val="0A451346"/>
    <w:rsid w:val="0A463778"/>
    <w:rsid w:val="0A5D050F"/>
    <w:rsid w:val="0AB900B6"/>
    <w:rsid w:val="0AC11B40"/>
    <w:rsid w:val="0AD32091"/>
    <w:rsid w:val="0AED65A2"/>
    <w:rsid w:val="0B0F6A33"/>
    <w:rsid w:val="0B12654C"/>
    <w:rsid w:val="0B1E1179"/>
    <w:rsid w:val="0B3A4F30"/>
    <w:rsid w:val="0B746AD1"/>
    <w:rsid w:val="0B775C8C"/>
    <w:rsid w:val="0B7912FE"/>
    <w:rsid w:val="0B925082"/>
    <w:rsid w:val="0BA069A6"/>
    <w:rsid w:val="0BA07177"/>
    <w:rsid w:val="0BB34F02"/>
    <w:rsid w:val="0BBA3F41"/>
    <w:rsid w:val="0BC973C0"/>
    <w:rsid w:val="0BD84830"/>
    <w:rsid w:val="0BF900C5"/>
    <w:rsid w:val="0BFE4EEC"/>
    <w:rsid w:val="0C0240FC"/>
    <w:rsid w:val="0C051618"/>
    <w:rsid w:val="0C1002F6"/>
    <w:rsid w:val="0C117B75"/>
    <w:rsid w:val="0C1D2A17"/>
    <w:rsid w:val="0C812C6E"/>
    <w:rsid w:val="0C8A7057"/>
    <w:rsid w:val="0CAC50C2"/>
    <w:rsid w:val="0CBD0B0B"/>
    <w:rsid w:val="0CBD3E58"/>
    <w:rsid w:val="0CC163F7"/>
    <w:rsid w:val="0CC8265C"/>
    <w:rsid w:val="0D177D5A"/>
    <w:rsid w:val="0D2070E4"/>
    <w:rsid w:val="0D2209FC"/>
    <w:rsid w:val="0D5A7616"/>
    <w:rsid w:val="0D642DE6"/>
    <w:rsid w:val="0D6D03A7"/>
    <w:rsid w:val="0D7116ED"/>
    <w:rsid w:val="0D8669D3"/>
    <w:rsid w:val="0D9025CD"/>
    <w:rsid w:val="0D9B2FCD"/>
    <w:rsid w:val="0DDC013C"/>
    <w:rsid w:val="0DF42F94"/>
    <w:rsid w:val="0E516901"/>
    <w:rsid w:val="0E556FD6"/>
    <w:rsid w:val="0E5A28AC"/>
    <w:rsid w:val="0E703A38"/>
    <w:rsid w:val="0E874FFE"/>
    <w:rsid w:val="0EA75FF1"/>
    <w:rsid w:val="0ECE4B7F"/>
    <w:rsid w:val="0EF7561E"/>
    <w:rsid w:val="0F03756C"/>
    <w:rsid w:val="0F096220"/>
    <w:rsid w:val="0F191186"/>
    <w:rsid w:val="0F204FA9"/>
    <w:rsid w:val="0F2409E4"/>
    <w:rsid w:val="0F3671B8"/>
    <w:rsid w:val="0F8340AB"/>
    <w:rsid w:val="0F961220"/>
    <w:rsid w:val="0F9E61E5"/>
    <w:rsid w:val="0F9F6E8A"/>
    <w:rsid w:val="0FAA109D"/>
    <w:rsid w:val="0FAA61BC"/>
    <w:rsid w:val="100F42CE"/>
    <w:rsid w:val="102200DD"/>
    <w:rsid w:val="106A3C74"/>
    <w:rsid w:val="106A6D76"/>
    <w:rsid w:val="10E2732D"/>
    <w:rsid w:val="112163E1"/>
    <w:rsid w:val="11346CBF"/>
    <w:rsid w:val="11355C17"/>
    <w:rsid w:val="113969D5"/>
    <w:rsid w:val="11425469"/>
    <w:rsid w:val="11626A34"/>
    <w:rsid w:val="11632F7E"/>
    <w:rsid w:val="116A62B6"/>
    <w:rsid w:val="119E5932"/>
    <w:rsid w:val="119F5290"/>
    <w:rsid w:val="11A7652E"/>
    <w:rsid w:val="11F63323"/>
    <w:rsid w:val="122219A0"/>
    <w:rsid w:val="122C3992"/>
    <w:rsid w:val="124F1815"/>
    <w:rsid w:val="125F31DA"/>
    <w:rsid w:val="12844B85"/>
    <w:rsid w:val="12AC1E77"/>
    <w:rsid w:val="12D2438A"/>
    <w:rsid w:val="12F23B99"/>
    <w:rsid w:val="132370DF"/>
    <w:rsid w:val="1331165A"/>
    <w:rsid w:val="13610B82"/>
    <w:rsid w:val="136F20AF"/>
    <w:rsid w:val="139751CD"/>
    <w:rsid w:val="13992184"/>
    <w:rsid w:val="145F1368"/>
    <w:rsid w:val="14915F3C"/>
    <w:rsid w:val="149B082E"/>
    <w:rsid w:val="14AD3731"/>
    <w:rsid w:val="14B73D4F"/>
    <w:rsid w:val="14BB037D"/>
    <w:rsid w:val="14CB5B32"/>
    <w:rsid w:val="14D1746B"/>
    <w:rsid w:val="14D513B7"/>
    <w:rsid w:val="14DD0163"/>
    <w:rsid w:val="14F00C72"/>
    <w:rsid w:val="1511190B"/>
    <w:rsid w:val="151F7BF6"/>
    <w:rsid w:val="153653FF"/>
    <w:rsid w:val="1576720C"/>
    <w:rsid w:val="158519F0"/>
    <w:rsid w:val="159C7E77"/>
    <w:rsid w:val="159E5940"/>
    <w:rsid w:val="15A31E91"/>
    <w:rsid w:val="15B36122"/>
    <w:rsid w:val="15E66A75"/>
    <w:rsid w:val="15E83873"/>
    <w:rsid w:val="15EA65FA"/>
    <w:rsid w:val="162F0A6A"/>
    <w:rsid w:val="163A4624"/>
    <w:rsid w:val="165340E5"/>
    <w:rsid w:val="16553AA0"/>
    <w:rsid w:val="1660726D"/>
    <w:rsid w:val="16652404"/>
    <w:rsid w:val="16891BA6"/>
    <w:rsid w:val="16A13798"/>
    <w:rsid w:val="16AF7C42"/>
    <w:rsid w:val="16E34541"/>
    <w:rsid w:val="16E515E5"/>
    <w:rsid w:val="172734F7"/>
    <w:rsid w:val="174A46B0"/>
    <w:rsid w:val="17636283"/>
    <w:rsid w:val="177711E6"/>
    <w:rsid w:val="17861089"/>
    <w:rsid w:val="178F7340"/>
    <w:rsid w:val="17C36B18"/>
    <w:rsid w:val="18176A80"/>
    <w:rsid w:val="181F7418"/>
    <w:rsid w:val="18515AC1"/>
    <w:rsid w:val="186E7429"/>
    <w:rsid w:val="18A15D24"/>
    <w:rsid w:val="18A173BF"/>
    <w:rsid w:val="18C4452F"/>
    <w:rsid w:val="18CB084B"/>
    <w:rsid w:val="18F0669B"/>
    <w:rsid w:val="18F23A44"/>
    <w:rsid w:val="190A7F45"/>
    <w:rsid w:val="19141C76"/>
    <w:rsid w:val="191F643D"/>
    <w:rsid w:val="1933023E"/>
    <w:rsid w:val="196C074A"/>
    <w:rsid w:val="199675E1"/>
    <w:rsid w:val="19976A5D"/>
    <w:rsid w:val="1999020F"/>
    <w:rsid w:val="19C05185"/>
    <w:rsid w:val="1A141D7E"/>
    <w:rsid w:val="1A2B6074"/>
    <w:rsid w:val="1A3D152A"/>
    <w:rsid w:val="1A4D1AF3"/>
    <w:rsid w:val="1A674463"/>
    <w:rsid w:val="1A6C249E"/>
    <w:rsid w:val="1A8143DB"/>
    <w:rsid w:val="1AAB4F6C"/>
    <w:rsid w:val="1AF321E4"/>
    <w:rsid w:val="1B096C79"/>
    <w:rsid w:val="1B156C61"/>
    <w:rsid w:val="1B3604DC"/>
    <w:rsid w:val="1B4E63E7"/>
    <w:rsid w:val="1B5D6FB2"/>
    <w:rsid w:val="1BC513BB"/>
    <w:rsid w:val="1BDF10D5"/>
    <w:rsid w:val="1BED072B"/>
    <w:rsid w:val="1BEF268F"/>
    <w:rsid w:val="1BFD57D4"/>
    <w:rsid w:val="1C1B608B"/>
    <w:rsid w:val="1C1E101D"/>
    <w:rsid w:val="1C1F2AA5"/>
    <w:rsid w:val="1C3D40ED"/>
    <w:rsid w:val="1C492AAF"/>
    <w:rsid w:val="1C5A4A47"/>
    <w:rsid w:val="1C9526E5"/>
    <w:rsid w:val="1C99014B"/>
    <w:rsid w:val="1CC163AC"/>
    <w:rsid w:val="1CD52E8B"/>
    <w:rsid w:val="1D0918F3"/>
    <w:rsid w:val="1D326189"/>
    <w:rsid w:val="1D3D0CA2"/>
    <w:rsid w:val="1D4B7FE0"/>
    <w:rsid w:val="1D530522"/>
    <w:rsid w:val="1D542477"/>
    <w:rsid w:val="1D836E80"/>
    <w:rsid w:val="1DAA4B57"/>
    <w:rsid w:val="1DAB0592"/>
    <w:rsid w:val="1DBE2640"/>
    <w:rsid w:val="1DF53BB0"/>
    <w:rsid w:val="1E0232B0"/>
    <w:rsid w:val="1E526832"/>
    <w:rsid w:val="1E68625B"/>
    <w:rsid w:val="1E9729B5"/>
    <w:rsid w:val="1E991DE6"/>
    <w:rsid w:val="1E9933DA"/>
    <w:rsid w:val="1EA02FD6"/>
    <w:rsid w:val="1EC9745F"/>
    <w:rsid w:val="1ECC0F49"/>
    <w:rsid w:val="1EFF4673"/>
    <w:rsid w:val="1F197BB6"/>
    <w:rsid w:val="1F2F3172"/>
    <w:rsid w:val="1F585DEE"/>
    <w:rsid w:val="1F6809E5"/>
    <w:rsid w:val="1F922ACE"/>
    <w:rsid w:val="1F991AA6"/>
    <w:rsid w:val="20057D51"/>
    <w:rsid w:val="202E7F87"/>
    <w:rsid w:val="20536A77"/>
    <w:rsid w:val="20565620"/>
    <w:rsid w:val="205D4650"/>
    <w:rsid w:val="20664974"/>
    <w:rsid w:val="20722B48"/>
    <w:rsid w:val="208C6677"/>
    <w:rsid w:val="208F4DF7"/>
    <w:rsid w:val="209234CD"/>
    <w:rsid w:val="209E55E9"/>
    <w:rsid w:val="20A40242"/>
    <w:rsid w:val="20B73A26"/>
    <w:rsid w:val="20BC13A0"/>
    <w:rsid w:val="20CA6F49"/>
    <w:rsid w:val="2119268C"/>
    <w:rsid w:val="212555F1"/>
    <w:rsid w:val="21315AF3"/>
    <w:rsid w:val="213A031C"/>
    <w:rsid w:val="217F406D"/>
    <w:rsid w:val="2187338E"/>
    <w:rsid w:val="21C94A58"/>
    <w:rsid w:val="21D72604"/>
    <w:rsid w:val="21DD584B"/>
    <w:rsid w:val="21F96163"/>
    <w:rsid w:val="221779C6"/>
    <w:rsid w:val="22304068"/>
    <w:rsid w:val="225E3B5D"/>
    <w:rsid w:val="22A007D0"/>
    <w:rsid w:val="22CA11D9"/>
    <w:rsid w:val="22E67EF2"/>
    <w:rsid w:val="22FF57E9"/>
    <w:rsid w:val="230D1CC5"/>
    <w:rsid w:val="232273FC"/>
    <w:rsid w:val="23285D30"/>
    <w:rsid w:val="238916A4"/>
    <w:rsid w:val="239C7549"/>
    <w:rsid w:val="23FF0858"/>
    <w:rsid w:val="24032058"/>
    <w:rsid w:val="24206FC7"/>
    <w:rsid w:val="243D263F"/>
    <w:rsid w:val="24795197"/>
    <w:rsid w:val="24A518FB"/>
    <w:rsid w:val="24DE2C70"/>
    <w:rsid w:val="24EA3E14"/>
    <w:rsid w:val="250741E9"/>
    <w:rsid w:val="25095877"/>
    <w:rsid w:val="250A35E4"/>
    <w:rsid w:val="252F3B2D"/>
    <w:rsid w:val="255123E8"/>
    <w:rsid w:val="258458A0"/>
    <w:rsid w:val="25882479"/>
    <w:rsid w:val="258E2BC7"/>
    <w:rsid w:val="2599762E"/>
    <w:rsid w:val="25AB72CC"/>
    <w:rsid w:val="25BC4D64"/>
    <w:rsid w:val="25BF1750"/>
    <w:rsid w:val="25CC6A24"/>
    <w:rsid w:val="25D856FC"/>
    <w:rsid w:val="25D952AE"/>
    <w:rsid w:val="25DF6B59"/>
    <w:rsid w:val="25E2011E"/>
    <w:rsid w:val="262D56A7"/>
    <w:rsid w:val="26434AC0"/>
    <w:rsid w:val="266B4973"/>
    <w:rsid w:val="266D50FD"/>
    <w:rsid w:val="26E9198A"/>
    <w:rsid w:val="27050B20"/>
    <w:rsid w:val="27890AB9"/>
    <w:rsid w:val="2798573E"/>
    <w:rsid w:val="27B62C02"/>
    <w:rsid w:val="27BC0429"/>
    <w:rsid w:val="27CE7A10"/>
    <w:rsid w:val="281731DB"/>
    <w:rsid w:val="281E7765"/>
    <w:rsid w:val="28220A46"/>
    <w:rsid w:val="286B210C"/>
    <w:rsid w:val="28C5664C"/>
    <w:rsid w:val="291A7D70"/>
    <w:rsid w:val="291E6DF3"/>
    <w:rsid w:val="292D2D12"/>
    <w:rsid w:val="293F7673"/>
    <w:rsid w:val="29624E8B"/>
    <w:rsid w:val="29717034"/>
    <w:rsid w:val="298052AE"/>
    <w:rsid w:val="29B82E7E"/>
    <w:rsid w:val="29BA28AC"/>
    <w:rsid w:val="29E109B3"/>
    <w:rsid w:val="29E178E2"/>
    <w:rsid w:val="2A0B7D17"/>
    <w:rsid w:val="2A153A05"/>
    <w:rsid w:val="2A2014F1"/>
    <w:rsid w:val="2A361D29"/>
    <w:rsid w:val="2A36517A"/>
    <w:rsid w:val="2A39142C"/>
    <w:rsid w:val="2A464FFD"/>
    <w:rsid w:val="2A761011"/>
    <w:rsid w:val="2A795E40"/>
    <w:rsid w:val="2AF53272"/>
    <w:rsid w:val="2AF643D0"/>
    <w:rsid w:val="2AFD5DAF"/>
    <w:rsid w:val="2B1B11E1"/>
    <w:rsid w:val="2B214949"/>
    <w:rsid w:val="2B894027"/>
    <w:rsid w:val="2BBC0D1F"/>
    <w:rsid w:val="2BF6C76C"/>
    <w:rsid w:val="2C0C6BEB"/>
    <w:rsid w:val="2C1B254E"/>
    <w:rsid w:val="2C467183"/>
    <w:rsid w:val="2C504E98"/>
    <w:rsid w:val="2C653EE2"/>
    <w:rsid w:val="2C80756D"/>
    <w:rsid w:val="2C931DC2"/>
    <w:rsid w:val="2CA675CE"/>
    <w:rsid w:val="2CAA2B4A"/>
    <w:rsid w:val="2D0364CB"/>
    <w:rsid w:val="2D04502B"/>
    <w:rsid w:val="2D892BA1"/>
    <w:rsid w:val="2D8D2610"/>
    <w:rsid w:val="2D8F67C3"/>
    <w:rsid w:val="2D9C2974"/>
    <w:rsid w:val="2DC84403"/>
    <w:rsid w:val="2DC8748F"/>
    <w:rsid w:val="2DCD15F2"/>
    <w:rsid w:val="2DEF5067"/>
    <w:rsid w:val="2E1819D6"/>
    <w:rsid w:val="2E4E2E29"/>
    <w:rsid w:val="2E7216FF"/>
    <w:rsid w:val="2E9602B0"/>
    <w:rsid w:val="2E961458"/>
    <w:rsid w:val="2EA05393"/>
    <w:rsid w:val="2EA87F6F"/>
    <w:rsid w:val="2EB24838"/>
    <w:rsid w:val="2EC2545B"/>
    <w:rsid w:val="2F7472E8"/>
    <w:rsid w:val="2F8F217B"/>
    <w:rsid w:val="2FA84BB9"/>
    <w:rsid w:val="2FAC64BD"/>
    <w:rsid w:val="2FB603AB"/>
    <w:rsid w:val="2FC72526"/>
    <w:rsid w:val="3041265D"/>
    <w:rsid w:val="30494B25"/>
    <w:rsid w:val="30511AAD"/>
    <w:rsid w:val="30570D94"/>
    <w:rsid w:val="307F4548"/>
    <w:rsid w:val="30852098"/>
    <w:rsid w:val="30926A39"/>
    <w:rsid w:val="30E014C3"/>
    <w:rsid w:val="30EC3EAD"/>
    <w:rsid w:val="30F32FCE"/>
    <w:rsid w:val="30FF7B5C"/>
    <w:rsid w:val="310962B6"/>
    <w:rsid w:val="311037CD"/>
    <w:rsid w:val="317A6673"/>
    <w:rsid w:val="319D6E9C"/>
    <w:rsid w:val="31AF08C2"/>
    <w:rsid w:val="31DB4CF3"/>
    <w:rsid w:val="32226C58"/>
    <w:rsid w:val="323B49D8"/>
    <w:rsid w:val="324100C2"/>
    <w:rsid w:val="324B3F79"/>
    <w:rsid w:val="325A6035"/>
    <w:rsid w:val="326F20C0"/>
    <w:rsid w:val="328F45D0"/>
    <w:rsid w:val="32A37B90"/>
    <w:rsid w:val="32A4043D"/>
    <w:rsid w:val="32AB598E"/>
    <w:rsid w:val="32BB44EA"/>
    <w:rsid w:val="32C879F7"/>
    <w:rsid w:val="32EF09FD"/>
    <w:rsid w:val="331069D0"/>
    <w:rsid w:val="33150228"/>
    <w:rsid w:val="334F6FAA"/>
    <w:rsid w:val="336D0D89"/>
    <w:rsid w:val="33722359"/>
    <w:rsid w:val="33752E0E"/>
    <w:rsid w:val="337722E8"/>
    <w:rsid w:val="33775357"/>
    <w:rsid w:val="33AB50A9"/>
    <w:rsid w:val="33B7385C"/>
    <w:rsid w:val="33D954B4"/>
    <w:rsid w:val="341449FD"/>
    <w:rsid w:val="34162AF5"/>
    <w:rsid w:val="341B24FA"/>
    <w:rsid w:val="343A395E"/>
    <w:rsid w:val="34457136"/>
    <w:rsid w:val="34742431"/>
    <w:rsid w:val="348F5E6E"/>
    <w:rsid w:val="34B17EFC"/>
    <w:rsid w:val="34C4731B"/>
    <w:rsid w:val="34FE3CD8"/>
    <w:rsid w:val="35216B58"/>
    <w:rsid w:val="352B1EAF"/>
    <w:rsid w:val="3560296E"/>
    <w:rsid w:val="35687DFE"/>
    <w:rsid w:val="35696FE8"/>
    <w:rsid w:val="358261F1"/>
    <w:rsid w:val="35902635"/>
    <w:rsid w:val="35B86446"/>
    <w:rsid w:val="35C3355E"/>
    <w:rsid w:val="35CC089B"/>
    <w:rsid w:val="363B46A9"/>
    <w:rsid w:val="364E57EA"/>
    <w:rsid w:val="369231E4"/>
    <w:rsid w:val="36CD5DBD"/>
    <w:rsid w:val="36D31738"/>
    <w:rsid w:val="36D719A1"/>
    <w:rsid w:val="36F538B8"/>
    <w:rsid w:val="372074F4"/>
    <w:rsid w:val="3724271D"/>
    <w:rsid w:val="3735089A"/>
    <w:rsid w:val="373611BF"/>
    <w:rsid w:val="3775B148"/>
    <w:rsid w:val="37A84AF5"/>
    <w:rsid w:val="37C91B90"/>
    <w:rsid w:val="37CE10D1"/>
    <w:rsid w:val="37E364D3"/>
    <w:rsid w:val="37E55B14"/>
    <w:rsid w:val="37ED2F72"/>
    <w:rsid w:val="3803314A"/>
    <w:rsid w:val="380611F4"/>
    <w:rsid w:val="381139AC"/>
    <w:rsid w:val="385830F7"/>
    <w:rsid w:val="385B6A0B"/>
    <w:rsid w:val="386178D9"/>
    <w:rsid w:val="386963BB"/>
    <w:rsid w:val="38C83781"/>
    <w:rsid w:val="38DA4152"/>
    <w:rsid w:val="392568F8"/>
    <w:rsid w:val="39373503"/>
    <w:rsid w:val="39A16259"/>
    <w:rsid w:val="39C52958"/>
    <w:rsid w:val="39C63D5C"/>
    <w:rsid w:val="39FB46A4"/>
    <w:rsid w:val="3A2C7AA0"/>
    <w:rsid w:val="3A2D29BA"/>
    <w:rsid w:val="3AAC5038"/>
    <w:rsid w:val="3AB77C48"/>
    <w:rsid w:val="3ABE6015"/>
    <w:rsid w:val="3ADB6D47"/>
    <w:rsid w:val="3AEE1EC2"/>
    <w:rsid w:val="3AEF28FB"/>
    <w:rsid w:val="3B1140EB"/>
    <w:rsid w:val="3B343B22"/>
    <w:rsid w:val="3B790088"/>
    <w:rsid w:val="3B967A25"/>
    <w:rsid w:val="3B9D181D"/>
    <w:rsid w:val="3BBD1E1E"/>
    <w:rsid w:val="3BBF320B"/>
    <w:rsid w:val="3BEF3D85"/>
    <w:rsid w:val="3C3C376A"/>
    <w:rsid w:val="3C771DDD"/>
    <w:rsid w:val="3CD74B4F"/>
    <w:rsid w:val="3CDB4838"/>
    <w:rsid w:val="3D463616"/>
    <w:rsid w:val="3D7C6F88"/>
    <w:rsid w:val="3D95653A"/>
    <w:rsid w:val="3DA27185"/>
    <w:rsid w:val="3DBBD45D"/>
    <w:rsid w:val="3DD241D6"/>
    <w:rsid w:val="3E1C74E9"/>
    <w:rsid w:val="3E482166"/>
    <w:rsid w:val="3E4B70EF"/>
    <w:rsid w:val="3E55251B"/>
    <w:rsid w:val="3E5C7C11"/>
    <w:rsid w:val="3E6E7F79"/>
    <w:rsid w:val="3E9C145B"/>
    <w:rsid w:val="3EB26F0A"/>
    <w:rsid w:val="3ECC5A2E"/>
    <w:rsid w:val="3EE1669F"/>
    <w:rsid w:val="3EE614EF"/>
    <w:rsid w:val="3F0C4D38"/>
    <w:rsid w:val="3F155ED5"/>
    <w:rsid w:val="3F2E1FBE"/>
    <w:rsid w:val="3F6F1FDE"/>
    <w:rsid w:val="3F997AA5"/>
    <w:rsid w:val="3FAD3391"/>
    <w:rsid w:val="3FEFEB19"/>
    <w:rsid w:val="3FF55337"/>
    <w:rsid w:val="401340CF"/>
    <w:rsid w:val="40271505"/>
    <w:rsid w:val="404B12B6"/>
    <w:rsid w:val="407C6B22"/>
    <w:rsid w:val="40896772"/>
    <w:rsid w:val="408A6646"/>
    <w:rsid w:val="408E1470"/>
    <w:rsid w:val="40AB47AE"/>
    <w:rsid w:val="40EB316E"/>
    <w:rsid w:val="40FD1895"/>
    <w:rsid w:val="41794C82"/>
    <w:rsid w:val="41C46461"/>
    <w:rsid w:val="41CA57E6"/>
    <w:rsid w:val="41DA69B4"/>
    <w:rsid w:val="41DD00FA"/>
    <w:rsid w:val="420116F1"/>
    <w:rsid w:val="42181C53"/>
    <w:rsid w:val="423A56F9"/>
    <w:rsid w:val="42415A88"/>
    <w:rsid w:val="424F51B8"/>
    <w:rsid w:val="42586B73"/>
    <w:rsid w:val="42595B4F"/>
    <w:rsid w:val="42616D31"/>
    <w:rsid w:val="42725944"/>
    <w:rsid w:val="42807077"/>
    <w:rsid w:val="42B257AA"/>
    <w:rsid w:val="42E2716E"/>
    <w:rsid w:val="43656728"/>
    <w:rsid w:val="43671A31"/>
    <w:rsid w:val="43897286"/>
    <w:rsid w:val="439F30CC"/>
    <w:rsid w:val="43A13448"/>
    <w:rsid w:val="43AA73CC"/>
    <w:rsid w:val="43B43555"/>
    <w:rsid w:val="43C62A17"/>
    <w:rsid w:val="43F2066E"/>
    <w:rsid w:val="43F73DB8"/>
    <w:rsid w:val="446C50BE"/>
    <w:rsid w:val="447568C9"/>
    <w:rsid w:val="447649E2"/>
    <w:rsid w:val="44A82F34"/>
    <w:rsid w:val="44C0645C"/>
    <w:rsid w:val="4511447F"/>
    <w:rsid w:val="45196055"/>
    <w:rsid w:val="451D0B23"/>
    <w:rsid w:val="45221F84"/>
    <w:rsid w:val="45314C2D"/>
    <w:rsid w:val="45513DB5"/>
    <w:rsid w:val="45585924"/>
    <w:rsid w:val="457D6856"/>
    <w:rsid w:val="45A162A4"/>
    <w:rsid w:val="45CD2333"/>
    <w:rsid w:val="45D4223E"/>
    <w:rsid w:val="45F073E5"/>
    <w:rsid w:val="4612161E"/>
    <w:rsid w:val="462B17C0"/>
    <w:rsid w:val="466E763C"/>
    <w:rsid w:val="46B12F19"/>
    <w:rsid w:val="46B966C1"/>
    <w:rsid w:val="46D201C1"/>
    <w:rsid w:val="46EF6BE8"/>
    <w:rsid w:val="47096000"/>
    <w:rsid w:val="4725454A"/>
    <w:rsid w:val="472E428D"/>
    <w:rsid w:val="47491FE6"/>
    <w:rsid w:val="47662010"/>
    <w:rsid w:val="4780247A"/>
    <w:rsid w:val="478F5E89"/>
    <w:rsid w:val="47B70B52"/>
    <w:rsid w:val="47CE4E5C"/>
    <w:rsid w:val="48423637"/>
    <w:rsid w:val="48754186"/>
    <w:rsid w:val="487D4C88"/>
    <w:rsid w:val="48942204"/>
    <w:rsid w:val="48C447EC"/>
    <w:rsid w:val="495A3133"/>
    <w:rsid w:val="49AC75F3"/>
    <w:rsid w:val="49B365BE"/>
    <w:rsid w:val="49D74418"/>
    <w:rsid w:val="49EB3C2F"/>
    <w:rsid w:val="4A2066C8"/>
    <w:rsid w:val="4A282981"/>
    <w:rsid w:val="4A3776CE"/>
    <w:rsid w:val="4A422212"/>
    <w:rsid w:val="4A500A20"/>
    <w:rsid w:val="4A8A3813"/>
    <w:rsid w:val="4AB04806"/>
    <w:rsid w:val="4B54774B"/>
    <w:rsid w:val="4B5F1F51"/>
    <w:rsid w:val="4B852DCF"/>
    <w:rsid w:val="4B90254E"/>
    <w:rsid w:val="4BC70E32"/>
    <w:rsid w:val="4BCC1592"/>
    <w:rsid w:val="4BE82A6E"/>
    <w:rsid w:val="4C1C609D"/>
    <w:rsid w:val="4C2C3966"/>
    <w:rsid w:val="4C2E3F22"/>
    <w:rsid w:val="4C3A7971"/>
    <w:rsid w:val="4C7A02CE"/>
    <w:rsid w:val="4C9B1065"/>
    <w:rsid w:val="4CAD3F7D"/>
    <w:rsid w:val="4CBE6217"/>
    <w:rsid w:val="4CD900A4"/>
    <w:rsid w:val="4D1667EC"/>
    <w:rsid w:val="4D40589B"/>
    <w:rsid w:val="4D4765B4"/>
    <w:rsid w:val="4D4E36B7"/>
    <w:rsid w:val="4DD42D68"/>
    <w:rsid w:val="4E0240CE"/>
    <w:rsid w:val="4E084482"/>
    <w:rsid w:val="4E2152A8"/>
    <w:rsid w:val="4E6F72C9"/>
    <w:rsid w:val="4E7155FF"/>
    <w:rsid w:val="4E83121C"/>
    <w:rsid w:val="4E8B090D"/>
    <w:rsid w:val="4EA7423A"/>
    <w:rsid w:val="4EAD1A6E"/>
    <w:rsid w:val="4ED831E4"/>
    <w:rsid w:val="4EF56188"/>
    <w:rsid w:val="4F0D16EA"/>
    <w:rsid w:val="4F2942E0"/>
    <w:rsid w:val="4F50717C"/>
    <w:rsid w:val="4F5F1855"/>
    <w:rsid w:val="4F6F450D"/>
    <w:rsid w:val="4F9369CC"/>
    <w:rsid w:val="4FC867E7"/>
    <w:rsid w:val="4FD61FCD"/>
    <w:rsid w:val="4FE253AD"/>
    <w:rsid w:val="4FFF1BBC"/>
    <w:rsid w:val="5000131E"/>
    <w:rsid w:val="50075AA8"/>
    <w:rsid w:val="500E4CA9"/>
    <w:rsid w:val="50310445"/>
    <w:rsid w:val="503F7B7B"/>
    <w:rsid w:val="504434EB"/>
    <w:rsid w:val="507478A2"/>
    <w:rsid w:val="50C66E8C"/>
    <w:rsid w:val="511B6F73"/>
    <w:rsid w:val="512B180A"/>
    <w:rsid w:val="513131D2"/>
    <w:rsid w:val="514A4346"/>
    <w:rsid w:val="517B622D"/>
    <w:rsid w:val="518E38EB"/>
    <w:rsid w:val="519259E4"/>
    <w:rsid w:val="51973289"/>
    <w:rsid w:val="51A7212D"/>
    <w:rsid w:val="51AF325B"/>
    <w:rsid w:val="51BA41F6"/>
    <w:rsid w:val="51BF0246"/>
    <w:rsid w:val="51F61246"/>
    <w:rsid w:val="51FE27DF"/>
    <w:rsid w:val="52143607"/>
    <w:rsid w:val="5293705E"/>
    <w:rsid w:val="529413BC"/>
    <w:rsid w:val="52CB4A77"/>
    <w:rsid w:val="531A7D66"/>
    <w:rsid w:val="5340781E"/>
    <w:rsid w:val="534A3713"/>
    <w:rsid w:val="534F5DB3"/>
    <w:rsid w:val="535B445E"/>
    <w:rsid w:val="53684AB8"/>
    <w:rsid w:val="53746A39"/>
    <w:rsid w:val="537D42D1"/>
    <w:rsid w:val="538545CD"/>
    <w:rsid w:val="53CB58F5"/>
    <w:rsid w:val="53D02B93"/>
    <w:rsid w:val="53DE71F2"/>
    <w:rsid w:val="540D32A3"/>
    <w:rsid w:val="54112F25"/>
    <w:rsid w:val="541822EB"/>
    <w:rsid w:val="541A3187"/>
    <w:rsid w:val="54223970"/>
    <w:rsid w:val="54240834"/>
    <w:rsid w:val="54281736"/>
    <w:rsid w:val="544B3643"/>
    <w:rsid w:val="544C50BF"/>
    <w:rsid w:val="54964EE7"/>
    <w:rsid w:val="54D80C05"/>
    <w:rsid w:val="54F55C0F"/>
    <w:rsid w:val="55214A86"/>
    <w:rsid w:val="55293C6D"/>
    <w:rsid w:val="552D320D"/>
    <w:rsid w:val="55311188"/>
    <w:rsid w:val="556B68E0"/>
    <w:rsid w:val="55757DD5"/>
    <w:rsid w:val="55C00EC7"/>
    <w:rsid w:val="55C05381"/>
    <w:rsid w:val="55D360A4"/>
    <w:rsid w:val="55FD4C24"/>
    <w:rsid w:val="56226579"/>
    <w:rsid w:val="56236D75"/>
    <w:rsid w:val="563E685D"/>
    <w:rsid w:val="564878BA"/>
    <w:rsid w:val="566C71FF"/>
    <w:rsid w:val="567B06F9"/>
    <w:rsid w:val="56A720E4"/>
    <w:rsid w:val="56AD6E60"/>
    <w:rsid w:val="56AE6DCA"/>
    <w:rsid w:val="56D8747D"/>
    <w:rsid w:val="56DB1F38"/>
    <w:rsid w:val="56ED2373"/>
    <w:rsid w:val="57194D6F"/>
    <w:rsid w:val="571E27EF"/>
    <w:rsid w:val="57236447"/>
    <w:rsid w:val="57257505"/>
    <w:rsid w:val="572A6598"/>
    <w:rsid w:val="57550DEC"/>
    <w:rsid w:val="57974D9C"/>
    <w:rsid w:val="57C223A8"/>
    <w:rsid w:val="57DB6D71"/>
    <w:rsid w:val="57E109CE"/>
    <w:rsid w:val="57EB28B8"/>
    <w:rsid w:val="58010429"/>
    <w:rsid w:val="582736FC"/>
    <w:rsid w:val="582C7139"/>
    <w:rsid w:val="58491AC9"/>
    <w:rsid w:val="588B319A"/>
    <w:rsid w:val="5894458F"/>
    <w:rsid w:val="58951CE8"/>
    <w:rsid w:val="58982CBC"/>
    <w:rsid w:val="58FB6AB1"/>
    <w:rsid w:val="59014F83"/>
    <w:rsid w:val="5909364B"/>
    <w:rsid w:val="5915404E"/>
    <w:rsid w:val="59413DCE"/>
    <w:rsid w:val="59455603"/>
    <w:rsid w:val="59493D7A"/>
    <w:rsid w:val="596916CA"/>
    <w:rsid w:val="598F5A52"/>
    <w:rsid w:val="59AF55E8"/>
    <w:rsid w:val="59B152ED"/>
    <w:rsid w:val="59BA0072"/>
    <w:rsid w:val="59FB624F"/>
    <w:rsid w:val="5A0C7DA1"/>
    <w:rsid w:val="5A0F14DC"/>
    <w:rsid w:val="5A100905"/>
    <w:rsid w:val="5A152B94"/>
    <w:rsid w:val="5A310046"/>
    <w:rsid w:val="5A422723"/>
    <w:rsid w:val="5A7220FB"/>
    <w:rsid w:val="5A72779D"/>
    <w:rsid w:val="5A736AC7"/>
    <w:rsid w:val="5A766620"/>
    <w:rsid w:val="5A7AAAB4"/>
    <w:rsid w:val="5A827493"/>
    <w:rsid w:val="5A8963BA"/>
    <w:rsid w:val="5A977118"/>
    <w:rsid w:val="5A9B35BC"/>
    <w:rsid w:val="5AC461A2"/>
    <w:rsid w:val="5AFA2FCC"/>
    <w:rsid w:val="5B042385"/>
    <w:rsid w:val="5B492501"/>
    <w:rsid w:val="5B5E462C"/>
    <w:rsid w:val="5B652F59"/>
    <w:rsid w:val="5B671DED"/>
    <w:rsid w:val="5B707145"/>
    <w:rsid w:val="5B7943E2"/>
    <w:rsid w:val="5BBB34B0"/>
    <w:rsid w:val="5BD46BC8"/>
    <w:rsid w:val="5BDB69BA"/>
    <w:rsid w:val="5BE13932"/>
    <w:rsid w:val="5BE2782F"/>
    <w:rsid w:val="5C537FC9"/>
    <w:rsid w:val="5C9302F0"/>
    <w:rsid w:val="5CA1472C"/>
    <w:rsid w:val="5CAC33FE"/>
    <w:rsid w:val="5CC44CFA"/>
    <w:rsid w:val="5CC74453"/>
    <w:rsid w:val="5CEB5B75"/>
    <w:rsid w:val="5D234C15"/>
    <w:rsid w:val="5D4E2B1A"/>
    <w:rsid w:val="5D6347F3"/>
    <w:rsid w:val="5D6A2910"/>
    <w:rsid w:val="5D6E2727"/>
    <w:rsid w:val="5D9B7CF5"/>
    <w:rsid w:val="5D9F05C7"/>
    <w:rsid w:val="5DC627F5"/>
    <w:rsid w:val="5DDC4BB6"/>
    <w:rsid w:val="5E13603C"/>
    <w:rsid w:val="5E136DF5"/>
    <w:rsid w:val="5E317443"/>
    <w:rsid w:val="5E4B0C94"/>
    <w:rsid w:val="5E897E33"/>
    <w:rsid w:val="5E920E32"/>
    <w:rsid w:val="5E9A1C79"/>
    <w:rsid w:val="5E9C2A55"/>
    <w:rsid w:val="5E9D403D"/>
    <w:rsid w:val="5EC116F3"/>
    <w:rsid w:val="5EC83E3A"/>
    <w:rsid w:val="5EF123C4"/>
    <w:rsid w:val="5F682D96"/>
    <w:rsid w:val="5F95587F"/>
    <w:rsid w:val="5FA108AA"/>
    <w:rsid w:val="5FAD0763"/>
    <w:rsid w:val="5FADEDAA"/>
    <w:rsid w:val="5FBF759A"/>
    <w:rsid w:val="5FE54833"/>
    <w:rsid w:val="5FF236A5"/>
    <w:rsid w:val="5FF25BC4"/>
    <w:rsid w:val="5FFB59D8"/>
    <w:rsid w:val="5FFD749C"/>
    <w:rsid w:val="60000D09"/>
    <w:rsid w:val="60372000"/>
    <w:rsid w:val="60391928"/>
    <w:rsid w:val="60443049"/>
    <w:rsid w:val="60B20A29"/>
    <w:rsid w:val="60B600D3"/>
    <w:rsid w:val="60E16B24"/>
    <w:rsid w:val="60F03F78"/>
    <w:rsid w:val="60FA6BA5"/>
    <w:rsid w:val="610932E0"/>
    <w:rsid w:val="610E08A2"/>
    <w:rsid w:val="612E08CB"/>
    <w:rsid w:val="61592FA0"/>
    <w:rsid w:val="615B4FC8"/>
    <w:rsid w:val="61610FEB"/>
    <w:rsid w:val="61866641"/>
    <w:rsid w:val="618804A2"/>
    <w:rsid w:val="62023F0C"/>
    <w:rsid w:val="620878F2"/>
    <w:rsid w:val="624869B3"/>
    <w:rsid w:val="62725B06"/>
    <w:rsid w:val="6289331F"/>
    <w:rsid w:val="62896145"/>
    <w:rsid w:val="62AE304C"/>
    <w:rsid w:val="62D53A61"/>
    <w:rsid w:val="62EB23F5"/>
    <w:rsid w:val="62F75334"/>
    <w:rsid w:val="632B7B41"/>
    <w:rsid w:val="633751D2"/>
    <w:rsid w:val="63435AC6"/>
    <w:rsid w:val="638D1CCF"/>
    <w:rsid w:val="63AC1768"/>
    <w:rsid w:val="63B86C68"/>
    <w:rsid w:val="63D65379"/>
    <w:rsid w:val="63ED8B96"/>
    <w:rsid w:val="64224CCA"/>
    <w:rsid w:val="643506F4"/>
    <w:rsid w:val="643549A5"/>
    <w:rsid w:val="64540547"/>
    <w:rsid w:val="645F46D4"/>
    <w:rsid w:val="64AD4D63"/>
    <w:rsid w:val="64E83484"/>
    <w:rsid w:val="65185903"/>
    <w:rsid w:val="65481991"/>
    <w:rsid w:val="659F174F"/>
    <w:rsid w:val="65A11D3F"/>
    <w:rsid w:val="65BE1A9B"/>
    <w:rsid w:val="65EA12EE"/>
    <w:rsid w:val="66005EA4"/>
    <w:rsid w:val="660A3F0B"/>
    <w:rsid w:val="662D1A71"/>
    <w:rsid w:val="66331C6B"/>
    <w:rsid w:val="664F2670"/>
    <w:rsid w:val="6651287E"/>
    <w:rsid w:val="66566E93"/>
    <w:rsid w:val="67051B86"/>
    <w:rsid w:val="678649DF"/>
    <w:rsid w:val="67931230"/>
    <w:rsid w:val="679E5011"/>
    <w:rsid w:val="67D35FA8"/>
    <w:rsid w:val="67EC3173"/>
    <w:rsid w:val="67ED2E07"/>
    <w:rsid w:val="681169E5"/>
    <w:rsid w:val="681231A8"/>
    <w:rsid w:val="682E3531"/>
    <w:rsid w:val="683C0435"/>
    <w:rsid w:val="68962D48"/>
    <w:rsid w:val="68970246"/>
    <w:rsid w:val="68C46C59"/>
    <w:rsid w:val="68CB7CCA"/>
    <w:rsid w:val="68DB6C5C"/>
    <w:rsid w:val="68F62F60"/>
    <w:rsid w:val="69014A99"/>
    <w:rsid w:val="694B127D"/>
    <w:rsid w:val="69735540"/>
    <w:rsid w:val="69AF2EA3"/>
    <w:rsid w:val="69BE6329"/>
    <w:rsid w:val="69DC68F1"/>
    <w:rsid w:val="69E01579"/>
    <w:rsid w:val="6A2D57C7"/>
    <w:rsid w:val="6A2D6606"/>
    <w:rsid w:val="6A5717F4"/>
    <w:rsid w:val="6A64532A"/>
    <w:rsid w:val="6A75644F"/>
    <w:rsid w:val="6A9446FD"/>
    <w:rsid w:val="6A987D9B"/>
    <w:rsid w:val="6AAF67F3"/>
    <w:rsid w:val="6B160100"/>
    <w:rsid w:val="6B303356"/>
    <w:rsid w:val="6B380117"/>
    <w:rsid w:val="6BA26974"/>
    <w:rsid w:val="6BB11934"/>
    <w:rsid w:val="6BF916E5"/>
    <w:rsid w:val="6BFC7963"/>
    <w:rsid w:val="6C0121F2"/>
    <w:rsid w:val="6C0D6183"/>
    <w:rsid w:val="6C145F18"/>
    <w:rsid w:val="6C5C5A43"/>
    <w:rsid w:val="6C692C46"/>
    <w:rsid w:val="6CCB3383"/>
    <w:rsid w:val="6CDC173F"/>
    <w:rsid w:val="6CE32BE3"/>
    <w:rsid w:val="6CF921AA"/>
    <w:rsid w:val="6D027D3A"/>
    <w:rsid w:val="6D0631A5"/>
    <w:rsid w:val="6D1116DB"/>
    <w:rsid w:val="6D267C7A"/>
    <w:rsid w:val="6D527D69"/>
    <w:rsid w:val="6D9A3D0F"/>
    <w:rsid w:val="6DAB481E"/>
    <w:rsid w:val="6DB1381B"/>
    <w:rsid w:val="6DDF5FEC"/>
    <w:rsid w:val="6E061386"/>
    <w:rsid w:val="6E571A3C"/>
    <w:rsid w:val="6E6A4722"/>
    <w:rsid w:val="6E787CAC"/>
    <w:rsid w:val="6E9E0A76"/>
    <w:rsid w:val="6EBE3CA9"/>
    <w:rsid w:val="6F556011"/>
    <w:rsid w:val="6F65700C"/>
    <w:rsid w:val="6FA554A5"/>
    <w:rsid w:val="6FD70B31"/>
    <w:rsid w:val="6FEA072C"/>
    <w:rsid w:val="6FF67D07"/>
    <w:rsid w:val="700668A1"/>
    <w:rsid w:val="70300156"/>
    <w:rsid w:val="708B52EB"/>
    <w:rsid w:val="70A2745E"/>
    <w:rsid w:val="70C15F69"/>
    <w:rsid w:val="70C83502"/>
    <w:rsid w:val="70D12A05"/>
    <w:rsid w:val="71432F18"/>
    <w:rsid w:val="714559FA"/>
    <w:rsid w:val="7190169E"/>
    <w:rsid w:val="71B65F33"/>
    <w:rsid w:val="71F93D7C"/>
    <w:rsid w:val="720937F1"/>
    <w:rsid w:val="724D24D7"/>
    <w:rsid w:val="72557DA2"/>
    <w:rsid w:val="72625D89"/>
    <w:rsid w:val="726B5149"/>
    <w:rsid w:val="72A058EF"/>
    <w:rsid w:val="72C3183B"/>
    <w:rsid w:val="730055FF"/>
    <w:rsid w:val="7341101C"/>
    <w:rsid w:val="734862C2"/>
    <w:rsid w:val="73610EFC"/>
    <w:rsid w:val="73A759EA"/>
    <w:rsid w:val="73C308A9"/>
    <w:rsid w:val="73E5664A"/>
    <w:rsid w:val="73E572CC"/>
    <w:rsid w:val="73FC6CB0"/>
    <w:rsid w:val="741167E0"/>
    <w:rsid w:val="747E022E"/>
    <w:rsid w:val="74AE6803"/>
    <w:rsid w:val="74B61EFC"/>
    <w:rsid w:val="75155E21"/>
    <w:rsid w:val="75222E9E"/>
    <w:rsid w:val="7525740C"/>
    <w:rsid w:val="75371FEE"/>
    <w:rsid w:val="75427E00"/>
    <w:rsid w:val="755119D3"/>
    <w:rsid w:val="75622F87"/>
    <w:rsid w:val="75657ACC"/>
    <w:rsid w:val="7575624B"/>
    <w:rsid w:val="75A650F5"/>
    <w:rsid w:val="75BB2E4E"/>
    <w:rsid w:val="75E02113"/>
    <w:rsid w:val="75EFEF28"/>
    <w:rsid w:val="763E36E4"/>
    <w:rsid w:val="764A3758"/>
    <w:rsid w:val="766F3C0A"/>
    <w:rsid w:val="76781638"/>
    <w:rsid w:val="76A2766B"/>
    <w:rsid w:val="76B313A7"/>
    <w:rsid w:val="76FA5B62"/>
    <w:rsid w:val="77173371"/>
    <w:rsid w:val="77547D8E"/>
    <w:rsid w:val="775751C9"/>
    <w:rsid w:val="777E10BE"/>
    <w:rsid w:val="77A74F3E"/>
    <w:rsid w:val="77AB1E64"/>
    <w:rsid w:val="77AF36B7"/>
    <w:rsid w:val="77B51988"/>
    <w:rsid w:val="77C13B96"/>
    <w:rsid w:val="77C87AE1"/>
    <w:rsid w:val="77DD24EE"/>
    <w:rsid w:val="77E31DA0"/>
    <w:rsid w:val="77FE290E"/>
    <w:rsid w:val="783158D7"/>
    <w:rsid w:val="78AB5796"/>
    <w:rsid w:val="78C26A79"/>
    <w:rsid w:val="78CD5F14"/>
    <w:rsid w:val="78D16A57"/>
    <w:rsid w:val="78F54912"/>
    <w:rsid w:val="7915602E"/>
    <w:rsid w:val="791A1ED6"/>
    <w:rsid w:val="79316A18"/>
    <w:rsid w:val="793C04E8"/>
    <w:rsid w:val="794655E4"/>
    <w:rsid w:val="794E4864"/>
    <w:rsid w:val="79550BAB"/>
    <w:rsid w:val="79975BE2"/>
    <w:rsid w:val="799A068C"/>
    <w:rsid w:val="79A503B5"/>
    <w:rsid w:val="79AB0BFD"/>
    <w:rsid w:val="79DB4D19"/>
    <w:rsid w:val="79E86A9E"/>
    <w:rsid w:val="7A1609CC"/>
    <w:rsid w:val="7A2A23D5"/>
    <w:rsid w:val="7A2A6AA8"/>
    <w:rsid w:val="7A7217F4"/>
    <w:rsid w:val="7A7A20E2"/>
    <w:rsid w:val="7A85352B"/>
    <w:rsid w:val="7A8E0A95"/>
    <w:rsid w:val="7A925167"/>
    <w:rsid w:val="7ABD46C9"/>
    <w:rsid w:val="7ACC6E7D"/>
    <w:rsid w:val="7AE718AA"/>
    <w:rsid w:val="7B1754E5"/>
    <w:rsid w:val="7B630D2E"/>
    <w:rsid w:val="7B66100C"/>
    <w:rsid w:val="7B7D45AF"/>
    <w:rsid w:val="7B824E89"/>
    <w:rsid w:val="7B972123"/>
    <w:rsid w:val="7BAF770D"/>
    <w:rsid w:val="7BB15EA8"/>
    <w:rsid w:val="7BB8261A"/>
    <w:rsid w:val="7BCCD093"/>
    <w:rsid w:val="7BCD4645"/>
    <w:rsid w:val="7BD04E46"/>
    <w:rsid w:val="7BFF3FF0"/>
    <w:rsid w:val="7BFFF520"/>
    <w:rsid w:val="7C003CB8"/>
    <w:rsid w:val="7C2707BE"/>
    <w:rsid w:val="7C66427D"/>
    <w:rsid w:val="7C9E673B"/>
    <w:rsid w:val="7CBC7F59"/>
    <w:rsid w:val="7CC41FB0"/>
    <w:rsid w:val="7CC91242"/>
    <w:rsid w:val="7CDA2F0B"/>
    <w:rsid w:val="7CDF05EB"/>
    <w:rsid w:val="7CEA2C16"/>
    <w:rsid w:val="7CEDD363"/>
    <w:rsid w:val="7D2C7332"/>
    <w:rsid w:val="7D82798E"/>
    <w:rsid w:val="7DB33574"/>
    <w:rsid w:val="7DBF2BD2"/>
    <w:rsid w:val="7DBF7D47"/>
    <w:rsid w:val="7DC66CDF"/>
    <w:rsid w:val="7DCD49D2"/>
    <w:rsid w:val="7DE26FF3"/>
    <w:rsid w:val="7DEF0F96"/>
    <w:rsid w:val="7E195714"/>
    <w:rsid w:val="7E8F5EE9"/>
    <w:rsid w:val="7EE95F2E"/>
    <w:rsid w:val="7EEE6272"/>
    <w:rsid w:val="7EFD013F"/>
    <w:rsid w:val="7F151E60"/>
    <w:rsid w:val="7F197300"/>
    <w:rsid w:val="7F730D60"/>
    <w:rsid w:val="7F7FA9CC"/>
    <w:rsid w:val="7F9E8A4F"/>
    <w:rsid w:val="7FA667B1"/>
    <w:rsid w:val="7FBCA3E1"/>
    <w:rsid w:val="7FBE4E6D"/>
    <w:rsid w:val="7FE6E78B"/>
    <w:rsid w:val="7FEE7AFB"/>
    <w:rsid w:val="7FF93BCA"/>
    <w:rsid w:val="7FFBD0C7"/>
    <w:rsid w:val="7FFD5506"/>
    <w:rsid w:val="7FFFC01D"/>
    <w:rsid w:val="82038A93"/>
    <w:rsid w:val="8F3F55FE"/>
    <w:rsid w:val="97BD66AE"/>
    <w:rsid w:val="9DBFC996"/>
    <w:rsid w:val="9FBE3B40"/>
    <w:rsid w:val="AB53E432"/>
    <w:rsid w:val="AFF78924"/>
    <w:rsid w:val="B5BA075D"/>
    <w:rsid w:val="BEFE2344"/>
    <w:rsid w:val="BF37ACF3"/>
    <w:rsid w:val="BFDF2432"/>
    <w:rsid w:val="BFE1077E"/>
    <w:rsid w:val="C7973A7D"/>
    <w:rsid w:val="CFD53E90"/>
    <w:rsid w:val="D5FDC566"/>
    <w:rsid w:val="DC7EEF3E"/>
    <w:rsid w:val="DDFE8B0B"/>
    <w:rsid w:val="DFD28C89"/>
    <w:rsid w:val="DFFED326"/>
    <w:rsid w:val="DFFF1081"/>
    <w:rsid w:val="E5BE5506"/>
    <w:rsid w:val="EDB5404C"/>
    <w:rsid w:val="EF30F8A1"/>
    <w:rsid w:val="EF7C2086"/>
    <w:rsid w:val="EFDF4661"/>
    <w:rsid w:val="EFFFF986"/>
    <w:rsid w:val="F2DC3F36"/>
    <w:rsid w:val="F3DB8B8B"/>
    <w:rsid w:val="F3DD64EC"/>
    <w:rsid w:val="F6BF2BD6"/>
    <w:rsid w:val="F7F9F915"/>
    <w:rsid w:val="F8F5251F"/>
    <w:rsid w:val="F9CF864F"/>
    <w:rsid w:val="F9E7E3B7"/>
    <w:rsid w:val="F9FEA519"/>
    <w:rsid w:val="FD530C82"/>
    <w:rsid w:val="FD6110FC"/>
    <w:rsid w:val="FD7613C2"/>
    <w:rsid w:val="FD7B5F47"/>
    <w:rsid w:val="FDEFDC68"/>
    <w:rsid w:val="FEA5F6D4"/>
    <w:rsid w:val="FFEDBD7D"/>
    <w:rsid w:val="FFF35F80"/>
    <w:rsid w:val="FFF7B695"/>
    <w:rsid w:val="FFFEC25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keepNext/>
      <w:keepLines/>
      <w:widowControl/>
      <w:spacing w:before="120" w:after="60" w:line="500" w:lineRule="exact"/>
      <w:ind w:firstLine="800" w:firstLineChars="200"/>
      <w:jc w:val="left"/>
      <w:outlineLvl w:val="0"/>
    </w:pPr>
    <w:rPr>
      <w:rFonts w:ascii="Times New Roman" w:hAnsi="Times New Roman" w:eastAsia="黑体" w:cs="Times New Roman"/>
      <w:bCs/>
      <w:color w:val="000000"/>
      <w:kern w:val="0"/>
      <w:sz w:val="28"/>
      <w:szCs w:val="28"/>
      <w:lang w:val="zh-CN"/>
    </w:rPr>
  </w:style>
  <w:style w:type="paragraph" w:styleId="4">
    <w:name w:val="heading 2"/>
    <w:basedOn w:val="1"/>
    <w:next w:val="1"/>
    <w:qFormat/>
    <w:uiPriority w:val="0"/>
    <w:pPr>
      <w:keepNext/>
      <w:keepLines/>
      <w:widowControl/>
      <w:spacing w:before="120" w:after="60" w:line="500" w:lineRule="exact"/>
      <w:ind w:firstLine="800" w:firstLineChars="200"/>
      <w:jc w:val="left"/>
      <w:outlineLvl w:val="1"/>
    </w:pPr>
    <w:rPr>
      <w:rFonts w:ascii="Times New Roman" w:hAnsi="Times New Roman" w:eastAsia="楷体" w:cs="Times New Roman"/>
      <w:bCs/>
      <w:color w:val="000000"/>
      <w:kern w:val="0"/>
      <w:sz w:val="28"/>
      <w:szCs w:val="26"/>
      <w:lang w:val="zh-CN"/>
    </w:rPr>
  </w:style>
  <w:style w:type="paragraph" w:styleId="5">
    <w:name w:val="heading 3"/>
    <w:basedOn w:val="1"/>
    <w:next w:val="1"/>
    <w:semiHidden/>
    <w:unhideWhenUsed/>
    <w:qFormat/>
    <w:uiPriority w:val="0"/>
    <w:pPr>
      <w:spacing w:beforeAutospacing="1" w:afterAutospacing="1"/>
      <w:jc w:val="left"/>
      <w:outlineLvl w:val="2"/>
    </w:pPr>
    <w:rPr>
      <w:rFonts w:hint="eastAsia" w:ascii="宋体" w:hAnsi="宋体" w:eastAsia="宋体" w:cs="Times New Roman"/>
      <w:b/>
      <w:bCs/>
      <w:kern w:val="0"/>
      <w:sz w:val="27"/>
      <w:szCs w:val="27"/>
    </w:rPr>
  </w:style>
  <w:style w:type="paragraph" w:styleId="6">
    <w:name w:val="heading 4"/>
    <w:basedOn w:val="1"/>
    <w:next w:val="1"/>
    <w:semiHidden/>
    <w:unhideWhenUsed/>
    <w:qFormat/>
    <w:uiPriority w:val="0"/>
    <w:pPr>
      <w:spacing w:beforeAutospacing="1" w:afterAutospacing="1"/>
      <w:jc w:val="left"/>
      <w:outlineLvl w:val="3"/>
    </w:pPr>
    <w:rPr>
      <w:rFonts w:hint="eastAsia" w:ascii="宋体" w:hAnsi="宋体" w:eastAsia="宋体" w:cs="Times New Roman"/>
      <w:b/>
      <w:bCs/>
      <w:kern w:val="0"/>
      <w:sz w:val="24"/>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Body Text Indent 2"/>
    <w:basedOn w:val="1"/>
    <w:qFormat/>
    <w:uiPriority w:val="0"/>
    <w:pPr>
      <w:widowControl/>
      <w:spacing w:line="330" w:lineRule="atLeast"/>
      <w:ind w:firstLine="420"/>
      <w:jc w:val="left"/>
    </w:pPr>
    <w:rPr>
      <w:rFonts w:ascii="宋体" w:hAnsi="宋体"/>
      <w:color w:val="000000"/>
      <w:kern w:val="0"/>
      <w:szCs w:val="21"/>
    </w:rPr>
  </w:style>
  <w:style w:type="paragraph" w:styleId="7">
    <w:name w:val="annotation text"/>
    <w:basedOn w:val="1"/>
    <w:qFormat/>
    <w:uiPriority w:val="0"/>
    <w:pPr>
      <w:jc w:val="left"/>
    </w:pPr>
  </w:style>
  <w:style w:type="paragraph" w:styleId="8">
    <w:name w:val="Body Text Indent"/>
    <w:basedOn w:val="1"/>
    <w:next w:val="1"/>
    <w:qFormat/>
    <w:uiPriority w:val="0"/>
    <w:pPr>
      <w:widowControl/>
      <w:spacing w:before="100" w:beforeAutospacing="1" w:after="100" w:afterAutospacing="1"/>
      <w:jc w:val="left"/>
    </w:pPr>
    <w:rPr>
      <w:rFonts w:ascii="宋体" w:hAnsi="宋体" w:eastAsia="宋体"/>
      <w:kern w:val="0"/>
      <w:sz w:val="24"/>
    </w:rPr>
  </w:style>
  <w:style w:type="paragraph" w:styleId="9">
    <w:name w:val="footer"/>
    <w:basedOn w:val="1"/>
    <w:link w:val="22"/>
    <w:qFormat/>
    <w:uiPriority w:val="99"/>
    <w:pPr>
      <w:tabs>
        <w:tab w:val="center" w:pos="4153"/>
        <w:tab w:val="right" w:pos="8306"/>
      </w:tabs>
      <w:snapToGrid w:val="0"/>
      <w:jc w:val="left"/>
    </w:pPr>
    <w:rPr>
      <w:sz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1">
    <w:name w:val="toc 1"/>
    <w:basedOn w:val="1"/>
    <w:next w:val="1"/>
    <w:qFormat/>
    <w:uiPriority w:val="0"/>
  </w:style>
  <w:style w:type="paragraph" w:styleId="12">
    <w:name w:val="toc 2"/>
    <w:basedOn w:val="1"/>
    <w:next w:val="1"/>
    <w:qFormat/>
    <w:uiPriority w:val="0"/>
    <w:pPr>
      <w:ind w:left="420" w:leftChars="200"/>
    </w:pPr>
  </w:style>
  <w:style w:type="paragraph" w:styleId="13">
    <w:name w:val="Title"/>
    <w:basedOn w:val="1"/>
    <w:next w:val="1"/>
    <w:qFormat/>
    <w:uiPriority w:val="0"/>
    <w:pPr>
      <w:adjustRightInd w:val="0"/>
      <w:snapToGrid w:val="0"/>
      <w:spacing w:line="360" w:lineRule="auto"/>
      <w:ind w:firstLine="800" w:firstLineChars="200"/>
      <w:jc w:val="left"/>
      <w:outlineLvl w:val="0"/>
    </w:pPr>
    <w:rPr>
      <w:rFonts w:ascii="Arial" w:hAnsi="Arial" w:eastAsia="仿宋"/>
      <w:sz w:val="32"/>
      <w:szCs w:val="32"/>
    </w:rPr>
  </w:style>
  <w:style w:type="paragraph" w:styleId="14">
    <w:name w:val="Body Text First Indent 2"/>
    <w:basedOn w:val="8"/>
    <w:unhideWhenUsed/>
    <w:qFormat/>
    <w:uiPriority w:val="99"/>
    <w:pPr>
      <w:ind w:firstLine="420"/>
    </w:p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qFormat/>
    <w:uiPriority w:val="0"/>
    <w:rPr>
      <w:b/>
    </w:rPr>
  </w:style>
  <w:style w:type="paragraph" w:customStyle="1" w:styleId="19">
    <w:name w:val="_Style 3"/>
    <w:basedOn w:val="1"/>
    <w:next w:val="20"/>
    <w:unhideWhenUsed/>
    <w:qFormat/>
    <w:uiPriority w:val="99"/>
    <w:pPr>
      <w:spacing w:line="360" w:lineRule="auto"/>
      <w:ind w:firstLine="420" w:firstLineChars="200"/>
      <w:jc w:val="left"/>
    </w:pPr>
    <w:rPr>
      <w:rFonts w:ascii="Times New Roman" w:hAnsi="Times New Roman" w:eastAsia="仿宋"/>
      <w:sz w:val="32"/>
      <w:lang w:eastAsia="zh-TW"/>
    </w:rPr>
  </w:style>
  <w:style w:type="paragraph" w:styleId="20">
    <w:name w:val="List Paragraph"/>
    <w:basedOn w:val="1"/>
    <w:qFormat/>
    <w:uiPriority w:val="34"/>
    <w:pPr>
      <w:ind w:firstLine="420" w:firstLineChars="200"/>
    </w:pPr>
  </w:style>
  <w:style w:type="paragraph" w:customStyle="1" w:styleId="21">
    <w:name w:val="正文1"/>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22">
    <w:name w:val="页脚 字符"/>
    <w:basedOn w:val="17"/>
    <w:link w:val="9"/>
    <w:qFormat/>
    <w:uiPriority w:val="99"/>
    <w:rPr>
      <w:rFonts w:asciiTheme="minorHAnsi" w:hAnsiTheme="minorHAnsi" w:eastAsiaTheme="minorEastAsia" w:cstheme="minorBidi"/>
      <w:kern w:val="2"/>
      <w:sz w:val="18"/>
      <w:szCs w:val="24"/>
    </w:rPr>
  </w:style>
  <w:style w:type="paragraph" w:customStyle="1" w:styleId="23">
    <w:name w:val="p0"/>
    <w:basedOn w:val="1"/>
    <w:qFormat/>
    <w:uiPriority w:val="0"/>
    <w:pPr>
      <w:widowControl w:val="0"/>
      <w:wordWrap w:val="0"/>
      <w:jc w:val="both"/>
    </w:pPr>
    <w:rPr>
      <w:rFonts w:ascii="Calibri" w:hAnsi="Calibri" w:eastAsia="仿宋"/>
      <w:kern w:val="2"/>
      <w:sz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xmlns="http://schemas.wps.cn/vas-ai-hub/contract-review">
    <reviewItem xmlns="http://schemas.wps.cn/vas-ai-hub/contract-review">
      <errorID xmlns="http://schemas.wps.cn/vas-ai-hub/contract-review">fed6aff8-a7e3-4384-a6c4-62d45a2a5426</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14F9BCFA</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5a9cb925-737d-47b7-97fe-ba9b25face56</errorID>
      <errorWord xmlns="http://schemas.wps.cn/vas-ai-hub/contract-review">万</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万元</item>
      </candidateList>
      <explain xmlns="http://schemas.wps.cn/vas-ai-hub/contract-review"/>
      <paraID xmlns="http://schemas.wps.cn/vas-ai-hub/contract-review">3F413F23</paraID>
      <start xmlns="http://schemas.wps.cn/vas-ai-hub/contract-review">37</start>
      <end xmlns="http://schemas.wps.cn/vas-ai-hub/contract-review">38</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39c4a78c-393d-4eb2-89ae-f770b28e4342</errorID>
      <errorWord xmlns="http://schemas.wps.cn/vas-ai-hub/contract-review">及</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及可</item>
      </candidateList>
      <explain xmlns="http://schemas.wps.cn/vas-ai-hub/contract-review"/>
      <paraID xmlns="http://schemas.wps.cn/vas-ai-hub/contract-review">5F1301EA</paraID>
      <start xmlns="http://schemas.wps.cn/vas-ai-hub/contract-review">210</start>
      <end xmlns="http://schemas.wps.cn/vas-ai-hub/contract-review">211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414f24e5-d7eb-4e99-9ee8-f092466d8d40</errorID>
      <errorWord xmlns="http://schemas.wps.cn/vas-ai-hub/contract-review">部</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部等</item>
      </candidateList>
      <explain xmlns="http://schemas.wps.cn/vas-ai-hub/contract-review"/>
      <paraID xmlns="http://schemas.wps.cn/vas-ai-hub/contract-review">19C5380F</paraID>
      <start xmlns="http://schemas.wps.cn/vas-ai-hub/contract-review">23</start>
      <end xmlns="http://schemas.wps.cn/vas-ai-hub/contract-review">24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e2ca5369-8fb7-46f2-96e9-cdc8f4c039a1</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》等</item>
      </candidateList>
      <explain xmlns="http://schemas.wps.cn/vas-ai-hub/contract-review"/>
      <paraID xmlns="http://schemas.wps.cn/vas-ai-hub/contract-review"> 661AC43</paraID>
      <start xmlns="http://schemas.wps.cn/vas-ai-hub/contract-review">86</start>
      <end xmlns="http://schemas.wps.cn/vas-ai-hub/contract-review">87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78167d1e-569d-48fd-b450-b8bad38b6264</errorID>
      <errorWord xmlns="http://schemas.wps.cn/vas-ai-hub/contract-review">万</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万元</item>
      </candidateList>
      <explain xmlns="http://schemas.wps.cn/vas-ai-hub/contract-review"/>
      <paraID xmlns="http://schemas.wps.cn/vas-ai-hub/contract-review"> 661AC43</paraID>
      <start xmlns="http://schemas.wps.cn/vas-ai-hub/contract-review">176</start>
      <end xmlns="http://schemas.wps.cn/vas-ai-hub/contract-review">177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eb3c625f-5d5a-4d1c-8477-7bbeea27a103</errorID>
      <errorWord xmlns="http://schemas.wps.cn/vas-ai-hub/contract-review">2026年1月1日</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2026年1月1日起</item>
      </candidateList>
      <explain xmlns="http://schemas.wps.cn/vas-ai-hub/contract-review"/>
      <paraID xmlns="http://schemas.wps.cn/vas-ai-hub/contract-review"> 661AC43</paraID>
      <start xmlns="http://schemas.wps.cn/vas-ai-hub/contract-review">258</start>
      <end xmlns="http://schemas.wps.cn/vas-ai-hub/contract-review">267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c51eaab8-8848-4e53-a954-d8f4efb09408</errorID>
      <errorWord xmlns="http://schemas.wps.cn/vas-ai-hub/contract-review">市北</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市委</item>
      </candidateList>
      <explain xmlns="http://schemas.wps.cn/vas-ai-hub/contract-review"/>
      <paraID xmlns="http://schemas.wps.cn/vas-ai-hub/contract-review">3A7132AC</paraID>
      <start xmlns="http://schemas.wps.cn/vas-ai-hub/contract-review">148</start>
      <end xmlns="http://schemas.wps.cn/vas-ai-hub/contract-review">150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aaef8ce8-cfb7-48b8-8f3b-f3989c6d3e44</errorID>
      <errorWord xmlns="http://schemas.wps.cn/vas-ai-hub/contract-review">行</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行了</item>
      </candidateList>
      <explain xmlns="http://schemas.wps.cn/vas-ai-hub/contract-review"/>
      <paraID xmlns="http://schemas.wps.cn/vas-ai-hub/contract-review">3A7132AC</paraID>
      <start xmlns="http://schemas.wps.cn/vas-ai-hub/contract-review">384</start>
      <end xmlns="http://schemas.wps.cn/vas-ai-hub/contract-review">385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8c9689f2-9f67-4341-97a1-aab86da91c08</errorID>
      <errorWord xmlns="http://schemas.wps.cn/vas-ai-hub/contract-review">人民日报</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《人民日报》</item>
      </candidateList>
      <explain xmlns="http://schemas.wps.cn/vas-ai-hub/contract-review"/>
      <paraID xmlns="http://schemas.wps.cn/vas-ai-hub/contract-review">3B653B9F</paraID>
      <start xmlns="http://schemas.wps.cn/vas-ai-hub/contract-review">220</start>
      <end xmlns="http://schemas.wps.cn/vas-ai-hub/contract-review">224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18a7b4c4-1846-4868-a363-ac36d5d11d3f</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根据国标GB/T 15834-2011《标点符号用法》中的4.5.3.5节，标有引号的并列成分之间、标有书名号的并列成分之间通常不用顿号。如“《红楼梦》《三国演义》《西游记》《水浒传》，是我国长篇小说的四大名著”。</explain>
      <paraID xmlns="http://schemas.wps.cn/vas-ai-hub/contract-review">6FCA18CC</paraID>
      <start xmlns="http://schemas.wps.cn/vas-ai-hub/contract-review">36</start>
      <end xmlns="http://schemas.wps.cn/vas-ai-hub/contract-review">39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7dc38ca1-ce6b-4cd7-9e85-f4c960d1ee4e</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根据国标GB/T 15834-2011《标点符号用法》中的4.5.3.5节，标有引号的并列成分之间、标有书名号的并列成分之间通常不用顿号。如“《红楼梦》《三国演义》《西游记》《水浒传》，是我国长篇小说的四大名著”。</explain>
      <paraID xmlns="http://schemas.wps.cn/vas-ai-hub/contract-review">6FCA18CC</paraID>
      <start xmlns="http://schemas.wps.cn/vas-ai-hub/contract-review">57</start>
      <end xmlns="http://schemas.wps.cn/vas-ai-hub/contract-review">60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9362ed1b-4d2e-4e78-aa97-577ae875e1e4</errorID>
      <errorWord xmlns="http://schemas.wps.cn/vas-ai-hub/contract-review">万</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万元</item>
      </candidateList>
      <explain xmlns="http://schemas.wps.cn/vas-ai-hub/contract-review"/>
      <paraID xmlns="http://schemas.wps.cn/vas-ai-hub/contract-review">5AF89745</paraID>
      <start xmlns="http://schemas.wps.cn/vas-ai-hub/contract-review">84</start>
      <end xmlns="http://schemas.wps.cn/vas-ai-hub/contract-review">85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a8bdfbc9-45ab-47d7-be69-c25b007e4f91</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2813AB20</paraID>
      <start xmlns="http://schemas.wps.cn/vas-ai-hub/contract-review">210</start>
      <end xmlns="http://schemas.wps.cn/vas-ai-hub/contract-review">216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f942bb35-38f0-4f2c-9873-bf09cc3a0762</errorID>
      <errorWord xmlns="http://schemas.wps.cn/vas-ai-hub/contract-review">2026年1月1日</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2026年1月1日起</item>
      </candidateList>
      <explain xmlns="http://schemas.wps.cn/vas-ai-hub/contract-review"/>
      <paraID xmlns="http://schemas.wps.cn/vas-ai-hub/contract-review">1064B1A4</paraID>
      <start xmlns="http://schemas.wps.cn/vas-ai-hub/contract-review">87</start>
      <end xmlns="http://schemas.wps.cn/vas-ai-hub/contract-review">96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0586248b-5528-49e7-a376-380cd2c72c91</errorID>
      <errorWord xmlns="http://schemas.wps.cn/vas-ai-hub/contract-review">日至2026年</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日起至2026年</item>
      </candidateList>
      <explain xmlns="http://schemas.wps.cn/vas-ai-hub/contract-review"/>
      <paraID xmlns="http://schemas.wps.cn/vas-ai-hub/contract-review">526C415B</paraID>
      <start xmlns="http://schemas.wps.cn/vas-ai-hub/contract-review">137</start>
      <end xmlns="http://schemas.wps.cn/vas-ai-hub/contract-review">144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d8417a99-93ee-4e00-a7c9-779556db3820</errorID>
      <errorWord xmlns="http://schemas.wps.cn/vas-ai-hub/contract-review">日至2026年</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日起至2026年</item>
      </candidateList>
      <explain xmlns="http://schemas.wps.cn/vas-ai-hub/contract-review"/>
      <paraID xmlns="http://schemas.wps.cn/vas-ai-hub/contract-review">27FC6C6D</paraID>
      <start xmlns="http://schemas.wps.cn/vas-ai-hub/contract-review">154</start>
      <end xmlns="http://schemas.wps.cn/vas-ai-hub/contract-review">161</end>
      <status xmlns="http://schemas.wps.cn/vas-ai-hub/contract-review">unmodified</status>
      <modifiedWord xmlns="http://schemas.wps.cn/vas-ai-hub/contract-review"/>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1f85ee2-8ec0-4771-93e7-c3babb5661e3}">
  <ds:schemaRefs/>
</ds:datastoreItem>
</file>

<file path=docProps/app.xml><?xml version="1.0" encoding="utf-8"?>
<Properties xmlns="http://schemas.openxmlformats.org/officeDocument/2006/extended-properties" xmlns:vt="http://schemas.openxmlformats.org/officeDocument/2006/docPropsVTypes">
  <Template>Normal.dotm</Template>
  <Company>WRGHO.COM</Company>
  <Pages>15</Pages>
  <Words>4487</Words>
  <Characters>4782</Characters>
  <Lines>959</Lines>
  <Paragraphs>685</Paragraphs>
  <TotalTime>15</TotalTime>
  <ScaleCrop>false</ScaleCrop>
  <LinksUpToDate>false</LinksUpToDate>
  <CharactersWithSpaces>4874</CharactersWithSpaces>
  <Application>WPS Office_12.8.2.1112_F1E327BC-269C-435d-A152-05C5408002CA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2023-09-18T17:07:00Z</dcterms:created>
  <dc:creator>lenovo</dc:creator>
  <cp:lastModifiedBy>SUMA</cp:lastModifiedBy>
  <cp:lastPrinted>2026-08-31T15:20:00Z</cp:lastPrinted>
  <dcterms:modified xsi:type="dcterms:W3CDTF">2026-09-08T09:45:15Z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2052-12.8.2.1112</vt:lpwstr>
  </property>
  <property fmtid="{D5CDD505-2E9C-101B-9397-08002B2CF9AE}" pid="3" name="ICV">
    <vt:lpwstr>23D92DFC5781DE7B91689F6AAC472617_43</vt:lpwstr>
  </property>
  <property fmtid="{D5CDD505-2E9C-101B-9397-08002B2CF9AE}" pid="4" name="KSOTemplateDocerSaveRecord">
    <vt:lpwstr>eyJoZGlkIjoiZTEyY2FjZjYwNTUyNTFlYjFhMDFmYzI2OGJjMmIyM2QiLCJ1c2VySWQiOiI0NTc1MTI3NjkifQ==</vt:lpwstr>
  </property>
</Properties>
</file>