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F65A43">
      <w:pPr>
        <w:pStyle w:val="27"/>
        <w:spacing w:line="560" w:lineRule="exact"/>
        <w:ind w:firstLine="0" w:firstLineChars="0"/>
        <w:jc w:val="both"/>
        <w:outlineLvl w:val="9"/>
        <w:rPr>
          <w:rFonts w:ascii="方正小标宋_GBK" w:hAnsi="方正小标宋_GBK" w:eastAsia="方正小标宋_GBK" w:cs="方正小标宋_GBK"/>
        </w:rPr>
      </w:pPr>
      <w:bookmarkStart w:id="77" w:name="_GoBack"/>
      <w:bookmarkEnd w:id="77"/>
      <w:r>
        <w:rPr>
          <w:rFonts w:ascii="方正小标宋_GBK" w:hAnsi="方正小标宋_GBK" w:eastAsia="方正小标宋_GBK" w:cs="方正小标宋_GBK"/>
        </w:rPr>
        <w:t>2025</w:t>
      </w:r>
      <w:r>
        <w:rPr>
          <w:rFonts w:hint="eastAsia" w:ascii="方正小标宋_GBK" w:hAnsi="方正小标宋_GBK" w:eastAsia="方正小标宋_GBK" w:cs="方正小标宋_GBK"/>
        </w:rPr>
        <w:t>年度青岛市生态环境局部门整体支出</w:t>
      </w:r>
    </w:p>
    <w:p w14:paraId="007982E9">
      <w:pPr>
        <w:pStyle w:val="27"/>
        <w:spacing w:line="560" w:lineRule="exact"/>
        <w:ind w:firstLine="0" w:firstLineChars="0"/>
        <w:outlineLvl w:val="9"/>
        <w:rPr>
          <w:rFonts w:ascii="方正小标宋_GBK" w:hAnsi="方正小标宋_GBK" w:eastAsia="方正小标宋_GBK" w:cs="方正小标宋_GBK"/>
        </w:rPr>
      </w:pPr>
      <w:r>
        <w:rPr>
          <w:rFonts w:hint="eastAsia" w:ascii="方正小标宋_GBK" w:hAnsi="方正小标宋_GBK" w:eastAsia="方正小标宋_GBK" w:cs="方正小标宋_GBK"/>
        </w:rPr>
        <w:t>绩效评价报告</w:t>
      </w:r>
    </w:p>
    <w:p w14:paraId="53049B84">
      <w:pPr>
        <w:pStyle w:val="4"/>
        <w:spacing w:line="560" w:lineRule="exact"/>
        <w:rPr>
          <w:rFonts w:hint="eastAsia"/>
        </w:rPr>
      </w:pPr>
      <w:bookmarkStart w:id="0" w:name="_Toc238561289"/>
    </w:p>
    <w:p w14:paraId="7B4331B1">
      <w:pPr>
        <w:pStyle w:val="4"/>
        <w:spacing w:line="560" w:lineRule="exact"/>
      </w:pPr>
      <w:r>
        <w:rPr>
          <w:rFonts w:hint="eastAsia"/>
        </w:rPr>
        <w:t>一、部门基本情况</w:t>
      </w:r>
      <w:bookmarkEnd w:id="0"/>
    </w:p>
    <w:p w14:paraId="688F3BF4">
      <w:pPr>
        <w:pStyle w:val="40"/>
        <w:spacing w:line="560" w:lineRule="exact"/>
      </w:pPr>
      <w:bookmarkStart w:id="1" w:name="_Toc238561290"/>
      <w:r>
        <w:rPr>
          <w:rFonts w:hint="eastAsia"/>
        </w:rPr>
        <w:t>（一）部门概况</w:t>
      </w:r>
      <w:bookmarkEnd w:id="1"/>
    </w:p>
    <w:p w14:paraId="64522D43">
      <w:pPr>
        <w:pStyle w:val="30"/>
        <w:spacing w:line="560" w:lineRule="exact"/>
      </w:pPr>
      <w:r>
        <w:rPr>
          <w:rFonts w:hint="eastAsia"/>
        </w:rPr>
        <w:t>1.部门概况和职能</w:t>
      </w:r>
    </w:p>
    <w:p w14:paraId="13F8589A">
      <w:pPr>
        <w:pStyle w:val="30"/>
        <w:spacing w:line="560" w:lineRule="exact"/>
      </w:pPr>
      <w:r>
        <w:rPr>
          <w:rFonts w:hint="eastAsia" w:hAnsi="Times New Roman" w:cs="Times New Roman"/>
        </w:rPr>
        <w:t>青岛市生态环境局（以下简称“市生态环境局”）是市政府工作部门，为正局级。主要职责是：贯彻执行生态环境领域的法律法规和方针政策、负责重大生态环境问题的统筹协调和监督管理、负责监督管理减排目标的落实、负责生态环境准入的监督管理、负责环境污染防治的监督管理、协调指导和监督生态保护修复工作、负责核与辐射安全的监督管理工作、开展生态环境科技和信息化工作、负责应对气候变化工作、负责生态环境监督执法、负责有关生态环境监测工作、负责生态环境宣传教育工作、开展生态环境对外合作与交流、承担市环境保护委员会日常工作等职能。</w:t>
      </w:r>
    </w:p>
    <w:p w14:paraId="7C3FF98D">
      <w:pPr>
        <w:pStyle w:val="30"/>
        <w:spacing w:line="560" w:lineRule="exact"/>
      </w:pPr>
      <w:r>
        <w:rPr>
          <w:rFonts w:hint="eastAsia"/>
        </w:rPr>
        <w:t>2.部门机构和人员</w:t>
      </w:r>
    </w:p>
    <w:p w14:paraId="3B21CF08">
      <w:pPr>
        <w:pStyle w:val="30"/>
        <w:spacing w:line="560" w:lineRule="exact"/>
        <w:rPr>
          <w:rFonts w:hAnsi="Times New Roman" w:cs="Times New Roman"/>
        </w:rPr>
      </w:pPr>
      <w:r>
        <w:rPr>
          <w:rFonts w:hint="eastAsia" w:hAnsi="Times New Roman" w:cs="Times New Roman"/>
        </w:rPr>
        <w:t>市生态环境局设17个内设机构，分别为：办公室（挂国际合作处牌子）、人事处、财务审计处、综合与科技处、法规和执法监督处、污染物排放总量控制处（挂应对气候变化处牌子）、生态保护处（挂农村生态环境保护处牌子）、水生态环境处、海洋生态环境处、大气环境处、土壤环境和固体废物处、核与辐射安全管理处、环境安全应急和舆情处、环境影响评价处、生态环境保护督察协调办公室、机关党委、离退休工作处。</w:t>
      </w:r>
    </w:p>
    <w:p w14:paraId="4923D2E3">
      <w:pPr>
        <w:pStyle w:val="30"/>
        <w:spacing w:line="560" w:lineRule="exact"/>
      </w:pPr>
      <w:r>
        <w:rPr>
          <w:rFonts w:hint="eastAsia" w:hAnsi="Times New Roman" w:cs="Times New Roman"/>
        </w:rPr>
        <w:t>市生态环境局设置市南、市北、李沧、崂山、西海岸新区、城阳、即墨、胶州、平度、莱西、高新区1</w:t>
      </w:r>
      <w:r>
        <w:rPr>
          <w:rFonts w:hAnsi="Times New Roman" w:cs="Times New Roman"/>
        </w:rPr>
        <w:t>1</w:t>
      </w:r>
      <w:r>
        <w:rPr>
          <w:rFonts w:hint="eastAsia" w:hAnsi="Times New Roman" w:cs="Times New Roman"/>
        </w:rPr>
        <w:t>个分局，按照权限依法行使所管辖范围内的生态环境保护职责。设</w:t>
      </w:r>
      <w:r>
        <w:rPr>
          <w:rFonts w:hAnsi="Times New Roman" w:cs="Times New Roman"/>
        </w:rPr>
        <w:t>16</w:t>
      </w:r>
      <w:r>
        <w:rPr>
          <w:rFonts w:hint="eastAsia" w:hAnsi="Times New Roman" w:cs="Times New Roman"/>
        </w:rPr>
        <w:t>个下属事业单位，分别为：青岛市生态环境综合行政执法支队、青岛市环境保护科学研究院、青岛市生态环境监控中心、各分局生态环境监控中心、青岛市环境工程评估中心、青岛市生态环保创新中心。</w:t>
      </w:r>
    </w:p>
    <w:p w14:paraId="3FCE2B2E">
      <w:pPr>
        <w:pStyle w:val="30"/>
        <w:spacing w:line="560" w:lineRule="exact"/>
      </w:pPr>
      <w:r>
        <w:rPr>
          <w:rFonts w:hint="eastAsia" w:hAnsi="Times New Roman" w:cs="Times New Roman"/>
        </w:rPr>
        <w:t>市生态环境局部门人员编制总数1192人，实有1053人。</w:t>
      </w:r>
    </w:p>
    <w:p w14:paraId="7DF85E14">
      <w:pPr>
        <w:pStyle w:val="30"/>
        <w:spacing w:line="560" w:lineRule="exact"/>
      </w:pPr>
      <w:r>
        <w:rPr>
          <w:rFonts w:hint="eastAsia"/>
        </w:rPr>
        <w:t>3.部门预决算情况</w:t>
      </w:r>
    </w:p>
    <w:p w14:paraId="6C3003FD">
      <w:pPr>
        <w:spacing w:line="560" w:lineRule="exact"/>
        <w:ind w:firstLine="640" w:firstLineChars="200"/>
        <w:rPr>
          <w:rFonts w:ascii="仿宋_GB2312" w:hAnsi="Times New Roman" w:eastAsia="仿宋_GB2312" w:cs="Times New Roman"/>
          <w:kern w:val="0"/>
          <w:sz w:val="32"/>
          <w:szCs w:val="32"/>
        </w:rPr>
      </w:pPr>
      <w:r>
        <w:rPr>
          <w:rFonts w:hint="eastAsia" w:ascii="仿宋_GB2312" w:hAnsi="Times New Roman" w:eastAsia="仿宋_GB2312" w:cs="Times New Roman"/>
          <w:kern w:val="0"/>
          <w:sz w:val="32"/>
          <w:szCs w:val="32"/>
        </w:rPr>
        <w:t>市生态环境局部门预算包括：部门本级预算、所属事业单位预算、各分局及其所属监控中心预算。纳入青岛市生态环境局202</w:t>
      </w:r>
      <w:r>
        <w:rPr>
          <w:rFonts w:ascii="仿宋_GB2312" w:hAnsi="Times New Roman" w:eastAsia="仿宋_GB2312" w:cs="Times New Roman"/>
          <w:kern w:val="0"/>
          <w:sz w:val="32"/>
          <w:szCs w:val="32"/>
        </w:rPr>
        <w:t>5</w:t>
      </w:r>
      <w:r>
        <w:rPr>
          <w:rFonts w:hint="eastAsia" w:ascii="仿宋_GB2312" w:hAnsi="Times New Roman" w:eastAsia="仿宋_GB2312" w:cs="Times New Roman"/>
          <w:kern w:val="0"/>
          <w:sz w:val="32"/>
          <w:szCs w:val="32"/>
        </w:rPr>
        <w:t>年部门预算编制范围的二级预算单位共16个，包括：青岛市生态环境局本级、青岛市生态环境综合行政执法支队、青岛市生态环境监控中心、青岛市生态环境局市南分局、青岛市生态环境局市南分局生态环境监控中心、青岛市生态环境局市北分局、青岛市生态环境局市北分局生态环境监控中心、青岛市生态环境局李沧分局、青岛市生态环境局李沧分局生态环境监控中心、青岛市生态环境局崂山分局、青岛市生态环境局崂山分局生态环境监控中心、青岛市生态环境局城阳分局、青岛市生态环境局城阳分局生态环境监控中心、青岛市生态环境局高新区分局、青岛市生态环境局高新技术产业开发区分局生态环境监控中心、山东省青岛生态环境监测中心（仅有原青岛市生态环境监测中心退休人员相关工资数据)。</w:t>
      </w:r>
    </w:p>
    <w:p w14:paraId="0ECB13F8">
      <w:pPr>
        <w:spacing w:line="560" w:lineRule="exact"/>
        <w:ind w:firstLine="640" w:firstLineChars="200"/>
        <w:rPr>
          <w:rFonts w:ascii="仿宋_GB2312" w:hAnsi="Times New Roman" w:eastAsia="仿宋_GB2312" w:cs="Times New Roman"/>
          <w:bCs/>
          <w:sz w:val="32"/>
          <w:szCs w:val="32"/>
        </w:rPr>
      </w:pPr>
      <w:r>
        <w:rPr>
          <w:rFonts w:hint="eastAsia" w:ascii="仿宋_GB2312" w:hAnsi="Times New Roman" w:eastAsia="仿宋_GB2312" w:cs="Times New Roman"/>
          <w:bCs/>
          <w:sz w:val="32"/>
          <w:szCs w:val="32"/>
        </w:rPr>
        <w:t>（1）</w:t>
      </w:r>
      <w:r>
        <w:rPr>
          <w:rFonts w:ascii="仿宋_GB2312" w:hAnsi="Times New Roman" w:eastAsia="仿宋_GB2312" w:cs="Times New Roman"/>
          <w:bCs/>
          <w:sz w:val="32"/>
          <w:szCs w:val="32"/>
        </w:rPr>
        <w:t>2025</w:t>
      </w:r>
      <w:r>
        <w:rPr>
          <w:rFonts w:hint="eastAsia" w:ascii="仿宋_GB2312" w:hAnsi="Times New Roman" w:eastAsia="仿宋_GB2312" w:cs="Times New Roman"/>
          <w:bCs/>
          <w:sz w:val="32"/>
          <w:szCs w:val="32"/>
        </w:rPr>
        <w:t>年度收入预决算情况</w:t>
      </w:r>
    </w:p>
    <w:p w14:paraId="6C68119D">
      <w:pPr>
        <w:pStyle w:val="56"/>
        <w:spacing w:line="56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市生态环境局2025年年初预算收入为43,059.59万元，决算收入为42,98</w:t>
      </w:r>
      <w:r>
        <w:rPr>
          <w:rFonts w:ascii="仿宋_GB2312" w:hAnsi="Times New Roman" w:eastAsia="仿宋_GB2312" w:cs="Times New Roman"/>
          <w:sz w:val="32"/>
          <w:szCs w:val="32"/>
        </w:rPr>
        <w:t>1</w:t>
      </w:r>
      <w:r>
        <w:rPr>
          <w:rFonts w:hint="eastAsia" w:ascii="仿宋_GB2312" w:hAnsi="Times New Roman" w:eastAsia="仿宋_GB2312" w:cs="Times New Roman"/>
          <w:sz w:val="32"/>
          <w:szCs w:val="32"/>
        </w:rPr>
        <w:t>.</w:t>
      </w:r>
      <w:r>
        <w:rPr>
          <w:rFonts w:ascii="仿宋_GB2312" w:hAnsi="Times New Roman" w:eastAsia="仿宋_GB2312" w:cs="Times New Roman"/>
          <w:sz w:val="32"/>
          <w:szCs w:val="32"/>
        </w:rPr>
        <w:t>00</w:t>
      </w:r>
      <w:r>
        <w:rPr>
          <w:rFonts w:hint="eastAsia" w:ascii="仿宋_GB2312" w:hAnsi="Times New Roman" w:eastAsia="仿宋_GB2312" w:cs="Times New Roman"/>
          <w:sz w:val="32"/>
          <w:szCs w:val="32"/>
        </w:rPr>
        <w:t>万元，</w:t>
      </w:r>
      <w:bookmarkStart w:id="2" w:name="_Hlk141861528"/>
      <w:r>
        <w:rPr>
          <w:rFonts w:hint="eastAsia" w:ascii="仿宋_GB2312" w:hAnsi="Times New Roman" w:eastAsia="仿宋_GB2312" w:cs="Times New Roman"/>
          <w:sz w:val="32"/>
          <w:szCs w:val="32"/>
        </w:rPr>
        <w:t>其中，一般公共预算财政拨款收入34,571.35万元，占总收入80.43%，政府性基金预算财政拨款收入257.30万元，占比0.60%，其他收入4,386.</w:t>
      </w:r>
      <w:r>
        <w:rPr>
          <w:rFonts w:ascii="仿宋_GB2312" w:hAnsi="Times New Roman" w:eastAsia="仿宋_GB2312" w:cs="Times New Roman"/>
          <w:sz w:val="32"/>
          <w:szCs w:val="32"/>
        </w:rPr>
        <w:t>70</w:t>
      </w:r>
      <w:r>
        <w:rPr>
          <w:rFonts w:hint="eastAsia" w:ascii="仿宋_GB2312" w:hAnsi="Times New Roman" w:eastAsia="仿宋_GB2312" w:cs="Times New Roman"/>
          <w:sz w:val="32"/>
          <w:szCs w:val="32"/>
        </w:rPr>
        <w:t>万元，占比10.21%，具体情况见表1</w:t>
      </w:r>
      <w:r>
        <w:rPr>
          <w:rFonts w:ascii="仿宋_GB2312" w:hAnsi="Times New Roman" w:eastAsia="仿宋_GB2312" w:cs="Times New Roman"/>
          <w:sz w:val="32"/>
          <w:szCs w:val="32"/>
        </w:rPr>
        <w:t>-1</w:t>
      </w:r>
      <w:r>
        <w:rPr>
          <w:rFonts w:hint="eastAsia" w:ascii="仿宋_GB2312" w:hAnsi="Times New Roman" w:eastAsia="仿宋_GB2312" w:cs="Times New Roman"/>
          <w:sz w:val="32"/>
          <w:szCs w:val="32"/>
        </w:rPr>
        <w:t>。</w:t>
      </w:r>
    </w:p>
    <w:p w14:paraId="2AA3DDF6">
      <w:pPr>
        <w:widowControl/>
        <w:overflowPunct w:val="0"/>
        <w:autoSpaceDE w:val="0"/>
        <w:autoSpaceDN w:val="0"/>
        <w:adjustRightInd w:val="0"/>
        <w:spacing w:line="560" w:lineRule="exact"/>
        <w:jc w:val="center"/>
        <w:textAlignment w:val="baseline"/>
        <w:rPr>
          <w:rFonts w:ascii="仿宋_GB2312" w:hAnsi="Times New Roman" w:eastAsia="仿宋_GB2312" w:cs="Times New Roman"/>
          <w:kern w:val="0"/>
          <w:sz w:val="24"/>
        </w:rPr>
      </w:pPr>
      <w:r>
        <w:rPr>
          <w:rFonts w:hint="eastAsia" w:ascii="仿宋_GB2312" w:hAnsi="Times New Roman" w:eastAsia="仿宋_GB2312" w:cs="Times New Roman"/>
          <w:kern w:val="0"/>
          <w:sz w:val="24"/>
        </w:rPr>
        <w:t>表1</w:t>
      </w:r>
      <w:r>
        <w:rPr>
          <w:rFonts w:ascii="仿宋_GB2312" w:hAnsi="Times New Roman" w:eastAsia="仿宋_GB2312" w:cs="Times New Roman"/>
          <w:kern w:val="0"/>
          <w:sz w:val="24"/>
        </w:rPr>
        <w:t>-1</w:t>
      </w:r>
      <w:r>
        <w:rPr>
          <w:rFonts w:hint="eastAsia" w:ascii="仿宋_GB2312" w:hAnsi="Times New Roman" w:eastAsia="仿宋_GB2312" w:cs="Times New Roman"/>
          <w:kern w:val="0"/>
          <w:sz w:val="24"/>
        </w:rPr>
        <w:t xml:space="preserve"> </w:t>
      </w:r>
      <w:r>
        <w:rPr>
          <w:rFonts w:ascii="仿宋_GB2312" w:hAnsi="Times New Roman" w:eastAsia="仿宋_GB2312" w:cs="Times New Roman"/>
          <w:kern w:val="0"/>
          <w:sz w:val="24"/>
        </w:rPr>
        <w:t>2025</w:t>
      </w:r>
      <w:r>
        <w:rPr>
          <w:rFonts w:hint="eastAsia" w:ascii="仿宋_GB2312" w:hAnsi="Times New Roman" w:eastAsia="仿宋_GB2312" w:cs="Times New Roman"/>
          <w:kern w:val="0"/>
          <w:sz w:val="24"/>
        </w:rPr>
        <w:t>年度市生态环境局部门收入预决算情况</w:t>
      </w:r>
    </w:p>
    <w:p w14:paraId="1C02ECEA">
      <w:pPr>
        <w:jc w:val="right"/>
        <w:rPr>
          <w:rFonts w:ascii="仿宋_GB2312" w:hAnsi="Times New Roman" w:eastAsia="仿宋_GB2312" w:cs="Times New Roman"/>
          <w:sz w:val="24"/>
        </w:rPr>
      </w:pPr>
      <w:r>
        <w:rPr>
          <w:rFonts w:hint="eastAsia" w:ascii="仿宋_GB2312" w:hAnsi="Times New Roman" w:eastAsia="仿宋_GB2312" w:cs="Times New Roman"/>
          <w:sz w:val="24"/>
        </w:rPr>
        <w:t>单位：万元</w:t>
      </w:r>
    </w:p>
    <w:tbl>
      <w:tblPr>
        <w:tblStyle w:val="19"/>
        <w:tblW w:w="5000" w:type="pct"/>
        <w:tblInd w:w="0" w:type="dxa"/>
        <w:tblLayout w:type="autofit"/>
        <w:tblCellMar>
          <w:top w:w="0" w:type="dxa"/>
          <w:left w:w="108" w:type="dxa"/>
          <w:bottom w:w="0" w:type="dxa"/>
          <w:right w:w="108" w:type="dxa"/>
        </w:tblCellMar>
      </w:tblPr>
      <w:tblGrid>
        <w:gridCol w:w="3488"/>
        <w:gridCol w:w="1744"/>
        <w:gridCol w:w="1744"/>
        <w:gridCol w:w="1744"/>
      </w:tblGrid>
      <w:tr w14:paraId="7987F7C0">
        <w:tblPrEx>
          <w:tblCellMar>
            <w:top w:w="0" w:type="dxa"/>
            <w:left w:w="108" w:type="dxa"/>
            <w:bottom w:w="0" w:type="dxa"/>
            <w:right w:w="108" w:type="dxa"/>
          </w:tblCellMar>
        </w:tblPrEx>
        <w:trPr>
          <w:trHeight w:val="567" w:hRule="atLeast"/>
          <w:tblHeader/>
        </w:trPr>
        <w:tc>
          <w:tcPr>
            <w:tcW w:w="2000" w:type="pct"/>
            <w:tcBorders>
              <w:top w:val="single" w:color="auto" w:sz="4" w:space="0"/>
              <w:left w:val="single" w:color="auto" w:sz="4" w:space="0"/>
              <w:bottom w:val="single" w:color="auto" w:sz="4" w:space="0"/>
              <w:right w:val="single" w:color="auto" w:sz="4" w:space="0"/>
            </w:tcBorders>
            <w:shd w:val="clear" w:color="auto" w:fill="auto"/>
            <w:vAlign w:val="center"/>
          </w:tcPr>
          <w:p w14:paraId="428FD400">
            <w:pPr>
              <w:widowControl/>
              <w:jc w:val="center"/>
              <w:textAlignment w:val="center"/>
              <w:rPr>
                <w:rFonts w:ascii="仿宋_GB2312" w:hAnsi="Times New Roman" w:eastAsia="仿宋_GB2312" w:cs="Times New Roman"/>
                <w:b/>
                <w:bCs/>
                <w:sz w:val="24"/>
              </w:rPr>
            </w:pPr>
            <w:r>
              <w:rPr>
                <w:rFonts w:hint="eastAsia" w:ascii="仿宋_GB2312" w:hAnsi="Times New Roman" w:eastAsia="仿宋_GB2312" w:cs="Times New Roman"/>
                <w:b/>
                <w:bCs/>
                <w:kern w:val="0"/>
                <w:sz w:val="24"/>
              </w:rPr>
              <w:t>项目</w:t>
            </w:r>
          </w:p>
        </w:tc>
        <w:tc>
          <w:tcPr>
            <w:tcW w:w="1000" w:type="pct"/>
            <w:tcBorders>
              <w:top w:val="single" w:color="auto" w:sz="4" w:space="0"/>
              <w:left w:val="single" w:color="auto" w:sz="4" w:space="0"/>
              <w:bottom w:val="single" w:color="auto" w:sz="4" w:space="0"/>
              <w:right w:val="single" w:color="auto" w:sz="4" w:space="0"/>
            </w:tcBorders>
            <w:shd w:val="clear" w:color="auto" w:fill="auto"/>
            <w:vAlign w:val="center"/>
          </w:tcPr>
          <w:p w14:paraId="1405DEB4">
            <w:pPr>
              <w:widowControl/>
              <w:jc w:val="center"/>
              <w:textAlignment w:val="center"/>
              <w:rPr>
                <w:rFonts w:ascii="仿宋_GB2312" w:hAnsi="Times New Roman" w:eastAsia="仿宋_GB2312" w:cs="Times New Roman"/>
                <w:b/>
                <w:bCs/>
                <w:sz w:val="24"/>
              </w:rPr>
            </w:pPr>
            <w:r>
              <w:rPr>
                <w:rFonts w:hint="eastAsia" w:ascii="仿宋_GB2312" w:hAnsi="Times New Roman" w:eastAsia="仿宋_GB2312" w:cs="Times New Roman"/>
                <w:b/>
                <w:bCs/>
                <w:sz w:val="24"/>
              </w:rPr>
              <w:t>年初预算数</w:t>
            </w:r>
          </w:p>
        </w:tc>
        <w:tc>
          <w:tcPr>
            <w:tcW w:w="1000" w:type="pct"/>
            <w:tcBorders>
              <w:top w:val="single" w:color="auto" w:sz="4" w:space="0"/>
              <w:left w:val="single" w:color="auto" w:sz="4" w:space="0"/>
              <w:bottom w:val="single" w:color="auto" w:sz="4" w:space="0"/>
              <w:right w:val="single" w:color="auto" w:sz="4" w:space="0"/>
            </w:tcBorders>
            <w:shd w:val="clear" w:color="auto" w:fill="auto"/>
            <w:vAlign w:val="center"/>
          </w:tcPr>
          <w:p w14:paraId="139D08EC">
            <w:pPr>
              <w:widowControl/>
              <w:jc w:val="center"/>
              <w:textAlignment w:val="center"/>
              <w:rPr>
                <w:rFonts w:ascii="仿宋_GB2312" w:hAnsi="Times New Roman" w:eastAsia="仿宋_GB2312" w:cs="Times New Roman"/>
                <w:b/>
                <w:bCs/>
                <w:sz w:val="24"/>
              </w:rPr>
            </w:pPr>
            <w:r>
              <w:rPr>
                <w:rFonts w:hint="eastAsia" w:ascii="仿宋_GB2312" w:hAnsi="Times New Roman" w:eastAsia="仿宋_GB2312" w:cs="Times New Roman"/>
                <w:b/>
                <w:bCs/>
                <w:kern w:val="0"/>
                <w:sz w:val="24"/>
              </w:rPr>
              <w:t>全年预算数</w:t>
            </w:r>
          </w:p>
        </w:tc>
        <w:tc>
          <w:tcPr>
            <w:tcW w:w="1000" w:type="pct"/>
            <w:tcBorders>
              <w:top w:val="single" w:color="auto" w:sz="4" w:space="0"/>
              <w:left w:val="single" w:color="auto" w:sz="4" w:space="0"/>
              <w:bottom w:val="single" w:color="auto" w:sz="4" w:space="0"/>
              <w:right w:val="single" w:color="auto" w:sz="4" w:space="0"/>
            </w:tcBorders>
            <w:shd w:val="clear" w:color="auto" w:fill="auto"/>
            <w:vAlign w:val="center"/>
          </w:tcPr>
          <w:p w14:paraId="2F5E94A3">
            <w:pPr>
              <w:widowControl/>
              <w:jc w:val="center"/>
              <w:textAlignment w:val="center"/>
              <w:rPr>
                <w:rFonts w:ascii="仿宋_GB2312" w:hAnsi="Times New Roman" w:eastAsia="仿宋_GB2312" w:cs="Times New Roman"/>
                <w:b/>
                <w:bCs/>
                <w:sz w:val="24"/>
              </w:rPr>
            </w:pPr>
            <w:r>
              <w:rPr>
                <w:rFonts w:hint="eastAsia" w:ascii="仿宋_GB2312" w:hAnsi="Times New Roman" w:eastAsia="仿宋_GB2312" w:cs="Times New Roman"/>
                <w:b/>
                <w:bCs/>
                <w:kern w:val="0"/>
                <w:sz w:val="24"/>
              </w:rPr>
              <w:t>决算数</w:t>
            </w:r>
          </w:p>
        </w:tc>
      </w:tr>
      <w:tr w14:paraId="476CB55B">
        <w:tblPrEx>
          <w:tblCellMar>
            <w:top w:w="0" w:type="dxa"/>
            <w:left w:w="108" w:type="dxa"/>
            <w:bottom w:w="0" w:type="dxa"/>
            <w:right w:w="108" w:type="dxa"/>
          </w:tblCellMar>
        </w:tblPrEx>
        <w:trPr>
          <w:trHeight w:val="567" w:hRule="atLeast"/>
        </w:trPr>
        <w:tc>
          <w:tcPr>
            <w:tcW w:w="2000" w:type="pct"/>
            <w:tcBorders>
              <w:top w:val="single" w:color="auto" w:sz="4" w:space="0"/>
              <w:left w:val="single" w:color="auto" w:sz="4" w:space="0"/>
              <w:bottom w:val="single" w:color="auto" w:sz="4" w:space="0"/>
              <w:right w:val="single" w:color="auto" w:sz="4" w:space="0"/>
            </w:tcBorders>
            <w:shd w:val="clear" w:color="auto" w:fill="auto"/>
            <w:vAlign w:val="center"/>
          </w:tcPr>
          <w:p w14:paraId="24A7F4BB">
            <w:pPr>
              <w:widowControl/>
              <w:jc w:val="center"/>
              <w:textAlignment w:val="center"/>
              <w:rPr>
                <w:rFonts w:ascii="仿宋_GB2312" w:hAnsi="Times New Roman" w:eastAsia="仿宋_GB2312" w:cs="Times New Roman"/>
                <w:sz w:val="24"/>
              </w:rPr>
            </w:pPr>
            <w:r>
              <w:rPr>
                <w:rFonts w:hint="eastAsia" w:ascii="仿宋_GB2312" w:hAnsi="Times New Roman" w:eastAsia="仿宋_GB2312" w:cs="Times New Roman"/>
                <w:kern w:val="0"/>
                <w:sz w:val="24"/>
              </w:rPr>
              <w:t>一般公共预算财政拨款收入</w:t>
            </w:r>
          </w:p>
        </w:tc>
        <w:tc>
          <w:tcPr>
            <w:tcW w:w="1000" w:type="pct"/>
            <w:tcBorders>
              <w:top w:val="single" w:color="auto" w:sz="4" w:space="0"/>
              <w:left w:val="single" w:color="auto" w:sz="4" w:space="0"/>
              <w:bottom w:val="single" w:color="auto" w:sz="4" w:space="0"/>
              <w:right w:val="single" w:color="auto" w:sz="4" w:space="0"/>
            </w:tcBorders>
            <w:shd w:val="clear" w:color="auto" w:fill="auto"/>
            <w:vAlign w:val="center"/>
          </w:tcPr>
          <w:p w14:paraId="11487AED">
            <w:pPr>
              <w:widowControl/>
              <w:jc w:val="center"/>
              <w:textAlignment w:val="center"/>
              <w:rPr>
                <w:rFonts w:ascii="仿宋_GB2312" w:hAnsi="Times New Roman" w:eastAsia="仿宋_GB2312" w:cs="Times New Roman"/>
                <w:kern w:val="0"/>
                <w:sz w:val="24"/>
              </w:rPr>
            </w:pPr>
            <w:r>
              <w:rPr>
                <w:rFonts w:ascii="仿宋_GB2312" w:hAnsi="Times New Roman" w:eastAsia="仿宋_GB2312" w:cs="Times New Roman"/>
                <w:kern w:val="0"/>
                <w:sz w:val="24"/>
              </w:rPr>
              <w:t>26,570.99</w:t>
            </w:r>
          </w:p>
        </w:tc>
        <w:tc>
          <w:tcPr>
            <w:tcW w:w="1000" w:type="pct"/>
            <w:tcBorders>
              <w:top w:val="single" w:color="auto" w:sz="4" w:space="0"/>
              <w:left w:val="single" w:color="auto" w:sz="4" w:space="0"/>
              <w:bottom w:val="single" w:color="auto" w:sz="4" w:space="0"/>
              <w:right w:val="single" w:color="auto" w:sz="4" w:space="0"/>
            </w:tcBorders>
            <w:shd w:val="clear" w:color="auto" w:fill="auto"/>
            <w:vAlign w:val="center"/>
          </w:tcPr>
          <w:p w14:paraId="3B83C589">
            <w:pPr>
              <w:widowControl/>
              <w:jc w:val="center"/>
              <w:textAlignment w:val="center"/>
              <w:rPr>
                <w:rFonts w:ascii="仿宋_GB2312" w:hAnsi="Times New Roman" w:eastAsia="仿宋_GB2312" w:cs="Times New Roman"/>
                <w:kern w:val="0"/>
                <w:sz w:val="24"/>
              </w:rPr>
            </w:pPr>
            <w:r>
              <w:rPr>
                <w:rFonts w:ascii="仿宋_GB2312" w:hAnsi="Times New Roman" w:eastAsia="仿宋_GB2312" w:cs="Times New Roman"/>
                <w:kern w:val="0"/>
                <w:sz w:val="24"/>
              </w:rPr>
              <w:t>34,571.35</w:t>
            </w:r>
          </w:p>
        </w:tc>
        <w:tc>
          <w:tcPr>
            <w:tcW w:w="1000" w:type="pct"/>
            <w:tcBorders>
              <w:top w:val="single" w:color="auto" w:sz="4" w:space="0"/>
              <w:left w:val="single" w:color="auto" w:sz="4" w:space="0"/>
              <w:bottom w:val="single" w:color="auto" w:sz="4" w:space="0"/>
              <w:right w:val="single" w:color="auto" w:sz="4" w:space="0"/>
            </w:tcBorders>
            <w:shd w:val="clear" w:color="auto" w:fill="auto"/>
            <w:vAlign w:val="center"/>
          </w:tcPr>
          <w:p w14:paraId="29082FA8">
            <w:pPr>
              <w:widowControl/>
              <w:jc w:val="center"/>
              <w:textAlignment w:val="center"/>
              <w:rPr>
                <w:rFonts w:ascii="仿宋_GB2312" w:hAnsi="Times New Roman" w:eastAsia="仿宋_GB2312" w:cs="Times New Roman"/>
                <w:kern w:val="0"/>
                <w:sz w:val="24"/>
              </w:rPr>
            </w:pPr>
            <w:r>
              <w:rPr>
                <w:rFonts w:hint="eastAsia" w:ascii="仿宋_GB2312" w:hAnsi="Times New Roman" w:eastAsia="仿宋_GB2312" w:cs="Times New Roman"/>
                <w:kern w:val="0"/>
                <w:sz w:val="24"/>
              </w:rPr>
              <w:t>34,571.35</w:t>
            </w:r>
          </w:p>
        </w:tc>
      </w:tr>
      <w:tr w14:paraId="0FA14284">
        <w:tblPrEx>
          <w:tblCellMar>
            <w:top w:w="0" w:type="dxa"/>
            <w:left w:w="108" w:type="dxa"/>
            <w:bottom w:w="0" w:type="dxa"/>
            <w:right w:w="108" w:type="dxa"/>
          </w:tblCellMar>
        </w:tblPrEx>
        <w:trPr>
          <w:trHeight w:val="567" w:hRule="atLeast"/>
        </w:trPr>
        <w:tc>
          <w:tcPr>
            <w:tcW w:w="2000" w:type="pct"/>
            <w:tcBorders>
              <w:top w:val="single" w:color="auto" w:sz="4" w:space="0"/>
              <w:left w:val="single" w:color="auto" w:sz="4" w:space="0"/>
              <w:bottom w:val="single" w:color="auto" w:sz="4" w:space="0"/>
              <w:right w:val="single" w:color="auto" w:sz="4" w:space="0"/>
            </w:tcBorders>
            <w:shd w:val="clear" w:color="auto" w:fill="auto"/>
            <w:vAlign w:val="center"/>
          </w:tcPr>
          <w:p w14:paraId="5BE8D445">
            <w:pPr>
              <w:widowControl/>
              <w:jc w:val="center"/>
              <w:textAlignment w:val="center"/>
              <w:rPr>
                <w:rFonts w:ascii="仿宋_GB2312" w:hAnsi="Times New Roman" w:eastAsia="仿宋_GB2312" w:cs="Times New Roman"/>
                <w:sz w:val="24"/>
              </w:rPr>
            </w:pPr>
            <w:r>
              <w:rPr>
                <w:rFonts w:hint="eastAsia" w:ascii="仿宋_GB2312" w:hAnsi="Times New Roman" w:eastAsia="仿宋_GB2312" w:cs="Times New Roman"/>
                <w:kern w:val="0"/>
                <w:sz w:val="24"/>
              </w:rPr>
              <w:t>政府性基金预算财政拨款收入</w:t>
            </w:r>
          </w:p>
        </w:tc>
        <w:tc>
          <w:tcPr>
            <w:tcW w:w="1000" w:type="pct"/>
            <w:tcBorders>
              <w:top w:val="single" w:color="auto" w:sz="4" w:space="0"/>
              <w:left w:val="single" w:color="auto" w:sz="4" w:space="0"/>
              <w:bottom w:val="single" w:color="auto" w:sz="4" w:space="0"/>
              <w:right w:val="single" w:color="auto" w:sz="4" w:space="0"/>
            </w:tcBorders>
            <w:shd w:val="clear" w:color="auto" w:fill="auto"/>
            <w:vAlign w:val="center"/>
          </w:tcPr>
          <w:p w14:paraId="2BDBA58F">
            <w:pPr>
              <w:widowControl/>
              <w:jc w:val="center"/>
              <w:textAlignment w:val="center"/>
              <w:rPr>
                <w:rFonts w:ascii="仿宋_GB2312" w:hAnsi="Times New Roman" w:eastAsia="仿宋_GB2312" w:cs="Times New Roman"/>
                <w:kern w:val="0"/>
                <w:sz w:val="24"/>
              </w:rPr>
            </w:pPr>
            <w:r>
              <w:rPr>
                <w:rFonts w:ascii="仿宋_GB2312" w:hAnsi="Times New Roman" w:eastAsia="仿宋_GB2312" w:cs="Times New Roman"/>
                <w:kern w:val="0"/>
                <w:sz w:val="24"/>
              </w:rPr>
              <w:t>258.00</w:t>
            </w:r>
          </w:p>
        </w:tc>
        <w:tc>
          <w:tcPr>
            <w:tcW w:w="1000" w:type="pct"/>
            <w:tcBorders>
              <w:top w:val="single" w:color="auto" w:sz="4" w:space="0"/>
              <w:left w:val="single" w:color="auto" w:sz="4" w:space="0"/>
              <w:bottom w:val="single" w:color="auto" w:sz="4" w:space="0"/>
              <w:right w:val="single" w:color="auto" w:sz="4" w:space="0"/>
            </w:tcBorders>
            <w:shd w:val="clear" w:color="auto" w:fill="auto"/>
            <w:vAlign w:val="center"/>
          </w:tcPr>
          <w:p w14:paraId="71D3369A">
            <w:pPr>
              <w:widowControl/>
              <w:jc w:val="center"/>
              <w:textAlignment w:val="center"/>
              <w:rPr>
                <w:rFonts w:ascii="仿宋_GB2312" w:hAnsi="Times New Roman" w:eastAsia="仿宋_GB2312" w:cs="Times New Roman"/>
                <w:kern w:val="0"/>
                <w:sz w:val="24"/>
              </w:rPr>
            </w:pPr>
            <w:r>
              <w:rPr>
                <w:rFonts w:ascii="仿宋_GB2312" w:hAnsi="Times New Roman" w:eastAsia="仿宋_GB2312" w:cs="Times New Roman"/>
                <w:kern w:val="0"/>
                <w:sz w:val="24"/>
              </w:rPr>
              <w:t>257.30</w:t>
            </w:r>
          </w:p>
        </w:tc>
        <w:tc>
          <w:tcPr>
            <w:tcW w:w="1000" w:type="pct"/>
            <w:tcBorders>
              <w:top w:val="single" w:color="auto" w:sz="4" w:space="0"/>
              <w:left w:val="single" w:color="auto" w:sz="4" w:space="0"/>
              <w:bottom w:val="single" w:color="auto" w:sz="4" w:space="0"/>
              <w:right w:val="single" w:color="auto" w:sz="4" w:space="0"/>
            </w:tcBorders>
            <w:shd w:val="clear" w:color="auto" w:fill="auto"/>
            <w:vAlign w:val="center"/>
          </w:tcPr>
          <w:p w14:paraId="7657FA32">
            <w:pPr>
              <w:widowControl/>
              <w:jc w:val="center"/>
              <w:textAlignment w:val="center"/>
              <w:rPr>
                <w:rFonts w:ascii="仿宋_GB2312" w:hAnsi="Times New Roman" w:eastAsia="仿宋_GB2312" w:cs="Times New Roman"/>
                <w:kern w:val="0"/>
                <w:sz w:val="24"/>
              </w:rPr>
            </w:pPr>
            <w:r>
              <w:rPr>
                <w:rFonts w:hint="eastAsia" w:ascii="仿宋_GB2312" w:hAnsi="Times New Roman" w:eastAsia="仿宋_GB2312" w:cs="Times New Roman"/>
                <w:kern w:val="0"/>
                <w:sz w:val="24"/>
              </w:rPr>
              <w:t>257.30</w:t>
            </w:r>
          </w:p>
        </w:tc>
      </w:tr>
      <w:tr w14:paraId="127F7717">
        <w:tblPrEx>
          <w:tblCellMar>
            <w:top w:w="0" w:type="dxa"/>
            <w:left w:w="108" w:type="dxa"/>
            <w:bottom w:w="0" w:type="dxa"/>
            <w:right w:w="108" w:type="dxa"/>
          </w:tblCellMar>
        </w:tblPrEx>
        <w:trPr>
          <w:trHeight w:val="567" w:hRule="atLeast"/>
        </w:trPr>
        <w:tc>
          <w:tcPr>
            <w:tcW w:w="2000" w:type="pct"/>
            <w:tcBorders>
              <w:top w:val="single" w:color="auto" w:sz="4" w:space="0"/>
              <w:left w:val="single" w:color="auto" w:sz="4" w:space="0"/>
              <w:bottom w:val="single" w:color="auto" w:sz="4" w:space="0"/>
              <w:right w:val="single" w:color="auto" w:sz="4" w:space="0"/>
            </w:tcBorders>
            <w:shd w:val="clear" w:color="auto" w:fill="auto"/>
            <w:vAlign w:val="center"/>
          </w:tcPr>
          <w:p w14:paraId="4E38CFF5">
            <w:pPr>
              <w:widowControl/>
              <w:jc w:val="center"/>
              <w:textAlignment w:val="center"/>
              <w:rPr>
                <w:rFonts w:ascii="仿宋_GB2312" w:hAnsi="Times New Roman" w:eastAsia="仿宋_GB2312" w:cs="Times New Roman"/>
                <w:sz w:val="24"/>
              </w:rPr>
            </w:pPr>
            <w:r>
              <w:rPr>
                <w:rFonts w:hint="eastAsia" w:ascii="仿宋_GB2312" w:hAnsi="Times New Roman" w:eastAsia="仿宋_GB2312" w:cs="Times New Roman"/>
                <w:kern w:val="0"/>
                <w:sz w:val="24"/>
              </w:rPr>
              <w:t>其他收入</w:t>
            </w:r>
          </w:p>
        </w:tc>
        <w:tc>
          <w:tcPr>
            <w:tcW w:w="1000" w:type="pct"/>
            <w:tcBorders>
              <w:top w:val="single" w:color="auto" w:sz="4" w:space="0"/>
              <w:left w:val="single" w:color="auto" w:sz="4" w:space="0"/>
              <w:bottom w:val="single" w:color="auto" w:sz="4" w:space="0"/>
              <w:right w:val="single" w:color="auto" w:sz="4" w:space="0"/>
            </w:tcBorders>
            <w:shd w:val="clear" w:color="auto" w:fill="auto"/>
            <w:vAlign w:val="center"/>
          </w:tcPr>
          <w:p w14:paraId="679A4F0D">
            <w:pPr>
              <w:widowControl/>
              <w:jc w:val="center"/>
              <w:textAlignment w:val="center"/>
              <w:rPr>
                <w:rFonts w:ascii="仿宋_GB2312" w:hAnsi="Times New Roman" w:eastAsia="仿宋_GB2312" w:cs="Times New Roman"/>
                <w:kern w:val="0"/>
                <w:sz w:val="24"/>
              </w:rPr>
            </w:pPr>
          </w:p>
        </w:tc>
        <w:tc>
          <w:tcPr>
            <w:tcW w:w="1000" w:type="pct"/>
            <w:tcBorders>
              <w:top w:val="single" w:color="auto" w:sz="4" w:space="0"/>
              <w:left w:val="single" w:color="auto" w:sz="4" w:space="0"/>
              <w:bottom w:val="single" w:color="auto" w:sz="4" w:space="0"/>
              <w:right w:val="single" w:color="auto" w:sz="4" w:space="0"/>
            </w:tcBorders>
            <w:shd w:val="clear" w:color="auto" w:fill="auto"/>
            <w:vAlign w:val="center"/>
          </w:tcPr>
          <w:p w14:paraId="715B4D49">
            <w:pPr>
              <w:widowControl/>
              <w:jc w:val="center"/>
              <w:textAlignment w:val="center"/>
              <w:rPr>
                <w:rFonts w:ascii="仿宋_GB2312" w:hAnsi="Times New Roman" w:eastAsia="仿宋_GB2312" w:cs="Times New Roman"/>
                <w:kern w:val="0"/>
                <w:sz w:val="24"/>
              </w:rPr>
            </w:pPr>
            <w:r>
              <w:rPr>
                <w:rFonts w:hint="eastAsia" w:ascii="仿宋_GB2312" w:hAnsi="Times New Roman" w:eastAsia="仿宋_GB2312" w:cs="Times New Roman"/>
                <w:kern w:val="0"/>
                <w:sz w:val="24"/>
              </w:rPr>
              <w:t>4,386.70</w:t>
            </w:r>
          </w:p>
        </w:tc>
        <w:tc>
          <w:tcPr>
            <w:tcW w:w="1000" w:type="pct"/>
            <w:tcBorders>
              <w:top w:val="single" w:color="auto" w:sz="4" w:space="0"/>
              <w:left w:val="single" w:color="auto" w:sz="4" w:space="0"/>
              <w:bottom w:val="single" w:color="auto" w:sz="4" w:space="0"/>
              <w:right w:val="single" w:color="auto" w:sz="4" w:space="0"/>
            </w:tcBorders>
            <w:shd w:val="clear" w:color="auto" w:fill="auto"/>
            <w:vAlign w:val="center"/>
          </w:tcPr>
          <w:p w14:paraId="32093B53">
            <w:pPr>
              <w:widowControl/>
              <w:jc w:val="center"/>
              <w:textAlignment w:val="center"/>
              <w:rPr>
                <w:rFonts w:ascii="仿宋_GB2312" w:hAnsi="Times New Roman" w:eastAsia="仿宋_GB2312" w:cs="Times New Roman"/>
                <w:kern w:val="0"/>
                <w:sz w:val="24"/>
              </w:rPr>
            </w:pPr>
            <w:r>
              <w:rPr>
                <w:rFonts w:hint="eastAsia" w:ascii="仿宋_GB2312" w:hAnsi="Times New Roman" w:eastAsia="仿宋_GB2312" w:cs="Times New Roman"/>
                <w:kern w:val="0"/>
                <w:sz w:val="24"/>
              </w:rPr>
              <w:t>4,386.70</w:t>
            </w:r>
          </w:p>
        </w:tc>
      </w:tr>
      <w:tr w14:paraId="7684D64F">
        <w:tblPrEx>
          <w:tblCellMar>
            <w:top w:w="0" w:type="dxa"/>
            <w:left w:w="108" w:type="dxa"/>
            <w:bottom w:w="0" w:type="dxa"/>
            <w:right w:w="108" w:type="dxa"/>
          </w:tblCellMar>
        </w:tblPrEx>
        <w:trPr>
          <w:trHeight w:val="567" w:hRule="atLeast"/>
        </w:trPr>
        <w:tc>
          <w:tcPr>
            <w:tcW w:w="2000" w:type="pct"/>
            <w:tcBorders>
              <w:top w:val="single" w:color="auto" w:sz="4" w:space="0"/>
              <w:left w:val="single" w:color="auto" w:sz="4" w:space="0"/>
              <w:bottom w:val="single" w:color="auto" w:sz="4" w:space="0"/>
              <w:right w:val="single" w:color="auto" w:sz="4" w:space="0"/>
            </w:tcBorders>
            <w:shd w:val="clear" w:color="auto" w:fill="auto"/>
            <w:vAlign w:val="center"/>
          </w:tcPr>
          <w:p w14:paraId="5318E416">
            <w:pPr>
              <w:widowControl/>
              <w:jc w:val="center"/>
              <w:textAlignment w:val="center"/>
              <w:rPr>
                <w:rFonts w:ascii="仿宋_GB2312" w:hAnsi="Times New Roman" w:eastAsia="仿宋_GB2312" w:cs="Times New Roman"/>
                <w:kern w:val="0"/>
                <w:sz w:val="24"/>
              </w:rPr>
            </w:pPr>
            <w:r>
              <w:rPr>
                <w:rFonts w:hint="eastAsia" w:ascii="仿宋_GB2312" w:hAnsi="Times New Roman" w:eastAsia="仿宋_GB2312" w:cs="Times New Roman"/>
                <w:kern w:val="0"/>
                <w:sz w:val="24"/>
              </w:rPr>
              <w:t>本年收入合计</w:t>
            </w:r>
          </w:p>
        </w:tc>
        <w:tc>
          <w:tcPr>
            <w:tcW w:w="1000" w:type="pct"/>
            <w:tcBorders>
              <w:top w:val="single" w:color="auto" w:sz="4" w:space="0"/>
              <w:left w:val="single" w:color="auto" w:sz="4" w:space="0"/>
              <w:bottom w:val="single" w:color="auto" w:sz="4" w:space="0"/>
              <w:right w:val="single" w:color="auto" w:sz="4" w:space="0"/>
            </w:tcBorders>
            <w:shd w:val="clear" w:color="auto" w:fill="auto"/>
            <w:vAlign w:val="center"/>
          </w:tcPr>
          <w:p w14:paraId="5F44B5A4">
            <w:pPr>
              <w:widowControl/>
              <w:jc w:val="center"/>
              <w:textAlignment w:val="center"/>
              <w:rPr>
                <w:rFonts w:ascii="仿宋_GB2312" w:hAnsi="Times New Roman" w:eastAsia="仿宋_GB2312" w:cs="Times New Roman"/>
                <w:kern w:val="0"/>
                <w:sz w:val="24"/>
              </w:rPr>
            </w:pPr>
            <w:r>
              <w:rPr>
                <w:rFonts w:ascii="仿宋_GB2312" w:hAnsi="Times New Roman" w:eastAsia="仿宋_GB2312" w:cs="Times New Roman"/>
                <w:kern w:val="0"/>
                <w:sz w:val="24"/>
              </w:rPr>
              <w:t>26,828.99</w:t>
            </w:r>
          </w:p>
        </w:tc>
        <w:tc>
          <w:tcPr>
            <w:tcW w:w="1000" w:type="pct"/>
            <w:tcBorders>
              <w:top w:val="single" w:color="auto" w:sz="4" w:space="0"/>
              <w:left w:val="single" w:color="auto" w:sz="4" w:space="0"/>
              <w:bottom w:val="single" w:color="auto" w:sz="4" w:space="0"/>
              <w:right w:val="single" w:color="auto" w:sz="4" w:space="0"/>
            </w:tcBorders>
            <w:shd w:val="clear" w:color="auto" w:fill="auto"/>
            <w:vAlign w:val="center"/>
          </w:tcPr>
          <w:p w14:paraId="254C0F88">
            <w:pPr>
              <w:widowControl/>
              <w:jc w:val="center"/>
              <w:textAlignment w:val="center"/>
              <w:rPr>
                <w:rFonts w:ascii="仿宋_GB2312" w:hAnsi="Times New Roman" w:eastAsia="仿宋_GB2312" w:cs="Times New Roman"/>
                <w:kern w:val="0"/>
                <w:sz w:val="24"/>
              </w:rPr>
            </w:pPr>
            <w:r>
              <w:rPr>
                <w:rFonts w:ascii="仿宋_GB2312" w:hAnsi="Times New Roman" w:eastAsia="仿宋_GB2312" w:cs="Times New Roman"/>
                <w:kern w:val="0"/>
                <w:sz w:val="24"/>
              </w:rPr>
              <w:t>39,215.35</w:t>
            </w:r>
          </w:p>
        </w:tc>
        <w:tc>
          <w:tcPr>
            <w:tcW w:w="1000" w:type="pct"/>
            <w:tcBorders>
              <w:top w:val="single" w:color="auto" w:sz="4" w:space="0"/>
              <w:left w:val="single" w:color="auto" w:sz="4" w:space="0"/>
              <w:bottom w:val="single" w:color="auto" w:sz="4" w:space="0"/>
              <w:right w:val="single" w:color="auto" w:sz="4" w:space="0"/>
            </w:tcBorders>
            <w:shd w:val="clear" w:color="auto" w:fill="auto"/>
            <w:vAlign w:val="center"/>
          </w:tcPr>
          <w:p w14:paraId="06E6D2F9">
            <w:pPr>
              <w:widowControl/>
              <w:jc w:val="center"/>
              <w:textAlignment w:val="center"/>
              <w:rPr>
                <w:rFonts w:ascii="仿宋_GB2312" w:hAnsi="Times New Roman" w:eastAsia="仿宋_GB2312" w:cs="Times New Roman"/>
                <w:kern w:val="0"/>
                <w:sz w:val="24"/>
              </w:rPr>
            </w:pPr>
            <w:r>
              <w:rPr>
                <w:rFonts w:ascii="仿宋_GB2312" w:hAnsi="Times New Roman" w:eastAsia="仿宋_GB2312" w:cs="Times New Roman"/>
                <w:kern w:val="0"/>
                <w:sz w:val="24"/>
              </w:rPr>
              <w:t>39,215.35</w:t>
            </w:r>
          </w:p>
        </w:tc>
      </w:tr>
      <w:tr w14:paraId="180762D3">
        <w:tblPrEx>
          <w:tblCellMar>
            <w:top w:w="0" w:type="dxa"/>
            <w:left w:w="108" w:type="dxa"/>
            <w:bottom w:w="0" w:type="dxa"/>
            <w:right w:w="108" w:type="dxa"/>
          </w:tblCellMar>
        </w:tblPrEx>
        <w:trPr>
          <w:trHeight w:val="567" w:hRule="atLeast"/>
        </w:trPr>
        <w:tc>
          <w:tcPr>
            <w:tcW w:w="2000" w:type="pct"/>
            <w:tcBorders>
              <w:top w:val="single" w:color="auto" w:sz="4" w:space="0"/>
              <w:left w:val="single" w:color="auto" w:sz="4" w:space="0"/>
              <w:bottom w:val="single" w:color="auto" w:sz="4" w:space="0"/>
              <w:right w:val="single" w:color="auto" w:sz="4" w:space="0"/>
            </w:tcBorders>
            <w:shd w:val="clear" w:color="auto" w:fill="auto"/>
            <w:vAlign w:val="center"/>
          </w:tcPr>
          <w:p w14:paraId="1AA379D5">
            <w:pPr>
              <w:widowControl/>
              <w:jc w:val="center"/>
              <w:textAlignment w:val="center"/>
              <w:rPr>
                <w:rFonts w:ascii="仿宋_GB2312" w:hAnsi="Times New Roman" w:eastAsia="仿宋_GB2312" w:cs="Times New Roman"/>
                <w:sz w:val="24"/>
              </w:rPr>
            </w:pPr>
            <w:r>
              <w:rPr>
                <w:rFonts w:hint="eastAsia" w:ascii="仿宋_GB2312" w:hAnsi="Times New Roman" w:eastAsia="仿宋_GB2312" w:cs="Times New Roman"/>
                <w:kern w:val="0"/>
                <w:sz w:val="24"/>
              </w:rPr>
              <w:t>年初结转结余</w:t>
            </w:r>
          </w:p>
        </w:tc>
        <w:tc>
          <w:tcPr>
            <w:tcW w:w="1000" w:type="pct"/>
            <w:tcBorders>
              <w:top w:val="single" w:color="auto" w:sz="4" w:space="0"/>
              <w:left w:val="single" w:color="auto" w:sz="4" w:space="0"/>
              <w:bottom w:val="single" w:color="auto" w:sz="4" w:space="0"/>
              <w:right w:val="single" w:color="auto" w:sz="4" w:space="0"/>
            </w:tcBorders>
            <w:shd w:val="clear" w:color="auto" w:fill="auto"/>
            <w:vAlign w:val="center"/>
          </w:tcPr>
          <w:p w14:paraId="0CCA9B27">
            <w:pPr>
              <w:widowControl/>
              <w:jc w:val="center"/>
              <w:textAlignment w:val="center"/>
              <w:rPr>
                <w:rFonts w:ascii="仿宋_GB2312" w:hAnsi="Times New Roman" w:eastAsia="仿宋_GB2312" w:cs="Times New Roman"/>
                <w:kern w:val="0"/>
                <w:sz w:val="24"/>
              </w:rPr>
            </w:pPr>
            <w:r>
              <w:rPr>
                <w:rFonts w:ascii="仿宋_GB2312" w:hAnsi="Times New Roman" w:eastAsia="仿宋_GB2312" w:cs="Times New Roman"/>
                <w:kern w:val="0"/>
                <w:sz w:val="24"/>
              </w:rPr>
              <w:t>16,230.60</w:t>
            </w:r>
          </w:p>
        </w:tc>
        <w:tc>
          <w:tcPr>
            <w:tcW w:w="1000" w:type="pct"/>
            <w:tcBorders>
              <w:top w:val="single" w:color="auto" w:sz="4" w:space="0"/>
              <w:left w:val="single" w:color="auto" w:sz="4" w:space="0"/>
              <w:bottom w:val="single" w:color="auto" w:sz="4" w:space="0"/>
              <w:right w:val="single" w:color="auto" w:sz="4" w:space="0"/>
            </w:tcBorders>
            <w:shd w:val="clear" w:color="auto" w:fill="auto"/>
            <w:vAlign w:val="center"/>
          </w:tcPr>
          <w:p w14:paraId="16B2D2A7">
            <w:pPr>
              <w:widowControl/>
              <w:jc w:val="center"/>
              <w:textAlignment w:val="center"/>
              <w:rPr>
                <w:rFonts w:ascii="仿宋_GB2312" w:hAnsi="Times New Roman" w:eastAsia="仿宋_GB2312" w:cs="Times New Roman"/>
                <w:kern w:val="0"/>
                <w:sz w:val="24"/>
              </w:rPr>
            </w:pPr>
            <w:r>
              <w:rPr>
                <w:rFonts w:ascii="仿宋_GB2312" w:hAnsi="Times New Roman" w:eastAsia="仿宋_GB2312" w:cs="Times New Roman"/>
                <w:kern w:val="0"/>
                <w:sz w:val="24"/>
              </w:rPr>
              <w:t>3,765.65</w:t>
            </w:r>
          </w:p>
        </w:tc>
        <w:tc>
          <w:tcPr>
            <w:tcW w:w="1000" w:type="pct"/>
            <w:tcBorders>
              <w:top w:val="single" w:color="auto" w:sz="4" w:space="0"/>
              <w:left w:val="single" w:color="auto" w:sz="4" w:space="0"/>
              <w:bottom w:val="single" w:color="auto" w:sz="4" w:space="0"/>
              <w:right w:val="single" w:color="auto" w:sz="4" w:space="0"/>
            </w:tcBorders>
            <w:shd w:val="clear" w:color="auto" w:fill="auto"/>
            <w:vAlign w:val="center"/>
          </w:tcPr>
          <w:p w14:paraId="7FE78DA7">
            <w:pPr>
              <w:widowControl/>
              <w:jc w:val="center"/>
              <w:textAlignment w:val="center"/>
              <w:rPr>
                <w:rFonts w:ascii="仿宋_GB2312" w:hAnsi="Times New Roman" w:eastAsia="仿宋_GB2312" w:cs="Times New Roman"/>
                <w:kern w:val="0"/>
                <w:sz w:val="24"/>
              </w:rPr>
            </w:pPr>
            <w:r>
              <w:rPr>
                <w:rFonts w:hint="eastAsia" w:ascii="仿宋_GB2312" w:hAnsi="Times New Roman" w:eastAsia="仿宋_GB2312" w:cs="Times New Roman"/>
                <w:kern w:val="0"/>
                <w:sz w:val="24"/>
              </w:rPr>
              <w:t>3,765.65</w:t>
            </w:r>
          </w:p>
        </w:tc>
      </w:tr>
      <w:tr w14:paraId="6DC64ADA">
        <w:tblPrEx>
          <w:tblCellMar>
            <w:top w:w="0" w:type="dxa"/>
            <w:left w:w="108" w:type="dxa"/>
            <w:bottom w:w="0" w:type="dxa"/>
            <w:right w:w="108" w:type="dxa"/>
          </w:tblCellMar>
        </w:tblPrEx>
        <w:trPr>
          <w:trHeight w:val="567" w:hRule="atLeast"/>
        </w:trPr>
        <w:tc>
          <w:tcPr>
            <w:tcW w:w="2000" w:type="pct"/>
            <w:tcBorders>
              <w:top w:val="single" w:color="auto" w:sz="4" w:space="0"/>
              <w:left w:val="single" w:color="auto" w:sz="4" w:space="0"/>
              <w:bottom w:val="single" w:color="auto" w:sz="4" w:space="0"/>
              <w:right w:val="single" w:color="auto" w:sz="4" w:space="0"/>
            </w:tcBorders>
            <w:shd w:val="clear" w:color="auto" w:fill="auto"/>
            <w:vAlign w:val="center"/>
          </w:tcPr>
          <w:p w14:paraId="1C83873B">
            <w:pPr>
              <w:widowControl/>
              <w:jc w:val="center"/>
              <w:textAlignment w:val="center"/>
              <w:rPr>
                <w:rFonts w:ascii="仿宋_GB2312" w:hAnsi="Times New Roman" w:eastAsia="仿宋_GB2312" w:cs="Times New Roman"/>
                <w:sz w:val="24"/>
              </w:rPr>
            </w:pPr>
            <w:r>
              <w:rPr>
                <w:rFonts w:hint="eastAsia" w:ascii="仿宋_GB2312" w:hAnsi="Times New Roman" w:eastAsia="仿宋_GB2312" w:cs="Times New Roman"/>
                <w:kern w:val="0"/>
                <w:sz w:val="24"/>
              </w:rPr>
              <w:t>总计</w:t>
            </w:r>
          </w:p>
        </w:tc>
        <w:tc>
          <w:tcPr>
            <w:tcW w:w="1000" w:type="pct"/>
            <w:tcBorders>
              <w:top w:val="single" w:color="auto" w:sz="4" w:space="0"/>
              <w:left w:val="single" w:color="auto" w:sz="4" w:space="0"/>
              <w:bottom w:val="single" w:color="auto" w:sz="4" w:space="0"/>
              <w:right w:val="single" w:color="auto" w:sz="4" w:space="0"/>
            </w:tcBorders>
            <w:shd w:val="clear" w:color="auto" w:fill="auto"/>
            <w:vAlign w:val="center"/>
          </w:tcPr>
          <w:p w14:paraId="1DB49D67">
            <w:pPr>
              <w:widowControl/>
              <w:jc w:val="center"/>
              <w:textAlignment w:val="center"/>
              <w:rPr>
                <w:rFonts w:ascii="仿宋_GB2312" w:hAnsi="Times New Roman" w:eastAsia="仿宋_GB2312" w:cs="Times New Roman"/>
                <w:kern w:val="0"/>
                <w:sz w:val="24"/>
              </w:rPr>
            </w:pPr>
            <w:r>
              <w:rPr>
                <w:rFonts w:ascii="仿宋_GB2312" w:hAnsi="Times New Roman" w:eastAsia="仿宋_GB2312" w:cs="Times New Roman"/>
                <w:kern w:val="0"/>
                <w:sz w:val="24"/>
              </w:rPr>
              <w:t>43,059.59</w:t>
            </w:r>
          </w:p>
        </w:tc>
        <w:tc>
          <w:tcPr>
            <w:tcW w:w="1000" w:type="pct"/>
            <w:tcBorders>
              <w:top w:val="single" w:color="auto" w:sz="4" w:space="0"/>
              <w:left w:val="single" w:color="auto" w:sz="4" w:space="0"/>
              <w:bottom w:val="single" w:color="auto" w:sz="4" w:space="0"/>
              <w:right w:val="single" w:color="auto" w:sz="4" w:space="0"/>
            </w:tcBorders>
            <w:shd w:val="clear" w:color="auto" w:fill="auto"/>
            <w:vAlign w:val="center"/>
          </w:tcPr>
          <w:p w14:paraId="4C5ACE8B">
            <w:pPr>
              <w:widowControl/>
              <w:jc w:val="center"/>
              <w:textAlignment w:val="center"/>
              <w:rPr>
                <w:rFonts w:ascii="仿宋_GB2312" w:hAnsi="Times New Roman" w:eastAsia="仿宋_GB2312" w:cs="Times New Roman"/>
                <w:kern w:val="0"/>
                <w:sz w:val="24"/>
              </w:rPr>
            </w:pPr>
            <w:r>
              <w:rPr>
                <w:rFonts w:ascii="仿宋_GB2312" w:hAnsi="Times New Roman" w:eastAsia="仿宋_GB2312" w:cs="Times New Roman"/>
                <w:kern w:val="0"/>
                <w:sz w:val="24"/>
              </w:rPr>
              <w:t>42,981.00</w:t>
            </w:r>
          </w:p>
        </w:tc>
        <w:tc>
          <w:tcPr>
            <w:tcW w:w="1000" w:type="pct"/>
            <w:tcBorders>
              <w:top w:val="single" w:color="auto" w:sz="4" w:space="0"/>
              <w:left w:val="single" w:color="auto" w:sz="4" w:space="0"/>
              <w:bottom w:val="single" w:color="auto" w:sz="4" w:space="0"/>
              <w:right w:val="single" w:color="auto" w:sz="4" w:space="0"/>
            </w:tcBorders>
            <w:shd w:val="clear" w:color="auto" w:fill="auto"/>
            <w:vAlign w:val="center"/>
          </w:tcPr>
          <w:p w14:paraId="4529DC4F">
            <w:pPr>
              <w:widowControl/>
              <w:jc w:val="center"/>
              <w:textAlignment w:val="center"/>
              <w:rPr>
                <w:rFonts w:ascii="仿宋_GB2312" w:hAnsi="Times New Roman" w:eastAsia="仿宋_GB2312" w:cs="Times New Roman"/>
                <w:kern w:val="0"/>
                <w:sz w:val="24"/>
              </w:rPr>
            </w:pPr>
            <w:r>
              <w:rPr>
                <w:rFonts w:hint="eastAsia" w:ascii="仿宋_GB2312" w:hAnsi="Times New Roman" w:eastAsia="仿宋_GB2312" w:cs="Times New Roman"/>
                <w:kern w:val="0"/>
                <w:sz w:val="24"/>
              </w:rPr>
              <w:t>42,981.00</w:t>
            </w:r>
          </w:p>
        </w:tc>
      </w:tr>
      <w:bookmarkEnd w:id="2"/>
    </w:tbl>
    <w:p w14:paraId="5A99CDA6">
      <w:pPr>
        <w:pStyle w:val="10"/>
        <w:spacing w:line="560" w:lineRule="exact"/>
        <w:ind w:firstLine="640" w:firstLineChars="200"/>
        <w:rPr>
          <w:rFonts w:ascii="仿宋_GB2312" w:hAnsi="Times New Roman" w:cs="Times New Roman"/>
          <w:bCs/>
          <w:sz w:val="32"/>
          <w:szCs w:val="32"/>
        </w:rPr>
      </w:pPr>
      <w:r>
        <w:rPr>
          <w:rFonts w:hint="eastAsia" w:ascii="仿宋_GB2312" w:hAnsi="Times New Roman" w:cs="Times New Roman"/>
          <w:bCs/>
          <w:sz w:val="32"/>
          <w:szCs w:val="32"/>
        </w:rPr>
        <w:t>（2）</w:t>
      </w:r>
      <w:r>
        <w:rPr>
          <w:rFonts w:ascii="仿宋_GB2312" w:hAnsi="Times New Roman" w:cs="Times New Roman"/>
          <w:bCs/>
          <w:sz w:val="32"/>
          <w:szCs w:val="32"/>
        </w:rPr>
        <w:t>2025</w:t>
      </w:r>
      <w:r>
        <w:rPr>
          <w:rFonts w:hint="eastAsia" w:ascii="仿宋_GB2312" w:hAnsi="Times New Roman" w:cs="Times New Roman"/>
          <w:bCs/>
          <w:sz w:val="32"/>
          <w:szCs w:val="32"/>
        </w:rPr>
        <w:t>年度支出预决算情况</w:t>
      </w:r>
    </w:p>
    <w:p w14:paraId="599972BF">
      <w:pPr>
        <w:pStyle w:val="56"/>
        <w:spacing w:line="56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市生态环境局2025年年初预算支出为43,059.59万元，决算支出为40,480.55万元，其中，基本支出17,028.71万元，占比3</w:t>
      </w:r>
      <w:r>
        <w:rPr>
          <w:rFonts w:ascii="仿宋_GB2312" w:hAnsi="Times New Roman" w:eastAsia="仿宋_GB2312" w:cs="Times New Roman"/>
          <w:sz w:val="32"/>
          <w:szCs w:val="32"/>
        </w:rPr>
        <w:t>9.62%</w:t>
      </w:r>
      <w:r>
        <w:rPr>
          <w:rFonts w:hint="eastAsia" w:ascii="仿宋_GB2312" w:hAnsi="Times New Roman" w:eastAsia="仿宋_GB2312" w:cs="Times New Roman"/>
          <w:sz w:val="32"/>
          <w:szCs w:val="32"/>
        </w:rPr>
        <w:t>，项目支出23,451.84万元，占比5</w:t>
      </w:r>
      <w:r>
        <w:rPr>
          <w:rFonts w:ascii="仿宋_GB2312" w:hAnsi="Times New Roman" w:eastAsia="仿宋_GB2312" w:cs="Times New Roman"/>
          <w:sz w:val="32"/>
          <w:szCs w:val="32"/>
        </w:rPr>
        <w:t>4.56%</w:t>
      </w:r>
      <w:r>
        <w:rPr>
          <w:rFonts w:hint="eastAsia" w:ascii="仿宋_GB2312" w:hAnsi="Times New Roman" w:eastAsia="仿宋_GB2312" w:cs="Times New Roman"/>
          <w:sz w:val="32"/>
          <w:szCs w:val="32"/>
        </w:rPr>
        <w:t>，具体情况见表1</w:t>
      </w:r>
      <w:r>
        <w:rPr>
          <w:rFonts w:ascii="仿宋_GB2312" w:hAnsi="Times New Roman" w:eastAsia="仿宋_GB2312" w:cs="Times New Roman"/>
          <w:sz w:val="32"/>
          <w:szCs w:val="32"/>
        </w:rPr>
        <w:t>-2</w:t>
      </w:r>
      <w:r>
        <w:rPr>
          <w:rFonts w:hint="eastAsia" w:ascii="仿宋_GB2312" w:hAnsi="Times New Roman" w:eastAsia="仿宋_GB2312" w:cs="Times New Roman"/>
          <w:sz w:val="32"/>
          <w:szCs w:val="32"/>
        </w:rPr>
        <w:t>。</w:t>
      </w:r>
    </w:p>
    <w:p w14:paraId="02FEBFDD">
      <w:pPr>
        <w:widowControl/>
        <w:overflowPunct w:val="0"/>
        <w:autoSpaceDE w:val="0"/>
        <w:autoSpaceDN w:val="0"/>
        <w:adjustRightInd w:val="0"/>
        <w:spacing w:line="560" w:lineRule="exact"/>
        <w:jc w:val="center"/>
        <w:textAlignment w:val="baseline"/>
        <w:rPr>
          <w:rFonts w:ascii="仿宋_GB2312" w:hAnsi="Times New Roman" w:eastAsia="仿宋_GB2312" w:cs="Times New Roman"/>
          <w:kern w:val="0"/>
          <w:sz w:val="24"/>
        </w:rPr>
      </w:pPr>
      <w:r>
        <w:rPr>
          <w:rFonts w:hint="eastAsia" w:ascii="仿宋_GB2312" w:hAnsi="Times New Roman" w:eastAsia="仿宋_GB2312" w:cs="Times New Roman"/>
          <w:kern w:val="0"/>
          <w:sz w:val="24"/>
        </w:rPr>
        <w:t>表1</w:t>
      </w:r>
      <w:r>
        <w:rPr>
          <w:rFonts w:ascii="仿宋_GB2312" w:hAnsi="Times New Roman" w:eastAsia="仿宋_GB2312" w:cs="Times New Roman"/>
          <w:kern w:val="0"/>
          <w:sz w:val="24"/>
        </w:rPr>
        <w:t>-2</w:t>
      </w:r>
      <w:r>
        <w:rPr>
          <w:rFonts w:hint="eastAsia" w:ascii="仿宋_GB2312" w:hAnsi="Times New Roman" w:eastAsia="仿宋_GB2312" w:cs="Times New Roman"/>
          <w:kern w:val="0"/>
          <w:sz w:val="24"/>
        </w:rPr>
        <w:t xml:space="preserve"> </w:t>
      </w:r>
      <w:r>
        <w:rPr>
          <w:rFonts w:ascii="仿宋_GB2312" w:hAnsi="Times New Roman" w:eastAsia="仿宋_GB2312" w:cs="Times New Roman"/>
          <w:kern w:val="0"/>
          <w:sz w:val="24"/>
        </w:rPr>
        <w:t>2025</w:t>
      </w:r>
      <w:r>
        <w:rPr>
          <w:rFonts w:hint="eastAsia" w:ascii="仿宋_GB2312" w:hAnsi="Times New Roman" w:eastAsia="仿宋_GB2312" w:cs="Times New Roman"/>
          <w:kern w:val="0"/>
          <w:sz w:val="24"/>
        </w:rPr>
        <w:t>年度市生态环境局部门支出预决算情况</w:t>
      </w:r>
    </w:p>
    <w:p w14:paraId="372BC71B">
      <w:pPr>
        <w:jc w:val="right"/>
        <w:rPr>
          <w:rFonts w:ascii="仿宋_GB2312" w:hAnsi="Times New Roman" w:eastAsia="仿宋_GB2312" w:cs="Times New Roman"/>
          <w:sz w:val="24"/>
        </w:rPr>
      </w:pPr>
      <w:r>
        <w:rPr>
          <w:rFonts w:hint="eastAsia" w:ascii="仿宋_GB2312" w:hAnsi="Times New Roman" w:eastAsia="仿宋_GB2312" w:cs="Times New Roman"/>
          <w:sz w:val="24"/>
        </w:rPr>
        <w:t>单位：万元</w:t>
      </w:r>
    </w:p>
    <w:tbl>
      <w:tblPr>
        <w:tblStyle w:val="19"/>
        <w:tblW w:w="5000" w:type="pct"/>
        <w:tblInd w:w="0" w:type="dxa"/>
        <w:tblLayout w:type="autofit"/>
        <w:tblCellMar>
          <w:top w:w="0" w:type="dxa"/>
          <w:left w:w="108" w:type="dxa"/>
          <w:bottom w:w="0" w:type="dxa"/>
          <w:right w:w="108" w:type="dxa"/>
        </w:tblCellMar>
      </w:tblPr>
      <w:tblGrid>
        <w:gridCol w:w="3350"/>
        <w:gridCol w:w="1789"/>
        <w:gridCol w:w="1791"/>
        <w:gridCol w:w="1790"/>
      </w:tblGrid>
      <w:tr w14:paraId="3922216A">
        <w:tblPrEx>
          <w:tblCellMar>
            <w:top w:w="0" w:type="dxa"/>
            <w:left w:w="108" w:type="dxa"/>
            <w:bottom w:w="0" w:type="dxa"/>
            <w:right w:w="108" w:type="dxa"/>
          </w:tblCellMar>
        </w:tblPrEx>
        <w:trPr>
          <w:trHeight w:val="567" w:hRule="atLeast"/>
          <w:tblHeader/>
        </w:trPr>
        <w:tc>
          <w:tcPr>
            <w:tcW w:w="1921" w:type="pct"/>
            <w:tcBorders>
              <w:top w:val="single" w:color="auto" w:sz="4" w:space="0"/>
              <w:left w:val="single" w:color="auto" w:sz="4" w:space="0"/>
              <w:bottom w:val="single" w:color="auto" w:sz="4" w:space="0"/>
              <w:right w:val="single" w:color="auto" w:sz="4" w:space="0"/>
            </w:tcBorders>
            <w:shd w:val="clear" w:color="auto" w:fill="auto"/>
            <w:vAlign w:val="center"/>
          </w:tcPr>
          <w:p w14:paraId="570BB68D">
            <w:pPr>
              <w:widowControl/>
              <w:jc w:val="center"/>
              <w:textAlignment w:val="center"/>
              <w:rPr>
                <w:rFonts w:ascii="仿宋_GB2312" w:hAnsi="Times New Roman" w:eastAsia="仿宋_GB2312" w:cs="Times New Roman"/>
                <w:b/>
                <w:bCs/>
                <w:sz w:val="24"/>
              </w:rPr>
            </w:pPr>
            <w:r>
              <w:rPr>
                <w:rFonts w:hint="eastAsia" w:ascii="仿宋_GB2312" w:hAnsi="Times New Roman" w:eastAsia="仿宋_GB2312" w:cs="Times New Roman"/>
                <w:b/>
                <w:bCs/>
                <w:kern w:val="0"/>
                <w:sz w:val="24"/>
              </w:rPr>
              <w:t>项目</w:t>
            </w:r>
          </w:p>
        </w:tc>
        <w:tc>
          <w:tcPr>
            <w:tcW w:w="1026" w:type="pct"/>
            <w:tcBorders>
              <w:top w:val="single" w:color="auto" w:sz="4" w:space="0"/>
              <w:left w:val="single" w:color="auto" w:sz="4" w:space="0"/>
              <w:bottom w:val="single" w:color="auto" w:sz="4" w:space="0"/>
              <w:right w:val="single" w:color="auto" w:sz="4" w:space="0"/>
            </w:tcBorders>
            <w:shd w:val="clear" w:color="auto" w:fill="auto"/>
            <w:vAlign w:val="center"/>
          </w:tcPr>
          <w:p w14:paraId="24D84058">
            <w:pPr>
              <w:widowControl/>
              <w:jc w:val="center"/>
              <w:textAlignment w:val="center"/>
              <w:rPr>
                <w:rFonts w:ascii="仿宋_GB2312" w:hAnsi="Times New Roman" w:eastAsia="仿宋_GB2312" w:cs="Times New Roman"/>
                <w:b/>
                <w:bCs/>
                <w:sz w:val="24"/>
              </w:rPr>
            </w:pPr>
            <w:r>
              <w:rPr>
                <w:rFonts w:hint="eastAsia" w:ascii="仿宋_GB2312" w:hAnsi="Times New Roman" w:eastAsia="仿宋_GB2312" w:cs="Times New Roman"/>
                <w:b/>
                <w:bCs/>
                <w:sz w:val="24"/>
              </w:rPr>
              <w:t>年初预算数</w:t>
            </w:r>
          </w:p>
        </w:tc>
        <w:tc>
          <w:tcPr>
            <w:tcW w:w="1027" w:type="pct"/>
            <w:tcBorders>
              <w:top w:val="single" w:color="auto" w:sz="4" w:space="0"/>
              <w:left w:val="single" w:color="auto" w:sz="4" w:space="0"/>
              <w:bottom w:val="single" w:color="auto" w:sz="4" w:space="0"/>
              <w:right w:val="single" w:color="auto" w:sz="4" w:space="0"/>
            </w:tcBorders>
            <w:shd w:val="clear" w:color="auto" w:fill="auto"/>
            <w:vAlign w:val="center"/>
          </w:tcPr>
          <w:p w14:paraId="317857A4">
            <w:pPr>
              <w:widowControl/>
              <w:jc w:val="center"/>
              <w:textAlignment w:val="center"/>
              <w:rPr>
                <w:rFonts w:ascii="仿宋_GB2312" w:hAnsi="Times New Roman" w:eastAsia="仿宋_GB2312" w:cs="Times New Roman"/>
                <w:b/>
                <w:bCs/>
                <w:sz w:val="24"/>
              </w:rPr>
            </w:pPr>
            <w:r>
              <w:rPr>
                <w:rFonts w:hint="eastAsia" w:ascii="仿宋_GB2312" w:hAnsi="Times New Roman" w:eastAsia="仿宋_GB2312" w:cs="Times New Roman"/>
                <w:b/>
                <w:bCs/>
                <w:kern w:val="0"/>
                <w:sz w:val="24"/>
              </w:rPr>
              <w:t>全年预算数</w:t>
            </w:r>
          </w:p>
        </w:tc>
        <w:tc>
          <w:tcPr>
            <w:tcW w:w="1027" w:type="pct"/>
            <w:tcBorders>
              <w:top w:val="single" w:color="auto" w:sz="4" w:space="0"/>
              <w:left w:val="single" w:color="auto" w:sz="4" w:space="0"/>
              <w:bottom w:val="single" w:color="auto" w:sz="4" w:space="0"/>
              <w:right w:val="single" w:color="auto" w:sz="4" w:space="0"/>
            </w:tcBorders>
            <w:shd w:val="clear" w:color="auto" w:fill="auto"/>
            <w:vAlign w:val="center"/>
          </w:tcPr>
          <w:p w14:paraId="64195AB6">
            <w:pPr>
              <w:widowControl/>
              <w:jc w:val="center"/>
              <w:textAlignment w:val="center"/>
              <w:rPr>
                <w:rFonts w:ascii="仿宋_GB2312" w:hAnsi="Times New Roman" w:eastAsia="仿宋_GB2312" w:cs="Times New Roman"/>
                <w:b/>
                <w:bCs/>
                <w:sz w:val="24"/>
              </w:rPr>
            </w:pPr>
            <w:r>
              <w:rPr>
                <w:rFonts w:hint="eastAsia" w:ascii="仿宋_GB2312" w:hAnsi="Times New Roman" w:eastAsia="仿宋_GB2312" w:cs="Times New Roman"/>
                <w:b/>
                <w:bCs/>
                <w:kern w:val="0"/>
                <w:sz w:val="24"/>
              </w:rPr>
              <w:t>决算数</w:t>
            </w:r>
          </w:p>
        </w:tc>
      </w:tr>
      <w:tr w14:paraId="0CC22514">
        <w:tblPrEx>
          <w:tblCellMar>
            <w:top w:w="0" w:type="dxa"/>
            <w:left w:w="108" w:type="dxa"/>
            <w:bottom w:w="0" w:type="dxa"/>
            <w:right w:w="108" w:type="dxa"/>
          </w:tblCellMar>
        </w:tblPrEx>
        <w:trPr>
          <w:trHeight w:val="567" w:hRule="atLeast"/>
        </w:trPr>
        <w:tc>
          <w:tcPr>
            <w:tcW w:w="1921" w:type="pct"/>
            <w:tcBorders>
              <w:top w:val="single" w:color="auto" w:sz="4" w:space="0"/>
              <w:left w:val="single" w:color="auto" w:sz="4" w:space="0"/>
              <w:bottom w:val="single" w:color="auto" w:sz="4" w:space="0"/>
              <w:right w:val="single" w:color="auto" w:sz="4" w:space="0"/>
            </w:tcBorders>
            <w:shd w:val="clear" w:color="auto" w:fill="auto"/>
            <w:vAlign w:val="center"/>
          </w:tcPr>
          <w:p w14:paraId="78D93C22">
            <w:pPr>
              <w:widowControl/>
              <w:jc w:val="center"/>
              <w:textAlignment w:val="center"/>
              <w:rPr>
                <w:rFonts w:ascii="仿宋_GB2312" w:hAnsi="Times New Roman" w:eastAsia="仿宋_GB2312" w:cs="Times New Roman"/>
                <w:sz w:val="24"/>
              </w:rPr>
            </w:pPr>
            <w:r>
              <w:rPr>
                <w:rFonts w:hint="eastAsia" w:ascii="仿宋_GB2312" w:hAnsi="Times New Roman" w:eastAsia="仿宋_GB2312" w:cs="Times New Roman"/>
                <w:sz w:val="24"/>
              </w:rPr>
              <w:t>基本支出</w:t>
            </w:r>
          </w:p>
        </w:tc>
        <w:tc>
          <w:tcPr>
            <w:tcW w:w="1026" w:type="pct"/>
            <w:tcBorders>
              <w:top w:val="single" w:color="auto" w:sz="4" w:space="0"/>
              <w:left w:val="single" w:color="auto" w:sz="4" w:space="0"/>
              <w:bottom w:val="single" w:color="auto" w:sz="4" w:space="0"/>
              <w:right w:val="single" w:color="auto" w:sz="4" w:space="0"/>
            </w:tcBorders>
            <w:shd w:val="clear" w:color="auto" w:fill="auto"/>
            <w:vAlign w:val="center"/>
          </w:tcPr>
          <w:p w14:paraId="52191B67">
            <w:pPr>
              <w:widowControl/>
              <w:jc w:val="center"/>
              <w:textAlignment w:val="center"/>
              <w:rPr>
                <w:rFonts w:ascii="仿宋_GB2312" w:hAnsi="Times New Roman" w:eastAsia="仿宋_GB2312" w:cs="Times New Roman"/>
                <w:kern w:val="0"/>
                <w:sz w:val="24"/>
              </w:rPr>
            </w:pPr>
            <w:r>
              <w:rPr>
                <w:rFonts w:ascii="仿宋_GB2312" w:hAnsi="Times New Roman" w:eastAsia="仿宋_GB2312" w:cs="Times New Roman"/>
                <w:kern w:val="0"/>
                <w:sz w:val="24"/>
              </w:rPr>
              <w:t>15,578.29</w:t>
            </w:r>
          </w:p>
        </w:tc>
        <w:tc>
          <w:tcPr>
            <w:tcW w:w="1027" w:type="pct"/>
            <w:tcBorders>
              <w:top w:val="single" w:color="auto" w:sz="4" w:space="0"/>
              <w:left w:val="single" w:color="auto" w:sz="4" w:space="0"/>
              <w:bottom w:val="single" w:color="auto" w:sz="4" w:space="0"/>
              <w:right w:val="single" w:color="auto" w:sz="4" w:space="0"/>
            </w:tcBorders>
            <w:shd w:val="clear" w:color="auto" w:fill="auto"/>
            <w:vAlign w:val="center"/>
          </w:tcPr>
          <w:p w14:paraId="7B1284B9">
            <w:pPr>
              <w:widowControl/>
              <w:jc w:val="center"/>
              <w:textAlignment w:val="center"/>
              <w:rPr>
                <w:rFonts w:ascii="仿宋_GB2312" w:hAnsi="Times New Roman" w:eastAsia="仿宋_GB2312" w:cs="Times New Roman"/>
                <w:kern w:val="0"/>
                <w:sz w:val="24"/>
              </w:rPr>
            </w:pPr>
            <w:r>
              <w:rPr>
                <w:rFonts w:ascii="仿宋_GB2312" w:hAnsi="Times New Roman" w:eastAsia="仿宋_GB2312" w:cs="Times New Roman"/>
                <w:kern w:val="0"/>
                <w:sz w:val="24"/>
              </w:rPr>
              <w:t>17,032.40</w:t>
            </w:r>
          </w:p>
        </w:tc>
        <w:tc>
          <w:tcPr>
            <w:tcW w:w="1027" w:type="pct"/>
            <w:tcBorders>
              <w:top w:val="single" w:color="auto" w:sz="4" w:space="0"/>
              <w:left w:val="single" w:color="auto" w:sz="4" w:space="0"/>
              <w:bottom w:val="single" w:color="auto" w:sz="4" w:space="0"/>
              <w:right w:val="single" w:color="auto" w:sz="4" w:space="0"/>
            </w:tcBorders>
            <w:shd w:val="clear" w:color="auto" w:fill="auto"/>
            <w:vAlign w:val="center"/>
          </w:tcPr>
          <w:p w14:paraId="06B8EEE7">
            <w:pPr>
              <w:widowControl/>
              <w:jc w:val="center"/>
              <w:textAlignment w:val="center"/>
              <w:rPr>
                <w:rFonts w:ascii="仿宋_GB2312" w:hAnsi="Times New Roman" w:eastAsia="仿宋_GB2312" w:cs="Times New Roman"/>
                <w:kern w:val="0"/>
                <w:sz w:val="24"/>
              </w:rPr>
            </w:pPr>
            <w:r>
              <w:rPr>
                <w:rFonts w:ascii="仿宋_GB2312" w:hAnsi="Times New Roman" w:eastAsia="仿宋_GB2312" w:cs="Times New Roman"/>
                <w:kern w:val="0"/>
                <w:sz w:val="24"/>
              </w:rPr>
              <w:t>17,028.71</w:t>
            </w:r>
          </w:p>
        </w:tc>
      </w:tr>
      <w:tr w14:paraId="311363D5">
        <w:tblPrEx>
          <w:tblCellMar>
            <w:top w:w="0" w:type="dxa"/>
            <w:left w:w="108" w:type="dxa"/>
            <w:bottom w:w="0" w:type="dxa"/>
            <w:right w:w="108" w:type="dxa"/>
          </w:tblCellMar>
        </w:tblPrEx>
        <w:trPr>
          <w:trHeight w:val="567" w:hRule="atLeast"/>
        </w:trPr>
        <w:tc>
          <w:tcPr>
            <w:tcW w:w="1921" w:type="pct"/>
            <w:tcBorders>
              <w:top w:val="single" w:color="auto" w:sz="4" w:space="0"/>
              <w:left w:val="single" w:color="auto" w:sz="4" w:space="0"/>
              <w:bottom w:val="single" w:color="auto" w:sz="4" w:space="0"/>
              <w:right w:val="single" w:color="auto" w:sz="4" w:space="0"/>
            </w:tcBorders>
            <w:shd w:val="clear" w:color="auto" w:fill="auto"/>
            <w:vAlign w:val="center"/>
          </w:tcPr>
          <w:p w14:paraId="3E679072">
            <w:pPr>
              <w:widowControl/>
              <w:jc w:val="center"/>
              <w:textAlignment w:val="center"/>
              <w:rPr>
                <w:rFonts w:ascii="仿宋_GB2312" w:hAnsi="Times New Roman" w:eastAsia="仿宋_GB2312" w:cs="Times New Roman"/>
                <w:sz w:val="24"/>
              </w:rPr>
            </w:pPr>
            <w:r>
              <w:rPr>
                <w:rFonts w:hint="eastAsia" w:ascii="仿宋_GB2312" w:hAnsi="Times New Roman" w:eastAsia="仿宋_GB2312" w:cs="Times New Roman"/>
                <w:sz w:val="24"/>
              </w:rPr>
              <w:t>其中：人员经费</w:t>
            </w:r>
          </w:p>
        </w:tc>
        <w:tc>
          <w:tcPr>
            <w:tcW w:w="1026" w:type="pct"/>
            <w:tcBorders>
              <w:top w:val="single" w:color="auto" w:sz="4" w:space="0"/>
              <w:left w:val="single" w:color="auto" w:sz="4" w:space="0"/>
              <w:bottom w:val="single" w:color="auto" w:sz="4" w:space="0"/>
              <w:right w:val="single" w:color="auto" w:sz="4" w:space="0"/>
            </w:tcBorders>
            <w:shd w:val="clear" w:color="auto" w:fill="auto"/>
            <w:vAlign w:val="center"/>
          </w:tcPr>
          <w:p w14:paraId="2194803A">
            <w:pPr>
              <w:widowControl/>
              <w:jc w:val="center"/>
              <w:textAlignment w:val="center"/>
              <w:rPr>
                <w:rFonts w:ascii="仿宋_GB2312" w:hAnsi="Times New Roman" w:eastAsia="仿宋_GB2312" w:cs="Times New Roman"/>
                <w:kern w:val="0"/>
                <w:sz w:val="24"/>
              </w:rPr>
            </w:pPr>
            <w:r>
              <w:rPr>
                <w:rFonts w:ascii="仿宋_GB2312" w:hAnsi="Times New Roman" w:eastAsia="仿宋_GB2312" w:cs="Times New Roman"/>
                <w:kern w:val="0"/>
                <w:sz w:val="24"/>
              </w:rPr>
              <w:t>14,432.08</w:t>
            </w:r>
          </w:p>
        </w:tc>
        <w:tc>
          <w:tcPr>
            <w:tcW w:w="1027" w:type="pct"/>
            <w:tcBorders>
              <w:top w:val="single" w:color="auto" w:sz="4" w:space="0"/>
              <w:left w:val="single" w:color="auto" w:sz="4" w:space="0"/>
              <w:bottom w:val="single" w:color="auto" w:sz="4" w:space="0"/>
              <w:right w:val="single" w:color="auto" w:sz="4" w:space="0"/>
            </w:tcBorders>
            <w:shd w:val="clear" w:color="auto" w:fill="auto"/>
            <w:vAlign w:val="center"/>
          </w:tcPr>
          <w:p w14:paraId="126DED03">
            <w:pPr>
              <w:widowControl/>
              <w:jc w:val="center"/>
              <w:textAlignment w:val="center"/>
              <w:rPr>
                <w:rFonts w:ascii="仿宋_GB2312" w:hAnsi="Times New Roman" w:eastAsia="仿宋_GB2312" w:cs="Times New Roman"/>
                <w:kern w:val="0"/>
                <w:sz w:val="24"/>
              </w:rPr>
            </w:pPr>
            <w:r>
              <w:rPr>
                <w:rFonts w:ascii="仿宋_GB2312" w:hAnsi="Times New Roman" w:eastAsia="仿宋_GB2312" w:cs="Times New Roman"/>
                <w:kern w:val="0"/>
                <w:sz w:val="24"/>
              </w:rPr>
              <w:t>15,764.65</w:t>
            </w:r>
          </w:p>
        </w:tc>
        <w:tc>
          <w:tcPr>
            <w:tcW w:w="1027" w:type="pct"/>
            <w:tcBorders>
              <w:top w:val="single" w:color="auto" w:sz="4" w:space="0"/>
              <w:left w:val="single" w:color="auto" w:sz="4" w:space="0"/>
              <w:bottom w:val="single" w:color="auto" w:sz="4" w:space="0"/>
              <w:right w:val="single" w:color="auto" w:sz="4" w:space="0"/>
            </w:tcBorders>
            <w:shd w:val="clear" w:color="auto" w:fill="auto"/>
            <w:vAlign w:val="center"/>
          </w:tcPr>
          <w:p w14:paraId="3392FC33">
            <w:pPr>
              <w:widowControl/>
              <w:jc w:val="center"/>
              <w:textAlignment w:val="center"/>
              <w:rPr>
                <w:rFonts w:ascii="仿宋_GB2312" w:hAnsi="Times New Roman" w:eastAsia="仿宋_GB2312" w:cs="Times New Roman"/>
                <w:kern w:val="0"/>
                <w:sz w:val="24"/>
              </w:rPr>
            </w:pPr>
            <w:r>
              <w:rPr>
                <w:rFonts w:ascii="仿宋_GB2312" w:hAnsi="Times New Roman" w:eastAsia="仿宋_GB2312" w:cs="Times New Roman"/>
                <w:kern w:val="0"/>
                <w:sz w:val="24"/>
              </w:rPr>
              <w:t>15,764.65</w:t>
            </w:r>
          </w:p>
        </w:tc>
      </w:tr>
      <w:tr w14:paraId="43FF9C8C">
        <w:tblPrEx>
          <w:tblCellMar>
            <w:top w:w="0" w:type="dxa"/>
            <w:left w:w="108" w:type="dxa"/>
            <w:bottom w:w="0" w:type="dxa"/>
            <w:right w:w="108" w:type="dxa"/>
          </w:tblCellMar>
        </w:tblPrEx>
        <w:trPr>
          <w:trHeight w:val="567" w:hRule="atLeast"/>
        </w:trPr>
        <w:tc>
          <w:tcPr>
            <w:tcW w:w="1921" w:type="pct"/>
            <w:tcBorders>
              <w:top w:val="single" w:color="auto" w:sz="4" w:space="0"/>
              <w:left w:val="single" w:color="auto" w:sz="4" w:space="0"/>
              <w:bottom w:val="single" w:color="auto" w:sz="4" w:space="0"/>
              <w:right w:val="single" w:color="auto" w:sz="4" w:space="0"/>
            </w:tcBorders>
            <w:shd w:val="clear" w:color="auto" w:fill="auto"/>
            <w:vAlign w:val="center"/>
          </w:tcPr>
          <w:p w14:paraId="196FCD02">
            <w:pPr>
              <w:widowControl/>
              <w:jc w:val="center"/>
              <w:textAlignment w:val="center"/>
              <w:rPr>
                <w:rFonts w:ascii="仿宋_GB2312" w:hAnsi="Times New Roman" w:eastAsia="仿宋_GB2312" w:cs="Times New Roman"/>
                <w:sz w:val="24"/>
              </w:rPr>
            </w:pPr>
            <w:r>
              <w:rPr>
                <w:rFonts w:hint="eastAsia" w:ascii="仿宋_GB2312" w:hAnsi="Times New Roman" w:eastAsia="仿宋_GB2312" w:cs="Times New Roman"/>
                <w:sz w:val="24"/>
              </w:rPr>
              <w:t xml:space="preserve"> </w:t>
            </w:r>
            <w:r>
              <w:rPr>
                <w:rFonts w:ascii="仿宋_GB2312" w:hAnsi="Times New Roman" w:eastAsia="仿宋_GB2312" w:cs="Times New Roman"/>
                <w:sz w:val="24"/>
              </w:rPr>
              <w:t xml:space="preserve">     </w:t>
            </w:r>
            <w:r>
              <w:rPr>
                <w:rFonts w:hint="eastAsia" w:ascii="仿宋_GB2312" w:hAnsi="Times New Roman" w:eastAsia="仿宋_GB2312" w:cs="Times New Roman"/>
                <w:sz w:val="24"/>
              </w:rPr>
              <w:t>公用经费</w:t>
            </w:r>
          </w:p>
        </w:tc>
        <w:tc>
          <w:tcPr>
            <w:tcW w:w="1026" w:type="pct"/>
            <w:tcBorders>
              <w:top w:val="single" w:color="auto" w:sz="4" w:space="0"/>
              <w:left w:val="single" w:color="auto" w:sz="4" w:space="0"/>
              <w:bottom w:val="single" w:color="auto" w:sz="4" w:space="0"/>
              <w:right w:val="single" w:color="auto" w:sz="4" w:space="0"/>
            </w:tcBorders>
            <w:shd w:val="clear" w:color="auto" w:fill="auto"/>
            <w:vAlign w:val="center"/>
          </w:tcPr>
          <w:p w14:paraId="5438C21B">
            <w:pPr>
              <w:widowControl/>
              <w:jc w:val="center"/>
              <w:textAlignment w:val="center"/>
              <w:rPr>
                <w:rFonts w:ascii="仿宋_GB2312" w:hAnsi="Times New Roman" w:eastAsia="仿宋_GB2312" w:cs="Times New Roman"/>
                <w:kern w:val="0"/>
                <w:sz w:val="24"/>
              </w:rPr>
            </w:pPr>
            <w:r>
              <w:rPr>
                <w:rFonts w:ascii="仿宋_GB2312" w:hAnsi="Times New Roman" w:eastAsia="仿宋_GB2312" w:cs="Times New Roman"/>
                <w:kern w:val="0"/>
                <w:sz w:val="24"/>
              </w:rPr>
              <w:t>1,146.21</w:t>
            </w:r>
          </w:p>
        </w:tc>
        <w:tc>
          <w:tcPr>
            <w:tcW w:w="1027" w:type="pct"/>
            <w:tcBorders>
              <w:top w:val="single" w:color="auto" w:sz="4" w:space="0"/>
              <w:left w:val="single" w:color="auto" w:sz="4" w:space="0"/>
              <w:bottom w:val="single" w:color="auto" w:sz="4" w:space="0"/>
              <w:right w:val="single" w:color="auto" w:sz="4" w:space="0"/>
            </w:tcBorders>
            <w:shd w:val="clear" w:color="auto" w:fill="auto"/>
            <w:vAlign w:val="center"/>
          </w:tcPr>
          <w:p w14:paraId="3B8FBFA6">
            <w:pPr>
              <w:widowControl/>
              <w:jc w:val="center"/>
              <w:textAlignment w:val="center"/>
              <w:rPr>
                <w:rFonts w:ascii="仿宋_GB2312" w:hAnsi="Times New Roman" w:eastAsia="仿宋_GB2312" w:cs="Times New Roman"/>
                <w:kern w:val="0"/>
                <w:sz w:val="24"/>
              </w:rPr>
            </w:pPr>
            <w:r>
              <w:rPr>
                <w:rFonts w:ascii="仿宋_GB2312" w:hAnsi="Times New Roman" w:eastAsia="仿宋_GB2312" w:cs="Times New Roman"/>
                <w:kern w:val="0"/>
                <w:sz w:val="24"/>
              </w:rPr>
              <w:t>1,267.75</w:t>
            </w:r>
          </w:p>
        </w:tc>
        <w:tc>
          <w:tcPr>
            <w:tcW w:w="1027" w:type="pct"/>
            <w:tcBorders>
              <w:top w:val="single" w:color="auto" w:sz="4" w:space="0"/>
              <w:left w:val="single" w:color="auto" w:sz="4" w:space="0"/>
              <w:bottom w:val="single" w:color="auto" w:sz="4" w:space="0"/>
              <w:right w:val="single" w:color="auto" w:sz="4" w:space="0"/>
            </w:tcBorders>
            <w:shd w:val="clear" w:color="auto" w:fill="auto"/>
            <w:vAlign w:val="center"/>
          </w:tcPr>
          <w:p w14:paraId="4679B13C">
            <w:pPr>
              <w:widowControl/>
              <w:jc w:val="center"/>
              <w:textAlignment w:val="center"/>
              <w:rPr>
                <w:rFonts w:ascii="仿宋_GB2312" w:hAnsi="Times New Roman" w:eastAsia="仿宋_GB2312" w:cs="Times New Roman"/>
                <w:kern w:val="0"/>
                <w:sz w:val="24"/>
              </w:rPr>
            </w:pPr>
            <w:r>
              <w:rPr>
                <w:rFonts w:ascii="仿宋_GB2312" w:hAnsi="Times New Roman" w:eastAsia="仿宋_GB2312" w:cs="Times New Roman"/>
                <w:kern w:val="0"/>
                <w:sz w:val="24"/>
              </w:rPr>
              <w:t>1,264.06</w:t>
            </w:r>
          </w:p>
        </w:tc>
      </w:tr>
      <w:tr w14:paraId="5C904611">
        <w:tblPrEx>
          <w:tblCellMar>
            <w:top w:w="0" w:type="dxa"/>
            <w:left w:w="108" w:type="dxa"/>
            <w:bottom w:w="0" w:type="dxa"/>
            <w:right w:w="108" w:type="dxa"/>
          </w:tblCellMar>
        </w:tblPrEx>
        <w:trPr>
          <w:trHeight w:val="567" w:hRule="atLeast"/>
        </w:trPr>
        <w:tc>
          <w:tcPr>
            <w:tcW w:w="1921" w:type="pct"/>
            <w:tcBorders>
              <w:top w:val="single" w:color="auto" w:sz="4" w:space="0"/>
              <w:left w:val="single" w:color="auto" w:sz="4" w:space="0"/>
              <w:bottom w:val="single" w:color="auto" w:sz="4" w:space="0"/>
              <w:right w:val="single" w:color="auto" w:sz="4" w:space="0"/>
            </w:tcBorders>
            <w:shd w:val="clear" w:color="auto" w:fill="auto"/>
            <w:vAlign w:val="center"/>
          </w:tcPr>
          <w:p w14:paraId="3A788EFA">
            <w:pPr>
              <w:widowControl/>
              <w:jc w:val="center"/>
              <w:textAlignment w:val="center"/>
              <w:rPr>
                <w:rFonts w:ascii="仿宋_GB2312" w:hAnsi="Times New Roman" w:eastAsia="仿宋_GB2312" w:cs="Times New Roman"/>
                <w:kern w:val="0"/>
                <w:sz w:val="24"/>
              </w:rPr>
            </w:pPr>
            <w:r>
              <w:rPr>
                <w:rFonts w:hint="eastAsia" w:ascii="仿宋_GB2312" w:hAnsi="Times New Roman" w:eastAsia="仿宋_GB2312" w:cs="Times New Roman"/>
                <w:kern w:val="0"/>
                <w:sz w:val="24"/>
              </w:rPr>
              <w:t>项目支出</w:t>
            </w:r>
          </w:p>
        </w:tc>
        <w:tc>
          <w:tcPr>
            <w:tcW w:w="1026" w:type="pct"/>
            <w:tcBorders>
              <w:top w:val="single" w:color="auto" w:sz="4" w:space="0"/>
              <w:left w:val="single" w:color="auto" w:sz="4" w:space="0"/>
              <w:bottom w:val="single" w:color="auto" w:sz="4" w:space="0"/>
              <w:right w:val="single" w:color="auto" w:sz="4" w:space="0"/>
            </w:tcBorders>
            <w:shd w:val="clear" w:color="auto" w:fill="auto"/>
            <w:vAlign w:val="center"/>
          </w:tcPr>
          <w:p w14:paraId="197D0CC6">
            <w:pPr>
              <w:widowControl/>
              <w:jc w:val="center"/>
              <w:textAlignment w:val="center"/>
              <w:rPr>
                <w:rFonts w:ascii="仿宋_GB2312" w:hAnsi="Times New Roman" w:eastAsia="仿宋_GB2312" w:cs="Times New Roman"/>
                <w:kern w:val="0"/>
                <w:sz w:val="24"/>
              </w:rPr>
            </w:pPr>
            <w:r>
              <w:rPr>
                <w:rFonts w:ascii="仿宋_GB2312" w:hAnsi="Times New Roman" w:eastAsia="仿宋_GB2312" w:cs="Times New Roman"/>
                <w:kern w:val="0"/>
                <w:sz w:val="24"/>
              </w:rPr>
              <w:t>27,481.30</w:t>
            </w:r>
          </w:p>
        </w:tc>
        <w:tc>
          <w:tcPr>
            <w:tcW w:w="1027" w:type="pct"/>
            <w:tcBorders>
              <w:top w:val="single" w:color="auto" w:sz="4" w:space="0"/>
              <w:left w:val="single" w:color="auto" w:sz="4" w:space="0"/>
              <w:bottom w:val="single" w:color="auto" w:sz="4" w:space="0"/>
              <w:right w:val="single" w:color="auto" w:sz="4" w:space="0"/>
            </w:tcBorders>
            <w:shd w:val="clear" w:color="auto" w:fill="auto"/>
            <w:vAlign w:val="center"/>
          </w:tcPr>
          <w:p w14:paraId="1E88C6EC">
            <w:pPr>
              <w:widowControl/>
              <w:jc w:val="center"/>
              <w:textAlignment w:val="center"/>
              <w:rPr>
                <w:rFonts w:ascii="仿宋_GB2312" w:hAnsi="Times New Roman" w:eastAsia="仿宋_GB2312" w:cs="Times New Roman"/>
                <w:kern w:val="0"/>
                <w:sz w:val="24"/>
              </w:rPr>
            </w:pPr>
            <w:r>
              <w:rPr>
                <w:rFonts w:ascii="仿宋_GB2312" w:hAnsi="Times New Roman" w:eastAsia="仿宋_GB2312" w:cs="Times New Roman"/>
                <w:kern w:val="0"/>
                <w:sz w:val="24"/>
              </w:rPr>
              <w:t>25,948.60</w:t>
            </w:r>
          </w:p>
        </w:tc>
        <w:tc>
          <w:tcPr>
            <w:tcW w:w="1027" w:type="pct"/>
            <w:tcBorders>
              <w:top w:val="single" w:color="auto" w:sz="4" w:space="0"/>
              <w:left w:val="single" w:color="auto" w:sz="4" w:space="0"/>
              <w:bottom w:val="single" w:color="auto" w:sz="4" w:space="0"/>
              <w:right w:val="single" w:color="auto" w:sz="4" w:space="0"/>
            </w:tcBorders>
            <w:shd w:val="clear" w:color="auto" w:fill="auto"/>
            <w:vAlign w:val="center"/>
          </w:tcPr>
          <w:p w14:paraId="40735408">
            <w:pPr>
              <w:widowControl/>
              <w:jc w:val="center"/>
              <w:textAlignment w:val="center"/>
              <w:rPr>
                <w:rFonts w:ascii="仿宋_GB2312" w:hAnsi="Times New Roman" w:eastAsia="仿宋_GB2312" w:cs="Times New Roman"/>
                <w:kern w:val="0"/>
                <w:sz w:val="24"/>
              </w:rPr>
            </w:pPr>
            <w:r>
              <w:rPr>
                <w:rFonts w:ascii="仿宋_GB2312" w:hAnsi="Times New Roman" w:eastAsia="仿宋_GB2312" w:cs="Times New Roman"/>
                <w:kern w:val="0"/>
                <w:sz w:val="24"/>
              </w:rPr>
              <w:t>23,451.84</w:t>
            </w:r>
          </w:p>
        </w:tc>
      </w:tr>
      <w:tr w14:paraId="379FBCC3">
        <w:tblPrEx>
          <w:tblCellMar>
            <w:top w:w="0" w:type="dxa"/>
            <w:left w:w="108" w:type="dxa"/>
            <w:bottom w:w="0" w:type="dxa"/>
            <w:right w:w="108" w:type="dxa"/>
          </w:tblCellMar>
        </w:tblPrEx>
        <w:trPr>
          <w:trHeight w:val="567" w:hRule="atLeast"/>
        </w:trPr>
        <w:tc>
          <w:tcPr>
            <w:tcW w:w="1921" w:type="pct"/>
            <w:tcBorders>
              <w:top w:val="single" w:color="auto" w:sz="4" w:space="0"/>
              <w:left w:val="single" w:color="auto" w:sz="4" w:space="0"/>
              <w:bottom w:val="single" w:color="auto" w:sz="4" w:space="0"/>
              <w:right w:val="single" w:color="auto" w:sz="4" w:space="0"/>
            </w:tcBorders>
            <w:shd w:val="clear" w:color="auto" w:fill="auto"/>
            <w:vAlign w:val="center"/>
          </w:tcPr>
          <w:p w14:paraId="7F4574B3">
            <w:pPr>
              <w:widowControl/>
              <w:jc w:val="center"/>
              <w:textAlignment w:val="center"/>
              <w:rPr>
                <w:rFonts w:ascii="仿宋_GB2312" w:hAnsi="Times New Roman" w:eastAsia="仿宋_GB2312" w:cs="Times New Roman"/>
                <w:kern w:val="0"/>
                <w:sz w:val="24"/>
              </w:rPr>
            </w:pPr>
            <w:r>
              <w:rPr>
                <w:rFonts w:hint="eastAsia" w:ascii="仿宋_GB2312" w:hAnsi="Times New Roman" w:eastAsia="仿宋_GB2312" w:cs="Times New Roman"/>
                <w:kern w:val="0"/>
                <w:sz w:val="24"/>
              </w:rPr>
              <w:t>其中：基本建设类项目</w:t>
            </w:r>
          </w:p>
        </w:tc>
        <w:tc>
          <w:tcPr>
            <w:tcW w:w="1026" w:type="pct"/>
            <w:tcBorders>
              <w:top w:val="single" w:color="auto" w:sz="4" w:space="0"/>
              <w:left w:val="single" w:color="auto" w:sz="4" w:space="0"/>
              <w:bottom w:val="single" w:color="auto" w:sz="4" w:space="0"/>
              <w:right w:val="single" w:color="auto" w:sz="4" w:space="0"/>
            </w:tcBorders>
            <w:shd w:val="clear" w:color="auto" w:fill="auto"/>
            <w:vAlign w:val="center"/>
          </w:tcPr>
          <w:p w14:paraId="5CB09CBA">
            <w:pPr>
              <w:widowControl/>
              <w:jc w:val="center"/>
              <w:textAlignment w:val="center"/>
              <w:rPr>
                <w:rFonts w:ascii="仿宋_GB2312" w:hAnsi="Times New Roman" w:eastAsia="仿宋_GB2312" w:cs="Times New Roman"/>
                <w:kern w:val="0"/>
                <w:sz w:val="24"/>
              </w:rPr>
            </w:pPr>
            <w:r>
              <w:rPr>
                <w:rFonts w:ascii="仿宋_GB2312" w:hAnsi="Times New Roman" w:eastAsia="仿宋_GB2312" w:cs="Times New Roman"/>
                <w:kern w:val="0"/>
                <w:sz w:val="24"/>
              </w:rPr>
              <w:t>-</w:t>
            </w:r>
          </w:p>
        </w:tc>
        <w:tc>
          <w:tcPr>
            <w:tcW w:w="1027" w:type="pct"/>
            <w:tcBorders>
              <w:top w:val="single" w:color="auto" w:sz="4" w:space="0"/>
              <w:left w:val="single" w:color="auto" w:sz="4" w:space="0"/>
              <w:bottom w:val="single" w:color="auto" w:sz="4" w:space="0"/>
              <w:right w:val="single" w:color="auto" w:sz="4" w:space="0"/>
            </w:tcBorders>
            <w:shd w:val="clear" w:color="auto" w:fill="auto"/>
            <w:vAlign w:val="center"/>
          </w:tcPr>
          <w:p w14:paraId="6FBC591F">
            <w:pPr>
              <w:widowControl/>
              <w:jc w:val="center"/>
              <w:textAlignment w:val="center"/>
              <w:rPr>
                <w:rFonts w:ascii="仿宋_GB2312" w:hAnsi="Times New Roman" w:eastAsia="仿宋_GB2312" w:cs="Times New Roman"/>
                <w:kern w:val="0"/>
                <w:sz w:val="24"/>
              </w:rPr>
            </w:pPr>
            <w:r>
              <w:rPr>
                <w:rFonts w:ascii="仿宋_GB2312" w:hAnsi="Times New Roman" w:eastAsia="仿宋_GB2312" w:cs="Times New Roman"/>
                <w:kern w:val="0"/>
                <w:sz w:val="24"/>
              </w:rPr>
              <w:t>40.14</w:t>
            </w:r>
          </w:p>
        </w:tc>
        <w:tc>
          <w:tcPr>
            <w:tcW w:w="1027" w:type="pct"/>
            <w:tcBorders>
              <w:top w:val="single" w:color="auto" w:sz="4" w:space="0"/>
              <w:left w:val="single" w:color="auto" w:sz="4" w:space="0"/>
              <w:bottom w:val="single" w:color="auto" w:sz="4" w:space="0"/>
              <w:right w:val="single" w:color="auto" w:sz="4" w:space="0"/>
            </w:tcBorders>
            <w:shd w:val="clear" w:color="auto" w:fill="auto"/>
            <w:vAlign w:val="center"/>
          </w:tcPr>
          <w:p w14:paraId="7CAA48BB">
            <w:pPr>
              <w:widowControl/>
              <w:jc w:val="center"/>
              <w:textAlignment w:val="center"/>
              <w:rPr>
                <w:rFonts w:ascii="仿宋_GB2312" w:hAnsi="Times New Roman" w:eastAsia="仿宋_GB2312" w:cs="Times New Roman"/>
                <w:kern w:val="0"/>
                <w:sz w:val="24"/>
              </w:rPr>
            </w:pPr>
            <w:r>
              <w:rPr>
                <w:rFonts w:ascii="仿宋_GB2312" w:hAnsi="Times New Roman" w:eastAsia="仿宋_GB2312" w:cs="Times New Roman"/>
                <w:kern w:val="0"/>
                <w:sz w:val="24"/>
              </w:rPr>
              <w:t>40.14</w:t>
            </w:r>
          </w:p>
        </w:tc>
      </w:tr>
      <w:tr w14:paraId="38BE7218">
        <w:tblPrEx>
          <w:tblCellMar>
            <w:top w:w="0" w:type="dxa"/>
            <w:left w:w="108" w:type="dxa"/>
            <w:bottom w:w="0" w:type="dxa"/>
            <w:right w:w="108" w:type="dxa"/>
          </w:tblCellMar>
        </w:tblPrEx>
        <w:trPr>
          <w:trHeight w:val="567" w:hRule="atLeast"/>
        </w:trPr>
        <w:tc>
          <w:tcPr>
            <w:tcW w:w="1921" w:type="pct"/>
            <w:tcBorders>
              <w:top w:val="single" w:color="auto" w:sz="4" w:space="0"/>
              <w:left w:val="single" w:color="auto" w:sz="4" w:space="0"/>
              <w:bottom w:val="single" w:color="auto" w:sz="4" w:space="0"/>
              <w:right w:val="single" w:color="auto" w:sz="4" w:space="0"/>
            </w:tcBorders>
            <w:shd w:val="clear" w:color="auto" w:fill="auto"/>
            <w:vAlign w:val="center"/>
          </w:tcPr>
          <w:p w14:paraId="7783CEC6">
            <w:pPr>
              <w:widowControl/>
              <w:jc w:val="center"/>
              <w:textAlignment w:val="center"/>
              <w:rPr>
                <w:rFonts w:ascii="仿宋_GB2312" w:hAnsi="Times New Roman" w:eastAsia="仿宋_GB2312" w:cs="Times New Roman"/>
                <w:kern w:val="0"/>
                <w:sz w:val="24"/>
              </w:rPr>
            </w:pPr>
            <w:r>
              <w:rPr>
                <w:rFonts w:hint="eastAsia" w:ascii="仿宋_GB2312" w:hAnsi="Times New Roman" w:eastAsia="仿宋_GB2312" w:cs="Times New Roman"/>
                <w:kern w:val="0"/>
                <w:sz w:val="24"/>
              </w:rPr>
              <w:t>本年支出合计</w:t>
            </w:r>
          </w:p>
        </w:tc>
        <w:tc>
          <w:tcPr>
            <w:tcW w:w="1026" w:type="pct"/>
            <w:tcBorders>
              <w:top w:val="single" w:color="auto" w:sz="4" w:space="0"/>
              <w:left w:val="single" w:color="auto" w:sz="4" w:space="0"/>
              <w:bottom w:val="single" w:color="auto" w:sz="4" w:space="0"/>
              <w:right w:val="single" w:color="auto" w:sz="4" w:space="0"/>
            </w:tcBorders>
            <w:shd w:val="clear" w:color="auto" w:fill="auto"/>
            <w:vAlign w:val="center"/>
          </w:tcPr>
          <w:p w14:paraId="22A3E631">
            <w:pPr>
              <w:widowControl/>
              <w:jc w:val="center"/>
              <w:textAlignment w:val="center"/>
              <w:rPr>
                <w:rFonts w:ascii="仿宋_GB2312" w:hAnsi="Times New Roman" w:eastAsia="仿宋_GB2312" w:cs="Times New Roman"/>
                <w:kern w:val="0"/>
                <w:sz w:val="24"/>
              </w:rPr>
            </w:pPr>
            <w:r>
              <w:rPr>
                <w:rFonts w:ascii="仿宋_GB2312" w:hAnsi="Times New Roman" w:eastAsia="仿宋_GB2312" w:cs="Times New Roman"/>
                <w:kern w:val="0"/>
                <w:sz w:val="24"/>
              </w:rPr>
              <w:t>43,059.59</w:t>
            </w:r>
          </w:p>
        </w:tc>
        <w:tc>
          <w:tcPr>
            <w:tcW w:w="1027" w:type="pct"/>
            <w:tcBorders>
              <w:top w:val="single" w:color="auto" w:sz="4" w:space="0"/>
              <w:left w:val="single" w:color="auto" w:sz="4" w:space="0"/>
              <w:bottom w:val="single" w:color="auto" w:sz="4" w:space="0"/>
              <w:right w:val="single" w:color="auto" w:sz="4" w:space="0"/>
            </w:tcBorders>
            <w:shd w:val="clear" w:color="auto" w:fill="auto"/>
            <w:vAlign w:val="center"/>
          </w:tcPr>
          <w:p w14:paraId="7F9BE108">
            <w:pPr>
              <w:widowControl/>
              <w:jc w:val="center"/>
              <w:textAlignment w:val="center"/>
              <w:rPr>
                <w:rFonts w:ascii="仿宋_GB2312" w:hAnsi="Times New Roman" w:eastAsia="仿宋_GB2312" w:cs="Times New Roman"/>
                <w:kern w:val="0"/>
                <w:sz w:val="24"/>
              </w:rPr>
            </w:pPr>
            <w:r>
              <w:rPr>
                <w:rFonts w:ascii="仿宋_GB2312" w:hAnsi="Times New Roman" w:eastAsia="仿宋_GB2312" w:cs="Times New Roman"/>
                <w:kern w:val="0"/>
                <w:sz w:val="24"/>
              </w:rPr>
              <w:t>42,981.00</w:t>
            </w:r>
          </w:p>
        </w:tc>
        <w:tc>
          <w:tcPr>
            <w:tcW w:w="1027" w:type="pct"/>
            <w:tcBorders>
              <w:top w:val="single" w:color="auto" w:sz="4" w:space="0"/>
              <w:left w:val="single" w:color="auto" w:sz="4" w:space="0"/>
              <w:bottom w:val="single" w:color="auto" w:sz="4" w:space="0"/>
              <w:right w:val="single" w:color="auto" w:sz="4" w:space="0"/>
            </w:tcBorders>
            <w:shd w:val="clear" w:color="auto" w:fill="auto"/>
            <w:vAlign w:val="center"/>
          </w:tcPr>
          <w:p w14:paraId="7CBAEC85">
            <w:pPr>
              <w:widowControl/>
              <w:jc w:val="center"/>
              <w:textAlignment w:val="center"/>
              <w:rPr>
                <w:rFonts w:ascii="仿宋_GB2312" w:hAnsi="Times New Roman" w:eastAsia="仿宋_GB2312" w:cs="Times New Roman"/>
                <w:kern w:val="0"/>
                <w:sz w:val="24"/>
              </w:rPr>
            </w:pPr>
            <w:r>
              <w:rPr>
                <w:rFonts w:ascii="仿宋_GB2312" w:hAnsi="Times New Roman" w:eastAsia="仿宋_GB2312" w:cs="Times New Roman"/>
                <w:kern w:val="0"/>
                <w:sz w:val="24"/>
              </w:rPr>
              <w:t>40,480.55</w:t>
            </w:r>
          </w:p>
        </w:tc>
      </w:tr>
      <w:tr w14:paraId="35346E26">
        <w:tblPrEx>
          <w:tblCellMar>
            <w:top w:w="0" w:type="dxa"/>
            <w:left w:w="108" w:type="dxa"/>
            <w:bottom w:w="0" w:type="dxa"/>
            <w:right w:w="108" w:type="dxa"/>
          </w:tblCellMar>
        </w:tblPrEx>
        <w:trPr>
          <w:trHeight w:val="567" w:hRule="atLeast"/>
        </w:trPr>
        <w:tc>
          <w:tcPr>
            <w:tcW w:w="1921" w:type="pct"/>
            <w:tcBorders>
              <w:top w:val="single" w:color="auto" w:sz="4" w:space="0"/>
              <w:left w:val="single" w:color="auto" w:sz="4" w:space="0"/>
              <w:bottom w:val="single" w:color="auto" w:sz="4" w:space="0"/>
              <w:right w:val="single" w:color="auto" w:sz="4" w:space="0"/>
            </w:tcBorders>
            <w:shd w:val="clear" w:color="auto" w:fill="auto"/>
            <w:vAlign w:val="center"/>
          </w:tcPr>
          <w:p w14:paraId="457935EE">
            <w:pPr>
              <w:widowControl/>
              <w:jc w:val="center"/>
              <w:textAlignment w:val="center"/>
              <w:rPr>
                <w:rFonts w:ascii="仿宋_GB2312" w:hAnsi="Times New Roman" w:eastAsia="仿宋_GB2312" w:cs="Times New Roman"/>
                <w:sz w:val="24"/>
              </w:rPr>
            </w:pPr>
            <w:r>
              <w:rPr>
                <w:rFonts w:hint="eastAsia" w:ascii="仿宋_GB2312" w:hAnsi="Times New Roman" w:eastAsia="仿宋_GB2312" w:cs="Times New Roman"/>
                <w:kern w:val="0"/>
                <w:sz w:val="24"/>
              </w:rPr>
              <w:t>年末结转结余</w:t>
            </w:r>
          </w:p>
        </w:tc>
        <w:tc>
          <w:tcPr>
            <w:tcW w:w="1026" w:type="pct"/>
            <w:tcBorders>
              <w:top w:val="single" w:color="auto" w:sz="4" w:space="0"/>
              <w:left w:val="single" w:color="auto" w:sz="4" w:space="0"/>
              <w:bottom w:val="single" w:color="auto" w:sz="4" w:space="0"/>
              <w:right w:val="single" w:color="auto" w:sz="4" w:space="0"/>
            </w:tcBorders>
            <w:shd w:val="clear" w:color="auto" w:fill="auto"/>
            <w:vAlign w:val="center"/>
          </w:tcPr>
          <w:p w14:paraId="288BA358">
            <w:pPr>
              <w:widowControl/>
              <w:jc w:val="center"/>
              <w:textAlignment w:val="center"/>
              <w:rPr>
                <w:rFonts w:ascii="仿宋_GB2312" w:hAnsi="Times New Roman" w:eastAsia="仿宋_GB2312" w:cs="Times New Roman"/>
                <w:kern w:val="0"/>
                <w:sz w:val="24"/>
              </w:rPr>
            </w:pPr>
            <w:r>
              <w:rPr>
                <w:rFonts w:hint="eastAsia" w:ascii="仿宋_GB2312" w:hAnsi="Times New Roman" w:eastAsia="仿宋_GB2312" w:cs="Times New Roman"/>
                <w:kern w:val="0"/>
                <w:sz w:val="24"/>
              </w:rPr>
              <w:t>-</w:t>
            </w:r>
          </w:p>
        </w:tc>
        <w:tc>
          <w:tcPr>
            <w:tcW w:w="1027" w:type="pct"/>
            <w:tcBorders>
              <w:top w:val="single" w:color="auto" w:sz="4" w:space="0"/>
              <w:left w:val="single" w:color="auto" w:sz="4" w:space="0"/>
              <w:bottom w:val="single" w:color="auto" w:sz="4" w:space="0"/>
              <w:right w:val="single" w:color="auto" w:sz="4" w:space="0"/>
            </w:tcBorders>
            <w:shd w:val="clear" w:color="auto" w:fill="auto"/>
            <w:vAlign w:val="center"/>
          </w:tcPr>
          <w:p w14:paraId="3A04342B">
            <w:pPr>
              <w:widowControl/>
              <w:jc w:val="center"/>
              <w:textAlignment w:val="center"/>
              <w:rPr>
                <w:rFonts w:ascii="仿宋_GB2312" w:hAnsi="Times New Roman" w:eastAsia="仿宋_GB2312" w:cs="Times New Roman"/>
                <w:kern w:val="0"/>
                <w:sz w:val="24"/>
              </w:rPr>
            </w:pPr>
            <w:r>
              <w:rPr>
                <w:rFonts w:hint="eastAsia" w:ascii="仿宋_GB2312" w:hAnsi="Times New Roman" w:eastAsia="仿宋_GB2312" w:cs="Times New Roman"/>
                <w:kern w:val="0"/>
                <w:sz w:val="24"/>
              </w:rPr>
              <w:t>-</w:t>
            </w:r>
          </w:p>
        </w:tc>
        <w:tc>
          <w:tcPr>
            <w:tcW w:w="1027" w:type="pct"/>
            <w:tcBorders>
              <w:top w:val="single" w:color="auto" w:sz="4" w:space="0"/>
              <w:left w:val="single" w:color="auto" w:sz="4" w:space="0"/>
              <w:bottom w:val="single" w:color="auto" w:sz="4" w:space="0"/>
              <w:right w:val="single" w:color="auto" w:sz="4" w:space="0"/>
            </w:tcBorders>
            <w:shd w:val="clear" w:color="auto" w:fill="auto"/>
            <w:vAlign w:val="center"/>
          </w:tcPr>
          <w:p w14:paraId="24D5DC88">
            <w:pPr>
              <w:widowControl/>
              <w:jc w:val="center"/>
              <w:textAlignment w:val="center"/>
              <w:rPr>
                <w:rFonts w:ascii="仿宋_GB2312" w:hAnsi="Times New Roman" w:eastAsia="仿宋_GB2312" w:cs="Times New Roman"/>
                <w:kern w:val="0"/>
                <w:sz w:val="24"/>
              </w:rPr>
            </w:pPr>
            <w:r>
              <w:rPr>
                <w:rFonts w:ascii="仿宋_GB2312" w:hAnsi="Times New Roman" w:eastAsia="仿宋_GB2312" w:cs="Times New Roman"/>
                <w:kern w:val="0"/>
                <w:sz w:val="24"/>
              </w:rPr>
              <w:t>2,500.45</w:t>
            </w:r>
          </w:p>
        </w:tc>
      </w:tr>
      <w:tr w14:paraId="3AD3EC87">
        <w:tblPrEx>
          <w:tblCellMar>
            <w:top w:w="0" w:type="dxa"/>
            <w:left w:w="108" w:type="dxa"/>
            <w:bottom w:w="0" w:type="dxa"/>
            <w:right w:w="108" w:type="dxa"/>
          </w:tblCellMar>
        </w:tblPrEx>
        <w:trPr>
          <w:trHeight w:val="567" w:hRule="atLeast"/>
        </w:trPr>
        <w:tc>
          <w:tcPr>
            <w:tcW w:w="1921" w:type="pct"/>
            <w:tcBorders>
              <w:top w:val="single" w:color="auto" w:sz="4" w:space="0"/>
              <w:left w:val="single" w:color="auto" w:sz="4" w:space="0"/>
              <w:bottom w:val="single" w:color="auto" w:sz="4" w:space="0"/>
              <w:right w:val="single" w:color="auto" w:sz="4" w:space="0"/>
            </w:tcBorders>
            <w:shd w:val="clear" w:color="auto" w:fill="auto"/>
            <w:vAlign w:val="center"/>
          </w:tcPr>
          <w:p w14:paraId="74412CD7">
            <w:pPr>
              <w:widowControl/>
              <w:jc w:val="center"/>
              <w:textAlignment w:val="center"/>
              <w:rPr>
                <w:rFonts w:ascii="仿宋_GB2312" w:hAnsi="Times New Roman" w:eastAsia="仿宋_GB2312" w:cs="Times New Roman"/>
                <w:sz w:val="24"/>
              </w:rPr>
            </w:pPr>
            <w:r>
              <w:rPr>
                <w:rFonts w:hint="eastAsia" w:ascii="仿宋_GB2312" w:hAnsi="Times New Roman" w:eastAsia="仿宋_GB2312" w:cs="Times New Roman"/>
                <w:kern w:val="0"/>
                <w:sz w:val="24"/>
              </w:rPr>
              <w:t>总计</w:t>
            </w:r>
          </w:p>
        </w:tc>
        <w:tc>
          <w:tcPr>
            <w:tcW w:w="1026" w:type="pct"/>
            <w:tcBorders>
              <w:top w:val="single" w:color="auto" w:sz="4" w:space="0"/>
              <w:left w:val="single" w:color="auto" w:sz="4" w:space="0"/>
              <w:bottom w:val="single" w:color="auto" w:sz="4" w:space="0"/>
              <w:right w:val="single" w:color="auto" w:sz="4" w:space="0"/>
            </w:tcBorders>
            <w:shd w:val="clear" w:color="auto" w:fill="auto"/>
            <w:vAlign w:val="center"/>
          </w:tcPr>
          <w:p w14:paraId="78AA1B56">
            <w:pPr>
              <w:widowControl/>
              <w:jc w:val="center"/>
              <w:textAlignment w:val="center"/>
              <w:rPr>
                <w:rFonts w:ascii="仿宋_GB2312" w:hAnsi="Times New Roman" w:eastAsia="仿宋_GB2312" w:cs="Times New Roman"/>
                <w:kern w:val="0"/>
                <w:sz w:val="24"/>
              </w:rPr>
            </w:pPr>
            <w:r>
              <w:rPr>
                <w:rFonts w:ascii="仿宋_GB2312" w:hAnsi="Times New Roman" w:eastAsia="仿宋_GB2312" w:cs="Times New Roman"/>
                <w:kern w:val="0"/>
                <w:sz w:val="24"/>
              </w:rPr>
              <w:t>43,059.59</w:t>
            </w:r>
          </w:p>
        </w:tc>
        <w:tc>
          <w:tcPr>
            <w:tcW w:w="1027" w:type="pct"/>
            <w:tcBorders>
              <w:top w:val="single" w:color="auto" w:sz="4" w:space="0"/>
              <w:left w:val="single" w:color="auto" w:sz="4" w:space="0"/>
              <w:bottom w:val="single" w:color="auto" w:sz="4" w:space="0"/>
              <w:right w:val="single" w:color="auto" w:sz="4" w:space="0"/>
            </w:tcBorders>
            <w:shd w:val="clear" w:color="auto" w:fill="auto"/>
            <w:vAlign w:val="center"/>
          </w:tcPr>
          <w:p w14:paraId="26DE597E">
            <w:pPr>
              <w:widowControl/>
              <w:jc w:val="center"/>
              <w:textAlignment w:val="center"/>
              <w:rPr>
                <w:rFonts w:ascii="仿宋_GB2312" w:hAnsi="Times New Roman" w:eastAsia="仿宋_GB2312" w:cs="Times New Roman"/>
                <w:kern w:val="0"/>
                <w:sz w:val="24"/>
              </w:rPr>
            </w:pPr>
            <w:r>
              <w:rPr>
                <w:rFonts w:ascii="仿宋_GB2312" w:hAnsi="Times New Roman" w:eastAsia="仿宋_GB2312" w:cs="Times New Roman"/>
                <w:kern w:val="0"/>
                <w:sz w:val="24"/>
              </w:rPr>
              <w:t>42,981.00</w:t>
            </w:r>
          </w:p>
        </w:tc>
        <w:tc>
          <w:tcPr>
            <w:tcW w:w="1027" w:type="pct"/>
            <w:tcBorders>
              <w:top w:val="single" w:color="auto" w:sz="4" w:space="0"/>
              <w:left w:val="single" w:color="auto" w:sz="4" w:space="0"/>
              <w:bottom w:val="single" w:color="auto" w:sz="4" w:space="0"/>
              <w:right w:val="single" w:color="auto" w:sz="4" w:space="0"/>
            </w:tcBorders>
            <w:shd w:val="clear" w:color="auto" w:fill="auto"/>
            <w:vAlign w:val="center"/>
          </w:tcPr>
          <w:p w14:paraId="1B2FB4FD">
            <w:pPr>
              <w:widowControl/>
              <w:jc w:val="center"/>
              <w:textAlignment w:val="center"/>
              <w:rPr>
                <w:rFonts w:ascii="仿宋_GB2312" w:hAnsi="Times New Roman" w:eastAsia="仿宋_GB2312" w:cs="Times New Roman"/>
                <w:kern w:val="0"/>
                <w:sz w:val="24"/>
              </w:rPr>
            </w:pPr>
            <w:r>
              <w:rPr>
                <w:rFonts w:ascii="仿宋_GB2312" w:hAnsi="Times New Roman" w:eastAsia="仿宋_GB2312" w:cs="Times New Roman"/>
                <w:kern w:val="0"/>
                <w:sz w:val="24"/>
              </w:rPr>
              <w:t>42,981.00</w:t>
            </w:r>
          </w:p>
        </w:tc>
      </w:tr>
    </w:tbl>
    <w:p w14:paraId="41ECC4CD">
      <w:pPr>
        <w:pStyle w:val="56"/>
        <w:spacing w:line="560" w:lineRule="exact"/>
        <w:ind w:firstLine="640" w:firstLineChars="200"/>
        <w:rPr>
          <w:rFonts w:ascii="仿宋_GB2312" w:hAnsi="Times New Roman" w:eastAsia="仿宋_GB2312" w:cs="Times New Roman"/>
          <w:bCs/>
          <w:sz w:val="32"/>
          <w:szCs w:val="32"/>
        </w:rPr>
      </w:pPr>
      <w:r>
        <w:rPr>
          <w:rFonts w:hint="eastAsia" w:ascii="仿宋_GB2312" w:hAnsi="Times New Roman" w:eastAsia="仿宋_GB2312" w:cs="Times New Roman"/>
          <w:bCs/>
          <w:sz w:val="32"/>
          <w:szCs w:val="32"/>
        </w:rPr>
        <w:t>（3）“三公”经费、会议费、培训费预决算情况</w:t>
      </w:r>
    </w:p>
    <w:p w14:paraId="39487989">
      <w:pPr>
        <w:pStyle w:val="56"/>
        <w:spacing w:line="56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2025年市生态环境局“三公”经费、会议费、培训费年初预算数为</w:t>
      </w:r>
      <w:r>
        <w:rPr>
          <w:rFonts w:ascii="仿宋_GB2312" w:hAnsi="Times New Roman" w:eastAsia="仿宋_GB2312" w:cs="Times New Roman"/>
          <w:sz w:val="32"/>
          <w:szCs w:val="32"/>
        </w:rPr>
        <w:t>124.27</w:t>
      </w:r>
      <w:r>
        <w:rPr>
          <w:rFonts w:hint="eastAsia" w:ascii="仿宋_GB2312" w:hAnsi="Times New Roman" w:eastAsia="仿宋_GB2312" w:cs="Times New Roman"/>
          <w:sz w:val="32"/>
          <w:szCs w:val="32"/>
        </w:rPr>
        <w:t>万元，决算数为</w:t>
      </w:r>
      <w:r>
        <w:rPr>
          <w:rFonts w:ascii="仿宋_GB2312" w:hAnsi="Times New Roman" w:eastAsia="仿宋_GB2312" w:cs="Times New Roman"/>
          <w:sz w:val="32"/>
          <w:szCs w:val="32"/>
        </w:rPr>
        <w:t>80.37</w:t>
      </w:r>
      <w:r>
        <w:rPr>
          <w:rFonts w:hint="eastAsia" w:ascii="仿宋_GB2312" w:hAnsi="Times New Roman" w:eastAsia="仿宋_GB2312" w:cs="Times New Roman"/>
          <w:sz w:val="32"/>
          <w:szCs w:val="32"/>
        </w:rPr>
        <w:t>万元，具体情况见表1</w:t>
      </w:r>
      <w:r>
        <w:rPr>
          <w:rFonts w:ascii="仿宋_GB2312" w:hAnsi="Times New Roman" w:eastAsia="仿宋_GB2312" w:cs="Times New Roman"/>
          <w:sz w:val="32"/>
          <w:szCs w:val="32"/>
        </w:rPr>
        <w:t>-3</w:t>
      </w:r>
      <w:r>
        <w:rPr>
          <w:rFonts w:hint="eastAsia" w:ascii="仿宋_GB2312" w:hAnsi="Times New Roman" w:eastAsia="仿宋_GB2312" w:cs="Times New Roman"/>
          <w:sz w:val="32"/>
          <w:szCs w:val="32"/>
        </w:rPr>
        <w:t>。</w:t>
      </w:r>
    </w:p>
    <w:p w14:paraId="4308B855">
      <w:pPr>
        <w:widowControl/>
        <w:overflowPunct w:val="0"/>
        <w:autoSpaceDE w:val="0"/>
        <w:autoSpaceDN w:val="0"/>
        <w:adjustRightInd w:val="0"/>
        <w:spacing w:line="560" w:lineRule="exact"/>
        <w:jc w:val="center"/>
        <w:textAlignment w:val="baseline"/>
        <w:rPr>
          <w:rFonts w:ascii="仿宋_GB2312" w:hAnsi="Times New Roman" w:eastAsia="仿宋_GB2312" w:cs="Times New Roman"/>
          <w:kern w:val="0"/>
          <w:sz w:val="24"/>
        </w:rPr>
      </w:pPr>
      <w:r>
        <w:rPr>
          <w:rFonts w:hint="eastAsia" w:ascii="仿宋_GB2312" w:hAnsi="Times New Roman" w:eastAsia="仿宋_GB2312" w:cs="Times New Roman"/>
          <w:kern w:val="0"/>
          <w:sz w:val="24"/>
        </w:rPr>
        <w:t>表1</w:t>
      </w:r>
      <w:r>
        <w:rPr>
          <w:rFonts w:ascii="仿宋_GB2312" w:hAnsi="Times New Roman" w:eastAsia="仿宋_GB2312" w:cs="Times New Roman"/>
          <w:kern w:val="0"/>
          <w:sz w:val="24"/>
        </w:rPr>
        <w:t>-</w:t>
      </w:r>
      <w:r>
        <w:rPr>
          <w:rFonts w:hint="eastAsia" w:ascii="仿宋_GB2312" w:hAnsi="Times New Roman" w:eastAsia="仿宋_GB2312" w:cs="Times New Roman"/>
          <w:kern w:val="0"/>
          <w:sz w:val="24"/>
        </w:rPr>
        <w:t xml:space="preserve">3 </w:t>
      </w:r>
      <w:r>
        <w:rPr>
          <w:rFonts w:ascii="仿宋_GB2312" w:hAnsi="Times New Roman" w:eastAsia="仿宋_GB2312" w:cs="Times New Roman"/>
          <w:kern w:val="0"/>
          <w:sz w:val="24"/>
        </w:rPr>
        <w:t>2025</w:t>
      </w:r>
      <w:r>
        <w:rPr>
          <w:rFonts w:hint="eastAsia" w:ascii="仿宋_GB2312" w:hAnsi="Times New Roman" w:eastAsia="仿宋_GB2312" w:cs="Times New Roman"/>
          <w:kern w:val="0"/>
          <w:sz w:val="24"/>
        </w:rPr>
        <w:t>年度市生态环境局部门五项经费支出预决算情况表</w:t>
      </w:r>
    </w:p>
    <w:p w14:paraId="61737F2A">
      <w:pPr>
        <w:jc w:val="right"/>
        <w:rPr>
          <w:rFonts w:ascii="仿宋_GB2312" w:hAnsi="Times New Roman" w:eastAsia="仿宋_GB2312" w:cs="Times New Roman"/>
          <w:sz w:val="24"/>
        </w:rPr>
      </w:pPr>
      <w:r>
        <w:rPr>
          <w:rFonts w:hint="eastAsia" w:ascii="仿宋_GB2312" w:hAnsi="Times New Roman" w:eastAsia="仿宋_GB2312" w:cs="Times New Roman"/>
          <w:sz w:val="24"/>
        </w:rPr>
        <w:t>单位：万元</w:t>
      </w:r>
    </w:p>
    <w:tbl>
      <w:tblPr>
        <w:tblStyle w:val="19"/>
        <w:tblW w:w="5000" w:type="pct"/>
        <w:tblInd w:w="0" w:type="dxa"/>
        <w:tblBorders>
          <w:top w:val="single" w:color="auto" w:sz="12" w:space="0"/>
          <w:left w:val="single" w:color="auto" w:sz="12" w:space="0"/>
          <w:bottom w:val="single" w:color="auto" w:sz="12" w:space="0"/>
          <w:right w:val="single" w:color="auto" w:sz="12" w:space="0"/>
          <w:insideH w:val="dotted" w:color="auto" w:sz="4" w:space="0"/>
          <w:insideV w:val="dotted" w:color="auto" w:sz="4" w:space="0"/>
        </w:tblBorders>
        <w:tblLayout w:type="autofit"/>
        <w:tblCellMar>
          <w:top w:w="0" w:type="dxa"/>
          <w:left w:w="108" w:type="dxa"/>
          <w:bottom w:w="0" w:type="dxa"/>
          <w:right w:w="108" w:type="dxa"/>
        </w:tblCellMar>
      </w:tblPr>
      <w:tblGrid>
        <w:gridCol w:w="3369"/>
        <w:gridCol w:w="1782"/>
        <w:gridCol w:w="1784"/>
        <w:gridCol w:w="1785"/>
      </w:tblGrid>
      <w:tr w14:paraId="3A48D8E4">
        <w:tblPrEx>
          <w:tblBorders>
            <w:top w:val="single" w:color="auto" w:sz="12" w:space="0"/>
            <w:left w:val="single" w:color="auto" w:sz="12" w:space="0"/>
            <w:bottom w:val="single" w:color="auto" w:sz="12" w:space="0"/>
            <w:right w:val="single" w:color="auto" w:sz="12" w:space="0"/>
            <w:insideH w:val="dotted" w:color="auto" w:sz="4" w:space="0"/>
            <w:insideV w:val="dotted" w:color="auto" w:sz="4" w:space="0"/>
          </w:tblBorders>
          <w:tblCellMar>
            <w:top w:w="0" w:type="dxa"/>
            <w:left w:w="108" w:type="dxa"/>
            <w:bottom w:w="0" w:type="dxa"/>
            <w:right w:w="108" w:type="dxa"/>
          </w:tblCellMar>
        </w:tblPrEx>
        <w:trPr>
          <w:trHeight w:val="567" w:hRule="atLeast"/>
          <w:tblHeader/>
        </w:trPr>
        <w:tc>
          <w:tcPr>
            <w:tcW w:w="1932" w:type="pct"/>
            <w:tcBorders>
              <w:top w:val="single" w:color="auto" w:sz="4" w:space="0"/>
              <w:left w:val="single" w:color="auto" w:sz="4" w:space="0"/>
              <w:bottom w:val="single" w:color="auto" w:sz="4" w:space="0"/>
              <w:right w:val="single" w:color="auto" w:sz="4" w:space="0"/>
            </w:tcBorders>
            <w:shd w:val="clear" w:color="auto" w:fill="auto"/>
            <w:vAlign w:val="center"/>
          </w:tcPr>
          <w:p w14:paraId="4FFD64A4">
            <w:pPr>
              <w:widowControl/>
              <w:jc w:val="center"/>
              <w:textAlignment w:val="center"/>
              <w:rPr>
                <w:rFonts w:ascii="仿宋_GB2312" w:hAnsi="Times New Roman" w:eastAsia="仿宋_GB2312" w:cs="Times New Roman"/>
                <w:b/>
                <w:bCs/>
                <w:sz w:val="24"/>
              </w:rPr>
            </w:pPr>
            <w:r>
              <w:rPr>
                <w:rFonts w:hint="eastAsia" w:ascii="仿宋_GB2312" w:hAnsi="Times New Roman" w:eastAsia="仿宋_GB2312" w:cs="Times New Roman"/>
                <w:b/>
                <w:bCs/>
                <w:kern w:val="0"/>
                <w:sz w:val="24"/>
              </w:rPr>
              <w:t>项目</w:t>
            </w:r>
          </w:p>
        </w:tc>
        <w:tc>
          <w:tcPr>
            <w:tcW w:w="1022" w:type="pct"/>
            <w:tcBorders>
              <w:top w:val="single" w:color="auto" w:sz="4" w:space="0"/>
              <w:left w:val="single" w:color="auto" w:sz="4" w:space="0"/>
              <w:bottom w:val="single" w:color="auto" w:sz="4" w:space="0"/>
              <w:right w:val="single" w:color="auto" w:sz="4" w:space="0"/>
            </w:tcBorders>
            <w:shd w:val="clear" w:color="auto" w:fill="auto"/>
            <w:vAlign w:val="center"/>
          </w:tcPr>
          <w:p w14:paraId="196607BB">
            <w:pPr>
              <w:widowControl/>
              <w:jc w:val="center"/>
              <w:textAlignment w:val="center"/>
              <w:rPr>
                <w:rFonts w:ascii="仿宋_GB2312" w:hAnsi="Times New Roman" w:eastAsia="仿宋_GB2312" w:cs="Times New Roman"/>
                <w:b/>
                <w:bCs/>
                <w:sz w:val="24"/>
              </w:rPr>
            </w:pPr>
            <w:r>
              <w:rPr>
                <w:rFonts w:hint="eastAsia" w:ascii="仿宋_GB2312" w:hAnsi="Times New Roman" w:eastAsia="仿宋_GB2312" w:cs="Times New Roman"/>
                <w:b/>
                <w:bCs/>
                <w:sz w:val="24"/>
              </w:rPr>
              <w:t>年初预算数</w:t>
            </w:r>
          </w:p>
        </w:tc>
        <w:tc>
          <w:tcPr>
            <w:tcW w:w="1023" w:type="pct"/>
            <w:tcBorders>
              <w:top w:val="single" w:color="auto" w:sz="4" w:space="0"/>
              <w:left w:val="single" w:color="auto" w:sz="4" w:space="0"/>
              <w:bottom w:val="single" w:color="auto" w:sz="4" w:space="0"/>
              <w:right w:val="single" w:color="auto" w:sz="4" w:space="0"/>
            </w:tcBorders>
            <w:shd w:val="clear" w:color="auto" w:fill="auto"/>
            <w:vAlign w:val="center"/>
          </w:tcPr>
          <w:p w14:paraId="167567EF">
            <w:pPr>
              <w:widowControl/>
              <w:jc w:val="center"/>
              <w:textAlignment w:val="center"/>
              <w:rPr>
                <w:rFonts w:ascii="仿宋_GB2312" w:hAnsi="Times New Roman" w:eastAsia="仿宋_GB2312" w:cs="Times New Roman"/>
                <w:b/>
                <w:bCs/>
                <w:sz w:val="24"/>
              </w:rPr>
            </w:pPr>
            <w:r>
              <w:rPr>
                <w:rFonts w:hint="eastAsia" w:ascii="仿宋_GB2312" w:hAnsi="Times New Roman" w:eastAsia="仿宋_GB2312" w:cs="Times New Roman"/>
                <w:b/>
                <w:bCs/>
                <w:kern w:val="0"/>
                <w:sz w:val="24"/>
              </w:rPr>
              <w:t>全年预算数</w:t>
            </w:r>
          </w:p>
        </w:tc>
        <w:tc>
          <w:tcPr>
            <w:tcW w:w="1023" w:type="pct"/>
            <w:tcBorders>
              <w:top w:val="single" w:color="auto" w:sz="4" w:space="0"/>
              <w:left w:val="single" w:color="auto" w:sz="4" w:space="0"/>
              <w:bottom w:val="single" w:color="auto" w:sz="4" w:space="0"/>
              <w:right w:val="single" w:color="auto" w:sz="4" w:space="0"/>
            </w:tcBorders>
            <w:vAlign w:val="center"/>
          </w:tcPr>
          <w:p w14:paraId="781F46D4">
            <w:pPr>
              <w:widowControl/>
              <w:jc w:val="center"/>
              <w:textAlignment w:val="center"/>
              <w:rPr>
                <w:rFonts w:ascii="仿宋_GB2312" w:hAnsi="Times New Roman" w:eastAsia="仿宋_GB2312" w:cs="Times New Roman"/>
                <w:b/>
                <w:bCs/>
                <w:kern w:val="0"/>
                <w:sz w:val="24"/>
              </w:rPr>
            </w:pPr>
            <w:r>
              <w:rPr>
                <w:rFonts w:hint="eastAsia" w:ascii="仿宋_GB2312" w:hAnsi="Times New Roman" w:eastAsia="仿宋_GB2312" w:cs="Times New Roman"/>
                <w:b/>
                <w:bCs/>
                <w:kern w:val="0"/>
                <w:sz w:val="24"/>
              </w:rPr>
              <w:t>决算数</w:t>
            </w:r>
          </w:p>
        </w:tc>
      </w:tr>
      <w:tr w14:paraId="046C6934">
        <w:tblPrEx>
          <w:tblBorders>
            <w:top w:val="single" w:color="auto" w:sz="12" w:space="0"/>
            <w:left w:val="single" w:color="auto" w:sz="12" w:space="0"/>
            <w:bottom w:val="single" w:color="auto" w:sz="12" w:space="0"/>
            <w:right w:val="single" w:color="auto" w:sz="12" w:space="0"/>
            <w:insideH w:val="dotted" w:color="auto" w:sz="4" w:space="0"/>
            <w:insideV w:val="dotted" w:color="auto" w:sz="4" w:space="0"/>
          </w:tblBorders>
          <w:tblCellMar>
            <w:top w:w="0" w:type="dxa"/>
            <w:left w:w="108" w:type="dxa"/>
            <w:bottom w:w="0" w:type="dxa"/>
            <w:right w:w="108" w:type="dxa"/>
          </w:tblCellMar>
        </w:tblPrEx>
        <w:trPr>
          <w:trHeight w:val="567" w:hRule="atLeast"/>
        </w:trPr>
        <w:tc>
          <w:tcPr>
            <w:tcW w:w="1932" w:type="pct"/>
            <w:tcBorders>
              <w:top w:val="single" w:color="auto" w:sz="4" w:space="0"/>
              <w:left w:val="single" w:color="auto" w:sz="4" w:space="0"/>
              <w:bottom w:val="single" w:color="auto" w:sz="4" w:space="0"/>
              <w:right w:val="single" w:color="auto" w:sz="4" w:space="0"/>
            </w:tcBorders>
            <w:vAlign w:val="center"/>
          </w:tcPr>
          <w:p w14:paraId="5AA9A3D0">
            <w:pPr>
              <w:widowControl/>
              <w:jc w:val="center"/>
              <w:textAlignment w:val="center"/>
              <w:rPr>
                <w:rFonts w:ascii="仿宋_GB2312" w:hAnsi="Times New Roman" w:eastAsia="仿宋_GB2312" w:cs="Times New Roman"/>
                <w:sz w:val="24"/>
              </w:rPr>
            </w:pPr>
            <w:r>
              <w:rPr>
                <w:rFonts w:hint="eastAsia" w:ascii="仿宋_GB2312" w:hAnsi="Times New Roman" w:eastAsia="仿宋_GB2312" w:cs="Times New Roman"/>
                <w:sz w:val="24"/>
              </w:rPr>
              <w:t>因公出国（境）费用</w:t>
            </w:r>
          </w:p>
        </w:tc>
        <w:tc>
          <w:tcPr>
            <w:tcW w:w="1022" w:type="pct"/>
            <w:tcBorders>
              <w:top w:val="single" w:color="auto" w:sz="4" w:space="0"/>
              <w:left w:val="single" w:color="auto" w:sz="4" w:space="0"/>
              <w:bottom w:val="single" w:color="auto" w:sz="4" w:space="0"/>
              <w:right w:val="single" w:color="auto" w:sz="4" w:space="0"/>
            </w:tcBorders>
            <w:vAlign w:val="center"/>
          </w:tcPr>
          <w:p w14:paraId="5C7FC696">
            <w:pPr>
              <w:widowControl/>
              <w:jc w:val="center"/>
              <w:textAlignment w:val="center"/>
              <w:rPr>
                <w:rFonts w:ascii="仿宋_GB2312" w:hAnsi="Times New Roman" w:eastAsia="仿宋_GB2312" w:cs="Times New Roman"/>
                <w:kern w:val="0"/>
                <w:sz w:val="24"/>
              </w:rPr>
            </w:pPr>
            <w:r>
              <w:rPr>
                <w:rFonts w:hint="eastAsia" w:ascii="仿宋_GB2312" w:hAnsi="Times New Roman" w:eastAsia="仿宋_GB2312" w:cs="Times New Roman"/>
                <w:kern w:val="0"/>
                <w:sz w:val="24"/>
              </w:rPr>
              <w:t>2</w:t>
            </w:r>
            <w:r>
              <w:rPr>
                <w:rFonts w:ascii="仿宋_GB2312" w:hAnsi="Times New Roman" w:eastAsia="仿宋_GB2312" w:cs="Times New Roman"/>
                <w:kern w:val="0"/>
                <w:sz w:val="24"/>
              </w:rPr>
              <w:t>.40</w:t>
            </w:r>
          </w:p>
        </w:tc>
        <w:tc>
          <w:tcPr>
            <w:tcW w:w="1023" w:type="pct"/>
            <w:tcBorders>
              <w:top w:val="single" w:color="auto" w:sz="4" w:space="0"/>
              <w:left w:val="single" w:color="auto" w:sz="4" w:space="0"/>
              <w:bottom w:val="single" w:color="auto" w:sz="4" w:space="0"/>
              <w:right w:val="single" w:color="auto" w:sz="4" w:space="0"/>
            </w:tcBorders>
            <w:vAlign w:val="center"/>
          </w:tcPr>
          <w:p w14:paraId="097294F1">
            <w:pPr>
              <w:widowControl/>
              <w:jc w:val="center"/>
              <w:textAlignment w:val="center"/>
              <w:rPr>
                <w:rFonts w:ascii="仿宋_GB2312" w:hAnsi="Times New Roman" w:eastAsia="仿宋_GB2312" w:cs="Times New Roman"/>
                <w:kern w:val="0"/>
                <w:sz w:val="24"/>
              </w:rPr>
            </w:pPr>
            <w:r>
              <w:rPr>
                <w:rFonts w:hint="eastAsia" w:ascii="仿宋_GB2312" w:hAnsi="Times New Roman" w:eastAsia="仿宋_GB2312" w:cs="Times New Roman"/>
                <w:kern w:val="0"/>
                <w:sz w:val="24"/>
              </w:rPr>
              <w:t>-</w:t>
            </w:r>
          </w:p>
        </w:tc>
        <w:tc>
          <w:tcPr>
            <w:tcW w:w="1023" w:type="pct"/>
            <w:tcBorders>
              <w:top w:val="single" w:color="auto" w:sz="4" w:space="0"/>
              <w:left w:val="single" w:color="auto" w:sz="4" w:space="0"/>
              <w:bottom w:val="single" w:color="auto" w:sz="4" w:space="0"/>
              <w:right w:val="single" w:color="auto" w:sz="4" w:space="0"/>
            </w:tcBorders>
            <w:vAlign w:val="center"/>
          </w:tcPr>
          <w:p w14:paraId="1C04EC74">
            <w:pPr>
              <w:widowControl/>
              <w:jc w:val="center"/>
              <w:textAlignment w:val="center"/>
              <w:rPr>
                <w:rFonts w:ascii="仿宋_GB2312" w:hAnsi="Times New Roman" w:eastAsia="仿宋_GB2312" w:cs="Times New Roman"/>
                <w:kern w:val="0"/>
                <w:sz w:val="24"/>
              </w:rPr>
            </w:pPr>
            <w:r>
              <w:rPr>
                <w:rFonts w:hint="eastAsia" w:ascii="仿宋_GB2312" w:hAnsi="Times New Roman" w:eastAsia="仿宋_GB2312" w:cs="Times New Roman"/>
                <w:kern w:val="0"/>
                <w:sz w:val="24"/>
              </w:rPr>
              <w:t>-</w:t>
            </w:r>
          </w:p>
        </w:tc>
      </w:tr>
      <w:tr w14:paraId="2EAF8E9B">
        <w:tblPrEx>
          <w:tblBorders>
            <w:top w:val="single" w:color="auto" w:sz="12" w:space="0"/>
            <w:left w:val="single" w:color="auto" w:sz="12" w:space="0"/>
            <w:bottom w:val="single" w:color="auto" w:sz="12" w:space="0"/>
            <w:right w:val="single" w:color="auto" w:sz="12" w:space="0"/>
            <w:insideH w:val="dotted" w:color="auto" w:sz="4" w:space="0"/>
            <w:insideV w:val="dotted" w:color="auto" w:sz="4" w:space="0"/>
          </w:tblBorders>
          <w:tblCellMar>
            <w:top w:w="0" w:type="dxa"/>
            <w:left w:w="108" w:type="dxa"/>
            <w:bottom w:w="0" w:type="dxa"/>
            <w:right w:w="108" w:type="dxa"/>
          </w:tblCellMar>
        </w:tblPrEx>
        <w:trPr>
          <w:trHeight w:val="567" w:hRule="atLeast"/>
        </w:trPr>
        <w:tc>
          <w:tcPr>
            <w:tcW w:w="1932" w:type="pct"/>
            <w:tcBorders>
              <w:top w:val="single" w:color="auto" w:sz="4" w:space="0"/>
              <w:left w:val="single" w:color="auto" w:sz="4" w:space="0"/>
              <w:bottom w:val="single" w:color="auto" w:sz="4" w:space="0"/>
              <w:right w:val="single" w:color="auto" w:sz="4" w:space="0"/>
            </w:tcBorders>
            <w:vAlign w:val="center"/>
          </w:tcPr>
          <w:p w14:paraId="48AA7E01">
            <w:pPr>
              <w:widowControl/>
              <w:jc w:val="center"/>
              <w:textAlignment w:val="center"/>
              <w:rPr>
                <w:rFonts w:ascii="仿宋_GB2312" w:hAnsi="Times New Roman" w:eastAsia="仿宋_GB2312" w:cs="Times New Roman"/>
                <w:sz w:val="24"/>
              </w:rPr>
            </w:pPr>
            <w:r>
              <w:rPr>
                <w:rFonts w:hint="eastAsia" w:ascii="仿宋_GB2312" w:hAnsi="Times New Roman" w:eastAsia="仿宋_GB2312" w:cs="Times New Roman"/>
                <w:sz w:val="24"/>
              </w:rPr>
              <w:t>公务用车购置及运行维护费</w:t>
            </w:r>
          </w:p>
        </w:tc>
        <w:tc>
          <w:tcPr>
            <w:tcW w:w="1022" w:type="pct"/>
            <w:tcBorders>
              <w:top w:val="single" w:color="auto" w:sz="4" w:space="0"/>
              <w:left w:val="single" w:color="auto" w:sz="4" w:space="0"/>
              <w:bottom w:val="single" w:color="auto" w:sz="4" w:space="0"/>
              <w:right w:val="single" w:color="auto" w:sz="4" w:space="0"/>
            </w:tcBorders>
            <w:vAlign w:val="center"/>
          </w:tcPr>
          <w:p w14:paraId="105DAEFA">
            <w:pPr>
              <w:widowControl/>
              <w:jc w:val="center"/>
              <w:textAlignment w:val="center"/>
              <w:rPr>
                <w:rFonts w:ascii="仿宋_GB2312" w:hAnsi="Times New Roman" w:eastAsia="仿宋_GB2312" w:cs="Times New Roman"/>
                <w:kern w:val="0"/>
                <w:sz w:val="24"/>
              </w:rPr>
            </w:pPr>
            <w:r>
              <w:rPr>
                <w:rFonts w:hint="eastAsia" w:ascii="仿宋_GB2312" w:hAnsi="Times New Roman" w:eastAsia="仿宋_GB2312" w:cs="Times New Roman"/>
                <w:kern w:val="0"/>
                <w:sz w:val="24"/>
              </w:rPr>
              <w:t>1</w:t>
            </w:r>
            <w:r>
              <w:rPr>
                <w:rFonts w:ascii="仿宋_GB2312" w:hAnsi="Times New Roman" w:eastAsia="仿宋_GB2312" w:cs="Times New Roman"/>
                <w:kern w:val="0"/>
                <w:sz w:val="24"/>
              </w:rPr>
              <w:t>06.05</w:t>
            </w:r>
          </w:p>
        </w:tc>
        <w:tc>
          <w:tcPr>
            <w:tcW w:w="1023" w:type="pct"/>
            <w:tcBorders>
              <w:top w:val="single" w:color="auto" w:sz="4" w:space="0"/>
              <w:left w:val="single" w:color="auto" w:sz="4" w:space="0"/>
              <w:bottom w:val="single" w:color="auto" w:sz="4" w:space="0"/>
              <w:right w:val="single" w:color="auto" w:sz="4" w:space="0"/>
            </w:tcBorders>
            <w:vAlign w:val="center"/>
          </w:tcPr>
          <w:p w14:paraId="1F1666FA">
            <w:pPr>
              <w:widowControl/>
              <w:jc w:val="center"/>
              <w:textAlignment w:val="center"/>
              <w:rPr>
                <w:rFonts w:ascii="仿宋_GB2312" w:hAnsi="Times New Roman" w:eastAsia="仿宋_GB2312" w:cs="Times New Roman"/>
                <w:kern w:val="0"/>
                <w:sz w:val="24"/>
              </w:rPr>
            </w:pPr>
            <w:r>
              <w:rPr>
                <w:rFonts w:ascii="仿宋_GB2312" w:hAnsi="Times New Roman" w:eastAsia="仿宋_GB2312" w:cs="Times New Roman"/>
                <w:kern w:val="0"/>
                <w:sz w:val="24"/>
              </w:rPr>
              <w:t>52.45</w:t>
            </w:r>
          </w:p>
        </w:tc>
        <w:tc>
          <w:tcPr>
            <w:tcW w:w="1023" w:type="pct"/>
            <w:tcBorders>
              <w:top w:val="single" w:color="auto" w:sz="4" w:space="0"/>
              <w:left w:val="single" w:color="auto" w:sz="4" w:space="0"/>
              <w:bottom w:val="single" w:color="auto" w:sz="4" w:space="0"/>
              <w:right w:val="single" w:color="auto" w:sz="4" w:space="0"/>
            </w:tcBorders>
            <w:vAlign w:val="center"/>
          </w:tcPr>
          <w:p w14:paraId="5BDBC5D7">
            <w:pPr>
              <w:widowControl/>
              <w:jc w:val="center"/>
              <w:textAlignment w:val="center"/>
              <w:rPr>
                <w:rFonts w:ascii="仿宋_GB2312" w:hAnsi="Times New Roman" w:eastAsia="仿宋_GB2312" w:cs="Times New Roman"/>
                <w:kern w:val="0"/>
                <w:sz w:val="24"/>
              </w:rPr>
            </w:pPr>
            <w:r>
              <w:rPr>
                <w:rFonts w:hint="eastAsia" w:ascii="仿宋_GB2312" w:hAnsi="Times New Roman" w:eastAsia="仿宋_GB2312" w:cs="Times New Roman"/>
                <w:kern w:val="0"/>
                <w:sz w:val="24"/>
              </w:rPr>
              <w:t>5</w:t>
            </w:r>
            <w:r>
              <w:rPr>
                <w:rFonts w:ascii="仿宋_GB2312" w:hAnsi="Times New Roman" w:eastAsia="仿宋_GB2312" w:cs="Times New Roman"/>
                <w:kern w:val="0"/>
                <w:sz w:val="24"/>
              </w:rPr>
              <w:t>2.45</w:t>
            </w:r>
          </w:p>
        </w:tc>
      </w:tr>
      <w:tr w14:paraId="75CC9E57">
        <w:tblPrEx>
          <w:tblBorders>
            <w:top w:val="single" w:color="auto" w:sz="12" w:space="0"/>
            <w:left w:val="single" w:color="auto" w:sz="12" w:space="0"/>
            <w:bottom w:val="single" w:color="auto" w:sz="12" w:space="0"/>
            <w:right w:val="single" w:color="auto" w:sz="12" w:space="0"/>
            <w:insideH w:val="dotted" w:color="auto" w:sz="4" w:space="0"/>
            <w:insideV w:val="dotted" w:color="auto" w:sz="4" w:space="0"/>
          </w:tblBorders>
          <w:tblCellMar>
            <w:top w:w="0" w:type="dxa"/>
            <w:left w:w="108" w:type="dxa"/>
            <w:bottom w:w="0" w:type="dxa"/>
            <w:right w:w="108" w:type="dxa"/>
          </w:tblCellMar>
        </w:tblPrEx>
        <w:trPr>
          <w:trHeight w:val="567" w:hRule="atLeast"/>
        </w:trPr>
        <w:tc>
          <w:tcPr>
            <w:tcW w:w="1932" w:type="pct"/>
            <w:tcBorders>
              <w:top w:val="single" w:color="auto" w:sz="4" w:space="0"/>
              <w:left w:val="single" w:color="auto" w:sz="4" w:space="0"/>
              <w:bottom w:val="single" w:color="auto" w:sz="4" w:space="0"/>
              <w:right w:val="single" w:color="auto" w:sz="4" w:space="0"/>
            </w:tcBorders>
            <w:vAlign w:val="center"/>
          </w:tcPr>
          <w:p w14:paraId="5A5B70C0">
            <w:pPr>
              <w:widowControl/>
              <w:jc w:val="center"/>
              <w:textAlignment w:val="center"/>
              <w:rPr>
                <w:rFonts w:ascii="仿宋_GB2312" w:hAnsi="Times New Roman" w:eastAsia="仿宋_GB2312" w:cs="Times New Roman"/>
                <w:sz w:val="24"/>
              </w:rPr>
            </w:pPr>
            <w:r>
              <w:rPr>
                <w:rFonts w:hint="eastAsia" w:ascii="仿宋_GB2312" w:hAnsi="Times New Roman" w:eastAsia="仿宋_GB2312" w:cs="Times New Roman"/>
                <w:sz w:val="24"/>
              </w:rPr>
              <w:t>公务接待费</w:t>
            </w:r>
          </w:p>
        </w:tc>
        <w:tc>
          <w:tcPr>
            <w:tcW w:w="1022" w:type="pct"/>
            <w:tcBorders>
              <w:top w:val="single" w:color="auto" w:sz="4" w:space="0"/>
              <w:left w:val="single" w:color="auto" w:sz="4" w:space="0"/>
              <w:bottom w:val="single" w:color="auto" w:sz="4" w:space="0"/>
              <w:right w:val="single" w:color="auto" w:sz="4" w:space="0"/>
            </w:tcBorders>
            <w:vAlign w:val="center"/>
          </w:tcPr>
          <w:p w14:paraId="75E30E8D">
            <w:pPr>
              <w:widowControl/>
              <w:jc w:val="center"/>
              <w:textAlignment w:val="center"/>
              <w:rPr>
                <w:rFonts w:ascii="仿宋_GB2312" w:hAnsi="Times New Roman" w:eastAsia="仿宋_GB2312" w:cs="Times New Roman"/>
                <w:kern w:val="0"/>
                <w:sz w:val="24"/>
              </w:rPr>
            </w:pPr>
            <w:r>
              <w:rPr>
                <w:rFonts w:hint="eastAsia" w:ascii="仿宋_GB2312" w:hAnsi="Times New Roman" w:eastAsia="仿宋_GB2312" w:cs="Times New Roman"/>
                <w:kern w:val="0"/>
                <w:sz w:val="24"/>
              </w:rPr>
              <w:t>6</w:t>
            </w:r>
            <w:r>
              <w:rPr>
                <w:rFonts w:ascii="仿宋_GB2312" w:hAnsi="Times New Roman" w:eastAsia="仿宋_GB2312" w:cs="Times New Roman"/>
                <w:kern w:val="0"/>
                <w:sz w:val="24"/>
              </w:rPr>
              <w:t>.82</w:t>
            </w:r>
          </w:p>
        </w:tc>
        <w:tc>
          <w:tcPr>
            <w:tcW w:w="1023" w:type="pct"/>
            <w:tcBorders>
              <w:top w:val="single" w:color="auto" w:sz="4" w:space="0"/>
              <w:left w:val="single" w:color="auto" w:sz="4" w:space="0"/>
              <w:bottom w:val="single" w:color="auto" w:sz="4" w:space="0"/>
              <w:right w:val="single" w:color="auto" w:sz="4" w:space="0"/>
            </w:tcBorders>
            <w:vAlign w:val="center"/>
          </w:tcPr>
          <w:p w14:paraId="6C34B49F">
            <w:pPr>
              <w:widowControl/>
              <w:jc w:val="center"/>
              <w:textAlignment w:val="center"/>
              <w:rPr>
                <w:rFonts w:ascii="仿宋_GB2312" w:hAnsi="Times New Roman" w:eastAsia="仿宋_GB2312" w:cs="Times New Roman"/>
                <w:kern w:val="0"/>
                <w:sz w:val="24"/>
              </w:rPr>
            </w:pPr>
            <w:r>
              <w:rPr>
                <w:rFonts w:hint="eastAsia" w:ascii="仿宋_GB2312" w:hAnsi="Times New Roman" w:eastAsia="仿宋_GB2312" w:cs="Times New Roman"/>
                <w:kern w:val="0"/>
                <w:sz w:val="24"/>
              </w:rPr>
              <w:t>5</w:t>
            </w:r>
            <w:r>
              <w:rPr>
                <w:rFonts w:ascii="仿宋_GB2312" w:hAnsi="Times New Roman" w:eastAsia="仿宋_GB2312" w:cs="Times New Roman"/>
                <w:kern w:val="0"/>
                <w:sz w:val="24"/>
              </w:rPr>
              <w:t>.13</w:t>
            </w:r>
          </w:p>
        </w:tc>
        <w:tc>
          <w:tcPr>
            <w:tcW w:w="1023" w:type="pct"/>
            <w:tcBorders>
              <w:top w:val="single" w:color="auto" w:sz="4" w:space="0"/>
              <w:left w:val="single" w:color="auto" w:sz="4" w:space="0"/>
              <w:bottom w:val="single" w:color="auto" w:sz="4" w:space="0"/>
              <w:right w:val="single" w:color="auto" w:sz="4" w:space="0"/>
            </w:tcBorders>
            <w:vAlign w:val="center"/>
          </w:tcPr>
          <w:p w14:paraId="453CC391">
            <w:pPr>
              <w:widowControl/>
              <w:jc w:val="center"/>
              <w:textAlignment w:val="center"/>
              <w:rPr>
                <w:rFonts w:ascii="仿宋_GB2312" w:hAnsi="Times New Roman" w:eastAsia="仿宋_GB2312" w:cs="Times New Roman"/>
                <w:kern w:val="0"/>
                <w:sz w:val="24"/>
              </w:rPr>
            </w:pPr>
            <w:r>
              <w:rPr>
                <w:rFonts w:hint="eastAsia" w:ascii="仿宋_GB2312" w:hAnsi="Times New Roman" w:eastAsia="仿宋_GB2312" w:cs="Times New Roman"/>
                <w:kern w:val="0"/>
                <w:sz w:val="24"/>
              </w:rPr>
              <w:t>5</w:t>
            </w:r>
            <w:r>
              <w:rPr>
                <w:rFonts w:ascii="仿宋_GB2312" w:hAnsi="Times New Roman" w:eastAsia="仿宋_GB2312" w:cs="Times New Roman"/>
                <w:kern w:val="0"/>
                <w:sz w:val="24"/>
              </w:rPr>
              <w:t>.13</w:t>
            </w:r>
          </w:p>
        </w:tc>
      </w:tr>
      <w:tr w14:paraId="3024853B">
        <w:tblPrEx>
          <w:tblBorders>
            <w:top w:val="single" w:color="auto" w:sz="12" w:space="0"/>
            <w:left w:val="single" w:color="auto" w:sz="12" w:space="0"/>
            <w:bottom w:val="single" w:color="auto" w:sz="12" w:space="0"/>
            <w:right w:val="single" w:color="auto" w:sz="12" w:space="0"/>
            <w:insideH w:val="dotted" w:color="auto" w:sz="4" w:space="0"/>
            <w:insideV w:val="dotted" w:color="auto" w:sz="4" w:space="0"/>
          </w:tblBorders>
          <w:tblCellMar>
            <w:top w:w="0" w:type="dxa"/>
            <w:left w:w="108" w:type="dxa"/>
            <w:bottom w:w="0" w:type="dxa"/>
            <w:right w:w="108" w:type="dxa"/>
          </w:tblCellMar>
        </w:tblPrEx>
        <w:trPr>
          <w:trHeight w:val="567" w:hRule="atLeast"/>
        </w:trPr>
        <w:tc>
          <w:tcPr>
            <w:tcW w:w="1932" w:type="pct"/>
            <w:tcBorders>
              <w:top w:val="single" w:color="auto" w:sz="4" w:space="0"/>
              <w:left w:val="single" w:color="auto" w:sz="4" w:space="0"/>
              <w:bottom w:val="single" w:color="auto" w:sz="4" w:space="0"/>
              <w:right w:val="single" w:color="auto" w:sz="4" w:space="0"/>
            </w:tcBorders>
            <w:vAlign w:val="center"/>
          </w:tcPr>
          <w:p w14:paraId="34EAD2A7">
            <w:pPr>
              <w:widowControl/>
              <w:jc w:val="center"/>
              <w:textAlignment w:val="center"/>
              <w:rPr>
                <w:rFonts w:ascii="仿宋_GB2312" w:hAnsi="Times New Roman" w:eastAsia="仿宋_GB2312" w:cs="Times New Roman"/>
                <w:sz w:val="24"/>
              </w:rPr>
            </w:pPr>
            <w:bookmarkStart w:id="3" w:name="_Hlk164686117"/>
            <w:r>
              <w:rPr>
                <w:rFonts w:hint="eastAsia" w:ascii="仿宋_GB2312" w:hAnsi="Times New Roman" w:eastAsia="仿宋_GB2312" w:cs="Times New Roman"/>
                <w:kern w:val="0"/>
                <w:sz w:val="24"/>
              </w:rPr>
              <w:t>会议费</w:t>
            </w:r>
          </w:p>
        </w:tc>
        <w:tc>
          <w:tcPr>
            <w:tcW w:w="1022" w:type="pct"/>
            <w:tcBorders>
              <w:top w:val="single" w:color="auto" w:sz="4" w:space="0"/>
              <w:left w:val="single" w:color="auto" w:sz="4" w:space="0"/>
              <w:bottom w:val="single" w:color="auto" w:sz="4" w:space="0"/>
              <w:right w:val="single" w:color="auto" w:sz="4" w:space="0"/>
            </w:tcBorders>
            <w:vAlign w:val="center"/>
          </w:tcPr>
          <w:p w14:paraId="6345656D">
            <w:pPr>
              <w:widowControl/>
              <w:jc w:val="center"/>
              <w:textAlignment w:val="center"/>
              <w:rPr>
                <w:rFonts w:ascii="仿宋_GB2312" w:hAnsi="Times New Roman" w:eastAsia="仿宋_GB2312" w:cs="Times New Roman"/>
                <w:kern w:val="0"/>
                <w:sz w:val="24"/>
              </w:rPr>
            </w:pPr>
            <w:r>
              <w:rPr>
                <w:rFonts w:hint="eastAsia" w:ascii="仿宋_GB2312" w:hAnsi="Times New Roman" w:eastAsia="仿宋_GB2312" w:cs="Times New Roman"/>
                <w:kern w:val="0"/>
                <w:sz w:val="24"/>
              </w:rPr>
              <w:t>5</w:t>
            </w:r>
            <w:r>
              <w:rPr>
                <w:rFonts w:ascii="仿宋_GB2312" w:hAnsi="Times New Roman" w:eastAsia="仿宋_GB2312" w:cs="Times New Roman"/>
                <w:kern w:val="0"/>
                <w:sz w:val="24"/>
              </w:rPr>
              <w:t>.00</w:t>
            </w:r>
          </w:p>
        </w:tc>
        <w:tc>
          <w:tcPr>
            <w:tcW w:w="1023" w:type="pct"/>
            <w:tcBorders>
              <w:top w:val="single" w:color="auto" w:sz="4" w:space="0"/>
              <w:left w:val="single" w:color="auto" w:sz="4" w:space="0"/>
              <w:bottom w:val="single" w:color="auto" w:sz="4" w:space="0"/>
              <w:right w:val="single" w:color="auto" w:sz="4" w:space="0"/>
            </w:tcBorders>
            <w:vAlign w:val="center"/>
          </w:tcPr>
          <w:p w14:paraId="03F1F2C9">
            <w:pPr>
              <w:widowControl/>
              <w:jc w:val="center"/>
              <w:textAlignment w:val="center"/>
              <w:rPr>
                <w:rFonts w:ascii="仿宋_GB2312" w:hAnsi="Times New Roman" w:eastAsia="仿宋_GB2312" w:cs="Times New Roman"/>
                <w:kern w:val="0"/>
                <w:sz w:val="24"/>
              </w:rPr>
            </w:pPr>
            <w:r>
              <w:rPr>
                <w:rFonts w:hint="eastAsia" w:ascii="仿宋_GB2312" w:hAnsi="Times New Roman" w:eastAsia="仿宋_GB2312" w:cs="Times New Roman"/>
                <w:kern w:val="0"/>
                <w:sz w:val="24"/>
              </w:rPr>
              <w:t>9</w:t>
            </w:r>
            <w:r>
              <w:rPr>
                <w:rFonts w:ascii="仿宋_GB2312" w:hAnsi="Times New Roman" w:eastAsia="仿宋_GB2312" w:cs="Times New Roman"/>
                <w:kern w:val="0"/>
                <w:sz w:val="24"/>
              </w:rPr>
              <w:t>.75</w:t>
            </w:r>
          </w:p>
        </w:tc>
        <w:tc>
          <w:tcPr>
            <w:tcW w:w="1023" w:type="pct"/>
            <w:tcBorders>
              <w:top w:val="single" w:color="auto" w:sz="4" w:space="0"/>
              <w:left w:val="single" w:color="auto" w:sz="4" w:space="0"/>
              <w:bottom w:val="single" w:color="auto" w:sz="4" w:space="0"/>
              <w:right w:val="single" w:color="auto" w:sz="4" w:space="0"/>
            </w:tcBorders>
            <w:vAlign w:val="center"/>
          </w:tcPr>
          <w:p w14:paraId="0584CFAB">
            <w:pPr>
              <w:widowControl/>
              <w:jc w:val="center"/>
              <w:textAlignment w:val="center"/>
              <w:rPr>
                <w:rFonts w:ascii="仿宋_GB2312" w:hAnsi="Times New Roman" w:eastAsia="仿宋_GB2312" w:cs="Times New Roman"/>
                <w:kern w:val="0"/>
                <w:sz w:val="24"/>
              </w:rPr>
            </w:pPr>
            <w:r>
              <w:rPr>
                <w:rFonts w:hint="eastAsia" w:ascii="仿宋_GB2312" w:hAnsi="Times New Roman" w:eastAsia="仿宋_GB2312" w:cs="Times New Roman"/>
                <w:kern w:val="0"/>
                <w:sz w:val="24"/>
              </w:rPr>
              <w:t>9</w:t>
            </w:r>
            <w:r>
              <w:rPr>
                <w:rFonts w:ascii="仿宋_GB2312" w:hAnsi="Times New Roman" w:eastAsia="仿宋_GB2312" w:cs="Times New Roman"/>
                <w:kern w:val="0"/>
                <w:sz w:val="24"/>
              </w:rPr>
              <w:t>.75</w:t>
            </w:r>
          </w:p>
        </w:tc>
      </w:tr>
      <w:tr w14:paraId="2C0768D9">
        <w:tblPrEx>
          <w:tblBorders>
            <w:top w:val="single" w:color="auto" w:sz="12" w:space="0"/>
            <w:left w:val="single" w:color="auto" w:sz="12" w:space="0"/>
            <w:bottom w:val="single" w:color="auto" w:sz="12" w:space="0"/>
            <w:right w:val="single" w:color="auto" w:sz="12" w:space="0"/>
            <w:insideH w:val="dotted" w:color="auto" w:sz="4" w:space="0"/>
            <w:insideV w:val="dotted" w:color="auto" w:sz="4" w:space="0"/>
          </w:tblBorders>
          <w:tblCellMar>
            <w:top w:w="0" w:type="dxa"/>
            <w:left w:w="108" w:type="dxa"/>
            <w:bottom w:w="0" w:type="dxa"/>
            <w:right w:w="108" w:type="dxa"/>
          </w:tblCellMar>
        </w:tblPrEx>
        <w:trPr>
          <w:trHeight w:val="567" w:hRule="atLeast"/>
        </w:trPr>
        <w:tc>
          <w:tcPr>
            <w:tcW w:w="1932" w:type="pct"/>
            <w:tcBorders>
              <w:top w:val="single" w:color="auto" w:sz="4" w:space="0"/>
              <w:left w:val="single" w:color="auto" w:sz="4" w:space="0"/>
              <w:bottom w:val="single" w:color="auto" w:sz="4" w:space="0"/>
              <w:right w:val="single" w:color="auto" w:sz="4" w:space="0"/>
            </w:tcBorders>
            <w:vAlign w:val="center"/>
          </w:tcPr>
          <w:p w14:paraId="7F4DE4B6">
            <w:pPr>
              <w:widowControl/>
              <w:jc w:val="center"/>
              <w:textAlignment w:val="center"/>
              <w:rPr>
                <w:rFonts w:ascii="仿宋_GB2312" w:hAnsi="Times New Roman" w:eastAsia="仿宋_GB2312" w:cs="Times New Roman"/>
                <w:sz w:val="24"/>
              </w:rPr>
            </w:pPr>
            <w:r>
              <w:rPr>
                <w:rFonts w:hint="eastAsia" w:ascii="仿宋_GB2312" w:hAnsi="Times New Roman" w:eastAsia="仿宋_GB2312" w:cs="Times New Roman"/>
                <w:kern w:val="0"/>
                <w:sz w:val="24"/>
              </w:rPr>
              <w:t>培训费</w:t>
            </w:r>
          </w:p>
        </w:tc>
        <w:tc>
          <w:tcPr>
            <w:tcW w:w="1022" w:type="pct"/>
            <w:tcBorders>
              <w:top w:val="single" w:color="auto" w:sz="4" w:space="0"/>
              <w:left w:val="single" w:color="auto" w:sz="4" w:space="0"/>
              <w:bottom w:val="single" w:color="auto" w:sz="4" w:space="0"/>
              <w:right w:val="single" w:color="auto" w:sz="4" w:space="0"/>
            </w:tcBorders>
            <w:vAlign w:val="center"/>
          </w:tcPr>
          <w:p w14:paraId="4300E935">
            <w:pPr>
              <w:widowControl/>
              <w:jc w:val="center"/>
              <w:textAlignment w:val="center"/>
              <w:rPr>
                <w:rFonts w:ascii="仿宋_GB2312" w:hAnsi="Times New Roman" w:eastAsia="仿宋_GB2312" w:cs="Times New Roman"/>
                <w:kern w:val="0"/>
                <w:sz w:val="24"/>
              </w:rPr>
            </w:pPr>
            <w:r>
              <w:rPr>
                <w:rFonts w:hint="eastAsia" w:ascii="仿宋_GB2312" w:hAnsi="Times New Roman" w:eastAsia="仿宋_GB2312" w:cs="Times New Roman"/>
                <w:kern w:val="0"/>
                <w:sz w:val="24"/>
              </w:rPr>
              <w:t>4</w:t>
            </w:r>
            <w:r>
              <w:rPr>
                <w:rFonts w:ascii="仿宋_GB2312" w:hAnsi="Times New Roman" w:eastAsia="仿宋_GB2312" w:cs="Times New Roman"/>
                <w:kern w:val="0"/>
                <w:sz w:val="24"/>
              </w:rPr>
              <w:t>.00</w:t>
            </w:r>
          </w:p>
        </w:tc>
        <w:tc>
          <w:tcPr>
            <w:tcW w:w="1023" w:type="pct"/>
            <w:tcBorders>
              <w:top w:val="single" w:color="auto" w:sz="4" w:space="0"/>
              <w:left w:val="single" w:color="auto" w:sz="4" w:space="0"/>
              <w:bottom w:val="single" w:color="auto" w:sz="4" w:space="0"/>
              <w:right w:val="single" w:color="auto" w:sz="4" w:space="0"/>
            </w:tcBorders>
            <w:vAlign w:val="center"/>
          </w:tcPr>
          <w:p w14:paraId="7D995E76">
            <w:pPr>
              <w:widowControl/>
              <w:jc w:val="center"/>
              <w:textAlignment w:val="center"/>
              <w:rPr>
                <w:rFonts w:ascii="仿宋_GB2312" w:hAnsi="Times New Roman" w:eastAsia="仿宋_GB2312" w:cs="Times New Roman"/>
                <w:kern w:val="0"/>
                <w:sz w:val="24"/>
              </w:rPr>
            </w:pPr>
            <w:r>
              <w:rPr>
                <w:rFonts w:ascii="仿宋_GB2312" w:hAnsi="Times New Roman" w:eastAsia="仿宋_GB2312" w:cs="Times New Roman"/>
                <w:kern w:val="0"/>
                <w:sz w:val="24"/>
              </w:rPr>
              <w:t>13.04</w:t>
            </w:r>
          </w:p>
        </w:tc>
        <w:tc>
          <w:tcPr>
            <w:tcW w:w="1023" w:type="pct"/>
            <w:tcBorders>
              <w:top w:val="single" w:color="auto" w:sz="4" w:space="0"/>
              <w:left w:val="single" w:color="auto" w:sz="4" w:space="0"/>
              <w:bottom w:val="single" w:color="auto" w:sz="4" w:space="0"/>
              <w:right w:val="single" w:color="auto" w:sz="4" w:space="0"/>
            </w:tcBorders>
            <w:vAlign w:val="center"/>
          </w:tcPr>
          <w:p w14:paraId="1DF3C687">
            <w:pPr>
              <w:widowControl/>
              <w:jc w:val="center"/>
              <w:textAlignment w:val="center"/>
              <w:rPr>
                <w:rFonts w:ascii="仿宋_GB2312" w:hAnsi="Times New Roman" w:eastAsia="仿宋_GB2312" w:cs="Times New Roman"/>
                <w:kern w:val="0"/>
                <w:sz w:val="24"/>
              </w:rPr>
            </w:pPr>
            <w:r>
              <w:rPr>
                <w:rFonts w:ascii="仿宋_GB2312" w:hAnsi="Times New Roman" w:eastAsia="仿宋_GB2312" w:cs="Times New Roman"/>
                <w:kern w:val="0"/>
                <w:sz w:val="24"/>
              </w:rPr>
              <w:t>13.04</w:t>
            </w:r>
          </w:p>
        </w:tc>
      </w:tr>
      <w:tr w14:paraId="555658C2">
        <w:tblPrEx>
          <w:tblBorders>
            <w:top w:val="single" w:color="auto" w:sz="12" w:space="0"/>
            <w:left w:val="single" w:color="auto" w:sz="12" w:space="0"/>
            <w:bottom w:val="single" w:color="auto" w:sz="12" w:space="0"/>
            <w:right w:val="single" w:color="auto" w:sz="12" w:space="0"/>
            <w:insideH w:val="dotted" w:color="auto" w:sz="4" w:space="0"/>
            <w:insideV w:val="dotted" w:color="auto" w:sz="4" w:space="0"/>
          </w:tblBorders>
          <w:tblCellMar>
            <w:top w:w="0" w:type="dxa"/>
            <w:left w:w="108" w:type="dxa"/>
            <w:bottom w:w="0" w:type="dxa"/>
            <w:right w:w="108" w:type="dxa"/>
          </w:tblCellMar>
        </w:tblPrEx>
        <w:trPr>
          <w:trHeight w:val="567" w:hRule="atLeast"/>
        </w:trPr>
        <w:tc>
          <w:tcPr>
            <w:tcW w:w="1932" w:type="pct"/>
            <w:tcBorders>
              <w:top w:val="single" w:color="auto" w:sz="4" w:space="0"/>
              <w:left w:val="single" w:color="auto" w:sz="4" w:space="0"/>
              <w:bottom w:val="single" w:color="auto" w:sz="4" w:space="0"/>
              <w:right w:val="single" w:color="auto" w:sz="4" w:space="0"/>
            </w:tcBorders>
            <w:vAlign w:val="center"/>
          </w:tcPr>
          <w:p w14:paraId="651578B9">
            <w:pPr>
              <w:widowControl/>
              <w:jc w:val="center"/>
              <w:textAlignment w:val="center"/>
              <w:rPr>
                <w:rFonts w:ascii="仿宋_GB2312" w:hAnsi="Times New Roman" w:eastAsia="仿宋_GB2312" w:cs="Times New Roman"/>
                <w:kern w:val="0"/>
                <w:sz w:val="24"/>
              </w:rPr>
            </w:pPr>
            <w:r>
              <w:rPr>
                <w:rFonts w:hint="eastAsia" w:ascii="仿宋_GB2312" w:hAnsi="Times New Roman" w:eastAsia="仿宋_GB2312" w:cs="Times New Roman"/>
                <w:kern w:val="0"/>
                <w:sz w:val="24"/>
              </w:rPr>
              <w:t>合计</w:t>
            </w:r>
          </w:p>
        </w:tc>
        <w:tc>
          <w:tcPr>
            <w:tcW w:w="1022" w:type="pct"/>
            <w:tcBorders>
              <w:top w:val="single" w:color="auto" w:sz="4" w:space="0"/>
              <w:left w:val="single" w:color="auto" w:sz="4" w:space="0"/>
              <w:bottom w:val="single" w:color="auto" w:sz="4" w:space="0"/>
              <w:right w:val="single" w:color="auto" w:sz="4" w:space="0"/>
            </w:tcBorders>
            <w:vAlign w:val="center"/>
          </w:tcPr>
          <w:p w14:paraId="686EAB5C">
            <w:pPr>
              <w:widowControl/>
              <w:jc w:val="center"/>
              <w:textAlignment w:val="center"/>
              <w:rPr>
                <w:rFonts w:ascii="仿宋_GB2312" w:hAnsi="Times New Roman" w:eastAsia="仿宋_GB2312" w:cs="Times New Roman"/>
                <w:kern w:val="0"/>
                <w:sz w:val="24"/>
              </w:rPr>
            </w:pPr>
            <w:r>
              <w:rPr>
                <w:rFonts w:ascii="仿宋_GB2312" w:hAnsi="Times New Roman" w:eastAsia="仿宋_GB2312" w:cs="Times New Roman"/>
                <w:kern w:val="0"/>
                <w:sz w:val="24"/>
              </w:rPr>
              <w:t>124.27</w:t>
            </w:r>
          </w:p>
        </w:tc>
        <w:tc>
          <w:tcPr>
            <w:tcW w:w="1023" w:type="pct"/>
            <w:tcBorders>
              <w:top w:val="single" w:color="auto" w:sz="4" w:space="0"/>
              <w:left w:val="single" w:color="auto" w:sz="4" w:space="0"/>
              <w:bottom w:val="single" w:color="auto" w:sz="4" w:space="0"/>
              <w:right w:val="single" w:color="auto" w:sz="4" w:space="0"/>
            </w:tcBorders>
            <w:vAlign w:val="center"/>
          </w:tcPr>
          <w:p w14:paraId="42DEB6B1">
            <w:pPr>
              <w:widowControl/>
              <w:jc w:val="center"/>
              <w:textAlignment w:val="center"/>
              <w:rPr>
                <w:rFonts w:ascii="仿宋_GB2312" w:hAnsi="Times New Roman" w:eastAsia="仿宋_GB2312" w:cs="Times New Roman"/>
                <w:kern w:val="0"/>
                <w:sz w:val="24"/>
              </w:rPr>
            </w:pPr>
            <w:r>
              <w:rPr>
                <w:rFonts w:ascii="仿宋_GB2312" w:hAnsi="Times New Roman" w:eastAsia="仿宋_GB2312" w:cs="Times New Roman"/>
                <w:kern w:val="0"/>
                <w:sz w:val="24"/>
              </w:rPr>
              <w:t>80.37</w:t>
            </w:r>
          </w:p>
        </w:tc>
        <w:tc>
          <w:tcPr>
            <w:tcW w:w="1023" w:type="pct"/>
            <w:tcBorders>
              <w:top w:val="single" w:color="auto" w:sz="4" w:space="0"/>
              <w:left w:val="single" w:color="auto" w:sz="4" w:space="0"/>
              <w:bottom w:val="single" w:color="auto" w:sz="4" w:space="0"/>
              <w:right w:val="single" w:color="auto" w:sz="4" w:space="0"/>
            </w:tcBorders>
            <w:vAlign w:val="center"/>
          </w:tcPr>
          <w:p w14:paraId="33F1D7CA">
            <w:pPr>
              <w:widowControl/>
              <w:jc w:val="center"/>
              <w:textAlignment w:val="center"/>
              <w:rPr>
                <w:rFonts w:ascii="仿宋_GB2312" w:hAnsi="Times New Roman" w:eastAsia="仿宋_GB2312" w:cs="Times New Roman"/>
                <w:kern w:val="0"/>
                <w:sz w:val="24"/>
              </w:rPr>
            </w:pPr>
            <w:r>
              <w:rPr>
                <w:rFonts w:ascii="仿宋_GB2312" w:hAnsi="Times New Roman" w:eastAsia="仿宋_GB2312" w:cs="Times New Roman"/>
                <w:kern w:val="0"/>
                <w:sz w:val="24"/>
              </w:rPr>
              <w:t>80.37</w:t>
            </w:r>
          </w:p>
        </w:tc>
      </w:tr>
      <w:bookmarkEnd w:id="3"/>
    </w:tbl>
    <w:p w14:paraId="44A6AF08">
      <w:pPr>
        <w:pStyle w:val="30"/>
        <w:spacing w:line="560" w:lineRule="exact"/>
        <w:rPr>
          <w:rFonts w:hAnsi="Times New Roman" w:cs="Times New Roman"/>
          <w:szCs w:val="32"/>
        </w:rPr>
      </w:pPr>
      <w:r>
        <w:rPr>
          <w:rFonts w:hint="eastAsia" w:hAnsi="Times New Roman" w:cs="Times New Roman"/>
          <w:szCs w:val="32"/>
        </w:rPr>
        <w:t>202</w:t>
      </w:r>
      <w:r>
        <w:rPr>
          <w:rFonts w:hAnsi="Times New Roman" w:cs="Times New Roman"/>
          <w:szCs w:val="32"/>
        </w:rPr>
        <w:t>4</w:t>
      </w:r>
      <w:r>
        <w:rPr>
          <w:rFonts w:hint="eastAsia" w:hAnsi="Times New Roman" w:cs="Times New Roman"/>
          <w:szCs w:val="32"/>
        </w:rPr>
        <w:t>年市生态环境局“三公”经费、会议费、培训费决算数为</w:t>
      </w:r>
      <w:r>
        <w:rPr>
          <w:rFonts w:hAnsi="Times New Roman" w:cs="Times New Roman"/>
          <w:szCs w:val="32"/>
        </w:rPr>
        <w:t>98.95</w:t>
      </w:r>
      <w:r>
        <w:rPr>
          <w:rFonts w:hint="eastAsia" w:hAnsi="Times New Roman" w:cs="Times New Roman"/>
          <w:szCs w:val="32"/>
        </w:rPr>
        <w:t>万元，2</w:t>
      </w:r>
      <w:r>
        <w:rPr>
          <w:rFonts w:hAnsi="Times New Roman" w:cs="Times New Roman"/>
          <w:szCs w:val="32"/>
        </w:rPr>
        <w:t>025</w:t>
      </w:r>
      <w:r>
        <w:rPr>
          <w:rFonts w:hint="eastAsia" w:hAnsi="Times New Roman" w:cs="Times New Roman"/>
          <w:szCs w:val="32"/>
        </w:rPr>
        <w:t>年“三公”经费、会议费、培训费决算数为8</w:t>
      </w:r>
      <w:r>
        <w:rPr>
          <w:rFonts w:hAnsi="Times New Roman" w:cs="Times New Roman"/>
          <w:szCs w:val="32"/>
        </w:rPr>
        <w:t>0.37</w:t>
      </w:r>
      <w:r>
        <w:rPr>
          <w:rFonts w:hint="eastAsia" w:hAnsi="Times New Roman" w:cs="Times New Roman"/>
          <w:szCs w:val="32"/>
        </w:rPr>
        <w:t>万元，较2</w:t>
      </w:r>
      <w:r>
        <w:rPr>
          <w:rFonts w:hAnsi="Times New Roman" w:cs="Times New Roman"/>
          <w:szCs w:val="32"/>
        </w:rPr>
        <w:t>024</w:t>
      </w:r>
      <w:r>
        <w:rPr>
          <w:rFonts w:hint="eastAsia" w:hAnsi="Times New Roman" w:cs="Times New Roman"/>
          <w:szCs w:val="32"/>
        </w:rPr>
        <w:t>年减少1</w:t>
      </w:r>
      <w:r>
        <w:rPr>
          <w:rFonts w:hAnsi="Times New Roman" w:cs="Times New Roman"/>
          <w:szCs w:val="32"/>
        </w:rPr>
        <w:t>8.58</w:t>
      </w:r>
      <w:r>
        <w:rPr>
          <w:rFonts w:hint="eastAsia" w:hAnsi="Times New Roman" w:cs="Times New Roman"/>
          <w:szCs w:val="32"/>
        </w:rPr>
        <w:t>万元，降幅1</w:t>
      </w:r>
      <w:r>
        <w:rPr>
          <w:rFonts w:hAnsi="Times New Roman" w:cs="Times New Roman"/>
          <w:szCs w:val="32"/>
        </w:rPr>
        <w:t>8.78%</w:t>
      </w:r>
      <w:r>
        <w:rPr>
          <w:rFonts w:hint="eastAsia" w:hAnsi="Times New Roman" w:cs="Times New Roman"/>
          <w:szCs w:val="32"/>
        </w:rPr>
        <w:t>。</w:t>
      </w:r>
    </w:p>
    <w:p w14:paraId="664A6975">
      <w:pPr>
        <w:pStyle w:val="30"/>
        <w:spacing w:line="560" w:lineRule="exact"/>
        <w:rPr>
          <w:rFonts w:hAnsi="Times New Roman" w:cs="Times New Roman"/>
          <w:szCs w:val="32"/>
        </w:rPr>
      </w:pPr>
      <w:r>
        <w:rPr>
          <w:rFonts w:hint="eastAsia" w:hAnsi="Times New Roman" w:cs="Times New Roman"/>
          <w:szCs w:val="32"/>
        </w:rPr>
        <w:t>2</w:t>
      </w:r>
      <w:r>
        <w:rPr>
          <w:rFonts w:hAnsi="Times New Roman" w:cs="Times New Roman"/>
          <w:szCs w:val="32"/>
        </w:rPr>
        <w:t>023</w:t>
      </w:r>
      <w:r>
        <w:rPr>
          <w:rFonts w:hint="eastAsia" w:hAnsi="Times New Roman" w:cs="Times New Roman"/>
          <w:szCs w:val="32"/>
        </w:rPr>
        <w:t>年至2</w:t>
      </w:r>
      <w:r>
        <w:rPr>
          <w:rFonts w:hAnsi="Times New Roman" w:cs="Times New Roman"/>
          <w:szCs w:val="32"/>
        </w:rPr>
        <w:t>025</w:t>
      </w:r>
      <w:r>
        <w:rPr>
          <w:rFonts w:hint="eastAsia" w:hAnsi="Times New Roman" w:cs="Times New Roman"/>
          <w:szCs w:val="32"/>
        </w:rPr>
        <w:t>年，“三公”经费、会议费、培训费决算数分别为</w:t>
      </w:r>
      <w:r>
        <w:rPr>
          <w:rFonts w:hAnsi="Times New Roman" w:cs="Times New Roman"/>
          <w:szCs w:val="32"/>
        </w:rPr>
        <w:t>155.51</w:t>
      </w:r>
      <w:r>
        <w:rPr>
          <w:rFonts w:hint="eastAsia" w:hAnsi="Times New Roman" w:cs="Times New Roman"/>
          <w:szCs w:val="32"/>
        </w:rPr>
        <w:t>万元、</w:t>
      </w:r>
      <w:r>
        <w:rPr>
          <w:rFonts w:hAnsi="Times New Roman" w:cs="Times New Roman"/>
          <w:szCs w:val="32"/>
        </w:rPr>
        <w:t>98.95</w:t>
      </w:r>
      <w:r>
        <w:rPr>
          <w:rFonts w:hint="eastAsia" w:hAnsi="Times New Roman" w:cs="Times New Roman"/>
          <w:szCs w:val="32"/>
        </w:rPr>
        <w:t>万元、8</w:t>
      </w:r>
      <w:r>
        <w:rPr>
          <w:rFonts w:hAnsi="Times New Roman" w:cs="Times New Roman"/>
          <w:szCs w:val="32"/>
        </w:rPr>
        <w:t>0.37</w:t>
      </w:r>
      <w:r>
        <w:rPr>
          <w:rFonts w:hint="eastAsia" w:hAnsi="Times New Roman" w:cs="Times New Roman"/>
          <w:szCs w:val="32"/>
        </w:rPr>
        <w:t>万元，整体呈下降趋势。具体情况见表1</w:t>
      </w:r>
      <w:r>
        <w:rPr>
          <w:rFonts w:hAnsi="Times New Roman" w:cs="Times New Roman"/>
          <w:szCs w:val="32"/>
        </w:rPr>
        <w:t>-4</w:t>
      </w:r>
      <w:r>
        <w:rPr>
          <w:rFonts w:hint="eastAsia" w:hAnsi="Times New Roman" w:cs="Times New Roman"/>
          <w:szCs w:val="32"/>
        </w:rPr>
        <w:t>。</w:t>
      </w:r>
    </w:p>
    <w:p w14:paraId="1C97C30C">
      <w:pPr>
        <w:widowControl/>
        <w:overflowPunct w:val="0"/>
        <w:autoSpaceDE w:val="0"/>
        <w:autoSpaceDN w:val="0"/>
        <w:adjustRightInd w:val="0"/>
        <w:spacing w:line="560" w:lineRule="exact"/>
        <w:jc w:val="center"/>
        <w:textAlignment w:val="baseline"/>
        <w:rPr>
          <w:rFonts w:ascii="仿宋_GB2312" w:hAnsi="Times New Roman" w:eastAsia="仿宋_GB2312" w:cs="Times New Roman"/>
          <w:kern w:val="0"/>
          <w:sz w:val="24"/>
        </w:rPr>
      </w:pPr>
      <w:r>
        <w:rPr>
          <w:rFonts w:hint="eastAsia" w:ascii="仿宋_GB2312" w:hAnsi="Times New Roman" w:eastAsia="仿宋_GB2312" w:cs="Times New Roman"/>
          <w:kern w:val="0"/>
          <w:sz w:val="24"/>
        </w:rPr>
        <w:t>表1</w:t>
      </w:r>
      <w:r>
        <w:rPr>
          <w:rFonts w:ascii="仿宋_GB2312" w:hAnsi="Times New Roman" w:eastAsia="仿宋_GB2312" w:cs="Times New Roman"/>
          <w:kern w:val="0"/>
          <w:sz w:val="24"/>
        </w:rPr>
        <w:t>-4</w:t>
      </w:r>
      <w:r>
        <w:rPr>
          <w:rFonts w:hint="eastAsia" w:ascii="仿宋_GB2312" w:hAnsi="Times New Roman" w:eastAsia="仿宋_GB2312" w:cs="Times New Roman"/>
          <w:kern w:val="0"/>
          <w:sz w:val="24"/>
        </w:rPr>
        <w:t xml:space="preserve"> </w:t>
      </w:r>
      <w:r>
        <w:rPr>
          <w:rFonts w:ascii="仿宋_GB2312" w:hAnsi="Times New Roman" w:eastAsia="仿宋_GB2312" w:cs="Times New Roman"/>
          <w:kern w:val="0"/>
          <w:sz w:val="24"/>
        </w:rPr>
        <w:t>2023</w:t>
      </w:r>
      <w:r>
        <w:rPr>
          <w:rFonts w:hint="eastAsia" w:ascii="仿宋_GB2312" w:hAnsi="Times New Roman" w:eastAsia="仿宋_GB2312" w:cs="Times New Roman"/>
          <w:kern w:val="0"/>
          <w:sz w:val="24"/>
        </w:rPr>
        <w:t>-</w:t>
      </w:r>
      <w:r>
        <w:rPr>
          <w:rFonts w:ascii="仿宋_GB2312" w:hAnsi="Times New Roman" w:eastAsia="仿宋_GB2312" w:cs="Times New Roman"/>
          <w:kern w:val="0"/>
          <w:sz w:val="24"/>
        </w:rPr>
        <w:t>2025</w:t>
      </w:r>
      <w:r>
        <w:rPr>
          <w:rFonts w:hint="eastAsia" w:ascii="仿宋_GB2312" w:hAnsi="Times New Roman" w:eastAsia="仿宋_GB2312" w:cs="Times New Roman"/>
          <w:kern w:val="0"/>
          <w:sz w:val="24"/>
        </w:rPr>
        <w:t>年度市生态环境局部门五项经费决算情况表</w:t>
      </w:r>
    </w:p>
    <w:p w14:paraId="394B62CA">
      <w:pPr>
        <w:jc w:val="right"/>
        <w:rPr>
          <w:rFonts w:ascii="仿宋_GB2312" w:hAnsi="Times New Roman" w:eastAsia="仿宋_GB2312" w:cs="Times New Roman"/>
          <w:sz w:val="24"/>
        </w:rPr>
      </w:pPr>
      <w:r>
        <w:rPr>
          <w:rFonts w:hint="eastAsia" w:ascii="仿宋_GB2312" w:hAnsi="Times New Roman" w:eastAsia="仿宋_GB2312" w:cs="Times New Roman"/>
          <w:sz w:val="24"/>
        </w:rPr>
        <w:t>单位：万元</w:t>
      </w:r>
    </w:p>
    <w:tbl>
      <w:tblPr>
        <w:tblStyle w:val="19"/>
        <w:tblW w:w="5000" w:type="pct"/>
        <w:tblInd w:w="0" w:type="dxa"/>
        <w:tblBorders>
          <w:top w:val="single" w:color="auto" w:sz="12" w:space="0"/>
          <w:left w:val="single" w:color="auto" w:sz="12" w:space="0"/>
          <w:bottom w:val="single" w:color="auto" w:sz="12" w:space="0"/>
          <w:right w:val="single" w:color="auto" w:sz="12" w:space="0"/>
          <w:insideH w:val="dotted" w:color="auto" w:sz="4" w:space="0"/>
          <w:insideV w:val="dotted" w:color="auto" w:sz="4" w:space="0"/>
        </w:tblBorders>
        <w:tblLayout w:type="autofit"/>
        <w:tblCellMar>
          <w:top w:w="0" w:type="dxa"/>
          <w:left w:w="108" w:type="dxa"/>
          <w:bottom w:w="0" w:type="dxa"/>
          <w:right w:w="108" w:type="dxa"/>
        </w:tblCellMar>
      </w:tblPr>
      <w:tblGrid>
        <w:gridCol w:w="3369"/>
        <w:gridCol w:w="1782"/>
        <w:gridCol w:w="1784"/>
        <w:gridCol w:w="1785"/>
      </w:tblGrid>
      <w:tr w14:paraId="58132AAD">
        <w:tblPrEx>
          <w:tblBorders>
            <w:top w:val="single" w:color="auto" w:sz="12" w:space="0"/>
            <w:left w:val="single" w:color="auto" w:sz="12" w:space="0"/>
            <w:bottom w:val="single" w:color="auto" w:sz="12" w:space="0"/>
            <w:right w:val="single" w:color="auto" w:sz="12" w:space="0"/>
            <w:insideH w:val="dotted" w:color="auto" w:sz="4" w:space="0"/>
            <w:insideV w:val="dotted" w:color="auto" w:sz="4" w:space="0"/>
          </w:tblBorders>
          <w:tblCellMar>
            <w:top w:w="0" w:type="dxa"/>
            <w:left w:w="108" w:type="dxa"/>
            <w:bottom w:w="0" w:type="dxa"/>
            <w:right w:w="108" w:type="dxa"/>
          </w:tblCellMar>
        </w:tblPrEx>
        <w:trPr>
          <w:trHeight w:val="567" w:hRule="atLeast"/>
          <w:tblHeader/>
        </w:trPr>
        <w:tc>
          <w:tcPr>
            <w:tcW w:w="1932" w:type="pct"/>
            <w:tcBorders>
              <w:top w:val="single" w:color="auto" w:sz="4" w:space="0"/>
              <w:left w:val="single" w:color="auto" w:sz="4" w:space="0"/>
              <w:bottom w:val="single" w:color="auto" w:sz="4" w:space="0"/>
              <w:right w:val="single" w:color="auto" w:sz="4" w:space="0"/>
            </w:tcBorders>
            <w:shd w:val="clear" w:color="auto" w:fill="auto"/>
            <w:vAlign w:val="center"/>
          </w:tcPr>
          <w:p w14:paraId="22CA7656">
            <w:pPr>
              <w:widowControl/>
              <w:jc w:val="center"/>
              <w:textAlignment w:val="center"/>
              <w:rPr>
                <w:rFonts w:ascii="仿宋_GB2312" w:hAnsi="Times New Roman" w:eastAsia="仿宋_GB2312" w:cs="Times New Roman"/>
                <w:b/>
                <w:bCs/>
                <w:sz w:val="24"/>
              </w:rPr>
            </w:pPr>
            <w:r>
              <w:rPr>
                <w:rFonts w:hint="eastAsia" w:ascii="仿宋_GB2312" w:hAnsi="Times New Roman" w:eastAsia="仿宋_GB2312" w:cs="Times New Roman"/>
                <w:b/>
                <w:bCs/>
                <w:kern w:val="0"/>
                <w:sz w:val="24"/>
              </w:rPr>
              <w:t>项目</w:t>
            </w:r>
          </w:p>
        </w:tc>
        <w:tc>
          <w:tcPr>
            <w:tcW w:w="1022" w:type="pct"/>
            <w:tcBorders>
              <w:top w:val="single" w:color="auto" w:sz="4" w:space="0"/>
              <w:left w:val="single" w:color="auto" w:sz="4" w:space="0"/>
              <w:bottom w:val="single" w:color="auto" w:sz="4" w:space="0"/>
              <w:right w:val="single" w:color="auto" w:sz="4" w:space="0"/>
            </w:tcBorders>
            <w:shd w:val="clear" w:color="auto" w:fill="auto"/>
            <w:vAlign w:val="center"/>
          </w:tcPr>
          <w:p w14:paraId="42121826">
            <w:pPr>
              <w:widowControl/>
              <w:jc w:val="center"/>
              <w:textAlignment w:val="center"/>
              <w:rPr>
                <w:rFonts w:ascii="仿宋_GB2312" w:hAnsi="Times New Roman" w:eastAsia="仿宋_GB2312" w:cs="Times New Roman"/>
                <w:b/>
                <w:bCs/>
                <w:sz w:val="24"/>
              </w:rPr>
            </w:pPr>
            <w:r>
              <w:rPr>
                <w:rFonts w:hint="eastAsia" w:ascii="仿宋_GB2312" w:hAnsi="Times New Roman" w:eastAsia="仿宋_GB2312" w:cs="Times New Roman"/>
                <w:b/>
                <w:bCs/>
                <w:sz w:val="24"/>
              </w:rPr>
              <w:t>2</w:t>
            </w:r>
            <w:r>
              <w:rPr>
                <w:rFonts w:ascii="仿宋_GB2312" w:hAnsi="Times New Roman" w:eastAsia="仿宋_GB2312" w:cs="Times New Roman"/>
                <w:b/>
                <w:bCs/>
                <w:sz w:val="24"/>
              </w:rPr>
              <w:t>023</w:t>
            </w:r>
            <w:r>
              <w:rPr>
                <w:rFonts w:hint="eastAsia" w:ascii="仿宋_GB2312" w:hAnsi="Times New Roman" w:eastAsia="仿宋_GB2312" w:cs="Times New Roman"/>
                <w:b/>
                <w:bCs/>
                <w:sz w:val="24"/>
              </w:rPr>
              <w:t>年决算数</w:t>
            </w:r>
          </w:p>
        </w:tc>
        <w:tc>
          <w:tcPr>
            <w:tcW w:w="1023" w:type="pct"/>
            <w:tcBorders>
              <w:top w:val="single" w:color="auto" w:sz="4" w:space="0"/>
              <w:left w:val="single" w:color="auto" w:sz="4" w:space="0"/>
              <w:bottom w:val="single" w:color="auto" w:sz="4" w:space="0"/>
              <w:right w:val="single" w:color="auto" w:sz="4" w:space="0"/>
            </w:tcBorders>
            <w:shd w:val="clear" w:color="auto" w:fill="auto"/>
            <w:vAlign w:val="center"/>
          </w:tcPr>
          <w:p w14:paraId="28229CA6">
            <w:pPr>
              <w:widowControl/>
              <w:jc w:val="center"/>
              <w:textAlignment w:val="center"/>
              <w:rPr>
                <w:rFonts w:ascii="仿宋_GB2312" w:hAnsi="Times New Roman" w:eastAsia="仿宋_GB2312" w:cs="Times New Roman"/>
                <w:b/>
                <w:bCs/>
                <w:sz w:val="24"/>
              </w:rPr>
            </w:pPr>
            <w:r>
              <w:rPr>
                <w:rFonts w:hint="eastAsia" w:ascii="仿宋_GB2312" w:hAnsi="Times New Roman" w:eastAsia="仿宋_GB2312" w:cs="Times New Roman"/>
                <w:b/>
                <w:bCs/>
                <w:sz w:val="24"/>
              </w:rPr>
              <w:t>2</w:t>
            </w:r>
            <w:r>
              <w:rPr>
                <w:rFonts w:ascii="仿宋_GB2312" w:hAnsi="Times New Roman" w:eastAsia="仿宋_GB2312" w:cs="Times New Roman"/>
                <w:b/>
                <w:bCs/>
                <w:sz w:val="24"/>
              </w:rPr>
              <w:t>024</w:t>
            </w:r>
            <w:r>
              <w:rPr>
                <w:rFonts w:hint="eastAsia" w:ascii="仿宋_GB2312" w:hAnsi="Times New Roman" w:eastAsia="仿宋_GB2312" w:cs="Times New Roman"/>
                <w:b/>
                <w:bCs/>
                <w:sz w:val="24"/>
              </w:rPr>
              <w:t>年决算数</w:t>
            </w:r>
          </w:p>
        </w:tc>
        <w:tc>
          <w:tcPr>
            <w:tcW w:w="1023" w:type="pct"/>
            <w:tcBorders>
              <w:top w:val="single" w:color="auto" w:sz="4" w:space="0"/>
              <w:left w:val="single" w:color="auto" w:sz="4" w:space="0"/>
              <w:bottom w:val="single" w:color="auto" w:sz="4" w:space="0"/>
              <w:right w:val="single" w:color="auto" w:sz="4" w:space="0"/>
            </w:tcBorders>
            <w:vAlign w:val="center"/>
          </w:tcPr>
          <w:p w14:paraId="33AEFF9F">
            <w:pPr>
              <w:widowControl/>
              <w:jc w:val="center"/>
              <w:textAlignment w:val="center"/>
              <w:rPr>
                <w:rFonts w:ascii="仿宋_GB2312" w:hAnsi="Times New Roman" w:eastAsia="仿宋_GB2312" w:cs="Times New Roman"/>
                <w:b/>
                <w:bCs/>
                <w:kern w:val="0"/>
                <w:sz w:val="24"/>
              </w:rPr>
            </w:pPr>
            <w:r>
              <w:rPr>
                <w:rFonts w:hint="eastAsia" w:ascii="仿宋_GB2312" w:hAnsi="Times New Roman" w:eastAsia="仿宋_GB2312" w:cs="Times New Roman"/>
                <w:b/>
                <w:bCs/>
                <w:sz w:val="24"/>
              </w:rPr>
              <w:t>2</w:t>
            </w:r>
            <w:r>
              <w:rPr>
                <w:rFonts w:ascii="仿宋_GB2312" w:hAnsi="Times New Roman" w:eastAsia="仿宋_GB2312" w:cs="Times New Roman"/>
                <w:b/>
                <w:bCs/>
                <w:sz w:val="24"/>
              </w:rPr>
              <w:t>025</w:t>
            </w:r>
            <w:r>
              <w:rPr>
                <w:rFonts w:hint="eastAsia" w:ascii="仿宋_GB2312" w:hAnsi="Times New Roman" w:eastAsia="仿宋_GB2312" w:cs="Times New Roman"/>
                <w:b/>
                <w:bCs/>
                <w:sz w:val="24"/>
              </w:rPr>
              <w:t>年决算数</w:t>
            </w:r>
          </w:p>
        </w:tc>
      </w:tr>
      <w:tr w14:paraId="7225D286">
        <w:tblPrEx>
          <w:tblBorders>
            <w:top w:val="single" w:color="auto" w:sz="12" w:space="0"/>
            <w:left w:val="single" w:color="auto" w:sz="12" w:space="0"/>
            <w:bottom w:val="single" w:color="auto" w:sz="12" w:space="0"/>
            <w:right w:val="single" w:color="auto" w:sz="12" w:space="0"/>
            <w:insideH w:val="dotted" w:color="auto" w:sz="4" w:space="0"/>
            <w:insideV w:val="dotted" w:color="auto" w:sz="4" w:space="0"/>
          </w:tblBorders>
          <w:tblCellMar>
            <w:top w:w="0" w:type="dxa"/>
            <w:left w:w="108" w:type="dxa"/>
            <w:bottom w:w="0" w:type="dxa"/>
            <w:right w:w="108" w:type="dxa"/>
          </w:tblCellMar>
        </w:tblPrEx>
        <w:trPr>
          <w:trHeight w:val="567" w:hRule="atLeast"/>
        </w:trPr>
        <w:tc>
          <w:tcPr>
            <w:tcW w:w="1932" w:type="pct"/>
            <w:tcBorders>
              <w:top w:val="single" w:color="auto" w:sz="4" w:space="0"/>
              <w:left w:val="single" w:color="auto" w:sz="4" w:space="0"/>
              <w:bottom w:val="single" w:color="auto" w:sz="4" w:space="0"/>
              <w:right w:val="single" w:color="auto" w:sz="4" w:space="0"/>
            </w:tcBorders>
            <w:vAlign w:val="center"/>
          </w:tcPr>
          <w:p w14:paraId="40B8E737">
            <w:pPr>
              <w:widowControl/>
              <w:jc w:val="center"/>
              <w:textAlignment w:val="center"/>
              <w:rPr>
                <w:rFonts w:ascii="仿宋_GB2312" w:hAnsi="Times New Roman" w:eastAsia="仿宋_GB2312" w:cs="Times New Roman"/>
                <w:sz w:val="24"/>
              </w:rPr>
            </w:pPr>
            <w:r>
              <w:rPr>
                <w:rFonts w:hint="eastAsia" w:ascii="仿宋_GB2312" w:hAnsi="Times New Roman" w:eastAsia="仿宋_GB2312" w:cs="Times New Roman"/>
                <w:sz w:val="24"/>
              </w:rPr>
              <w:t>因公出国（境）费用</w:t>
            </w:r>
          </w:p>
        </w:tc>
        <w:tc>
          <w:tcPr>
            <w:tcW w:w="1022" w:type="pct"/>
            <w:tcBorders>
              <w:top w:val="single" w:color="auto" w:sz="4" w:space="0"/>
              <w:left w:val="single" w:color="auto" w:sz="4" w:space="0"/>
              <w:bottom w:val="single" w:color="auto" w:sz="4" w:space="0"/>
              <w:right w:val="single" w:color="auto" w:sz="4" w:space="0"/>
            </w:tcBorders>
            <w:vAlign w:val="center"/>
          </w:tcPr>
          <w:p w14:paraId="66D20DAC">
            <w:pPr>
              <w:widowControl/>
              <w:jc w:val="center"/>
              <w:textAlignment w:val="center"/>
              <w:rPr>
                <w:rFonts w:ascii="仿宋_GB2312" w:hAnsi="Times New Roman" w:eastAsia="仿宋_GB2312" w:cs="Times New Roman"/>
                <w:kern w:val="0"/>
                <w:sz w:val="24"/>
              </w:rPr>
            </w:pPr>
            <w:r>
              <w:rPr>
                <w:rFonts w:hint="eastAsia" w:ascii="仿宋_GB2312" w:hAnsi="Times New Roman" w:eastAsia="仿宋_GB2312" w:cs="Times New Roman"/>
                <w:kern w:val="0"/>
                <w:sz w:val="24"/>
              </w:rPr>
              <w:t>-</w:t>
            </w:r>
          </w:p>
        </w:tc>
        <w:tc>
          <w:tcPr>
            <w:tcW w:w="1023" w:type="pct"/>
            <w:tcBorders>
              <w:top w:val="single" w:color="auto" w:sz="4" w:space="0"/>
              <w:left w:val="single" w:color="auto" w:sz="4" w:space="0"/>
              <w:bottom w:val="single" w:color="auto" w:sz="4" w:space="0"/>
              <w:right w:val="single" w:color="auto" w:sz="4" w:space="0"/>
            </w:tcBorders>
            <w:vAlign w:val="center"/>
          </w:tcPr>
          <w:p w14:paraId="54112322">
            <w:pPr>
              <w:widowControl/>
              <w:jc w:val="center"/>
              <w:textAlignment w:val="center"/>
              <w:rPr>
                <w:rFonts w:ascii="仿宋_GB2312" w:hAnsi="Times New Roman" w:eastAsia="仿宋_GB2312" w:cs="Times New Roman"/>
                <w:kern w:val="0"/>
                <w:sz w:val="24"/>
              </w:rPr>
            </w:pPr>
            <w:r>
              <w:rPr>
                <w:rFonts w:hint="eastAsia" w:ascii="仿宋_GB2312" w:hAnsi="Times New Roman" w:eastAsia="仿宋_GB2312" w:cs="Times New Roman"/>
                <w:kern w:val="0"/>
                <w:sz w:val="24"/>
              </w:rPr>
              <w:t>-</w:t>
            </w:r>
          </w:p>
        </w:tc>
        <w:tc>
          <w:tcPr>
            <w:tcW w:w="1023" w:type="pct"/>
            <w:tcBorders>
              <w:top w:val="single" w:color="auto" w:sz="4" w:space="0"/>
              <w:left w:val="single" w:color="auto" w:sz="4" w:space="0"/>
              <w:bottom w:val="single" w:color="auto" w:sz="4" w:space="0"/>
              <w:right w:val="single" w:color="auto" w:sz="4" w:space="0"/>
            </w:tcBorders>
            <w:vAlign w:val="center"/>
          </w:tcPr>
          <w:p w14:paraId="4BB066B2">
            <w:pPr>
              <w:widowControl/>
              <w:jc w:val="center"/>
              <w:textAlignment w:val="center"/>
              <w:rPr>
                <w:rFonts w:ascii="仿宋_GB2312" w:hAnsi="Times New Roman" w:eastAsia="仿宋_GB2312" w:cs="Times New Roman"/>
                <w:kern w:val="0"/>
                <w:sz w:val="24"/>
              </w:rPr>
            </w:pPr>
            <w:r>
              <w:rPr>
                <w:rFonts w:hint="eastAsia" w:ascii="仿宋_GB2312" w:hAnsi="Times New Roman" w:eastAsia="仿宋_GB2312" w:cs="Times New Roman"/>
                <w:kern w:val="0"/>
                <w:sz w:val="24"/>
              </w:rPr>
              <w:t>-</w:t>
            </w:r>
          </w:p>
        </w:tc>
      </w:tr>
      <w:tr w14:paraId="19AA6142">
        <w:tblPrEx>
          <w:tblBorders>
            <w:top w:val="single" w:color="auto" w:sz="12" w:space="0"/>
            <w:left w:val="single" w:color="auto" w:sz="12" w:space="0"/>
            <w:bottom w:val="single" w:color="auto" w:sz="12" w:space="0"/>
            <w:right w:val="single" w:color="auto" w:sz="12" w:space="0"/>
            <w:insideH w:val="dotted" w:color="auto" w:sz="4" w:space="0"/>
            <w:insideV w:val="dotted" w:color="auto" w:sz="4" w:space="0"/>
          </w:tblBorders>
          <w:tblCellMar>
            <w:top w:w="0" w:type="dxa"/>
            <w:left w:w="108" w:type="dxa"/>
            <w:bottom w:w="0" w:type="dxa"/>
            <w:right w:w="108" w:type="dxa"/>
          </w:tblCellMar>
        </w:tblPrEx>
        <w:trPr>
          <w:trHeight w:val="567" w:hRule="atLeast"/>
        </w:trPr>
        <w:tc>
          <w:tcPr>
            <w:tcW w:w="1932" w:type="pct"/>
            <w:tcBorders>
              <w:top w:val="single" w:color="auto" w:sz="4" w:space="0"/>
              <w:left w:val="single" w:color="auto" w:sz="4" w:space="0"/>
              <w:bottom w:val="single" w:color="auto" w:sz="4" w:space="0"/>
              <w:right w:val="single" w:color="auto" w:sz="4" w:space="0"/>
            </w:tcBorders>
            <w:vAlign w:val="center"/>
          </w:tcPr>
          <w:p w14:paraId="169AB30E">
            <w:pPr>
              <w:widowControl/>
              <w:jc w:val="center"/>
              <w:textAlignment w:val="center"/>
              <w:rPr>
                <w:rFonts w:ascii="仿宋_GB2312" w:hAnsi="Times New Roman" w:eastAsia="仿宋_GB2312" w:cs="Times New Roman"/>
                <w:sz w:val="24"/>
              </w:rPr>
            </w:pPr>
            <w:r>
              <w:rPr>
                <w:rFonts w:hint="eastAsia" w:ascii="仿宋_GB2312" w:hAnsi="Times New Roman" w:eastAsia="仿宋_GB2312" w:cs="Times New Roman"/>
                <w:sz w:val="24"/>
              </w:rPr>
              <w:t>公务用车购置及运行维护费</w:t>
            </w:r>
          </w:p>
        </w:tc>
        <w:tc>
          <w:tcPr>
            <w:tcW w:w="1022" w:type="pct"/>
            <w:tcBorders>
              <w:top w:val="single" w:color="auto" w:sz="4" w:space="0"/>
              <w:left w:val="single" w:color="auto" w:sz="4" w:space="0"/>
              <w:bottom w:val="single" w:color="auto" w:sz="4" w:space="0"/>
              <w:right w:val="single" w:color="auto" w:sz="4" w:space="0"/>
            </w:tcBorders>
            <w:vAlign w:val="center"/>
          </w:tcPr>
          <w:p w14:paraId="354FB667">
            <w:pPr>
              <w:widowControl/>
              <w:jc w:val="center"/>
              <w:textAlignment w:val="center"/>
              <w:rPr>
                <w:rFonts w:ascii="仿宋_GB2312" w:hAnsi="Times New Roman" w:eastAsia="仿宋_GB2312" w:cs="Times New Roman"/>
                <w:kern w:val="0"/>
                <w:sz w:val="24"/>
              </w:rPr>
            </w:pPr>
            <w:r>
              <w:rPr>
                <w:rFonts w:ascii="仿宋_GB2312" w:hAnsi="Times New Roman" w:eastAsia="仿宋_GB2312" w:cs="Times New Roman"/>
                <w:kern w:val="0"/>
                <w:sz w:val="24"/>
              </w:rPr>
              <w:t>129.32</w:t>
            </w:r>
          </w:p>
        </w:tc>
        <w:tc>
          <w:tcPr>
            <w:tcW w:w="1023" w:type="pct"/>
            <w:tcBorders>
              <w:top w:val="single" w:color="auto" w:sz="4" w:space="0"/>
              <w:left w:val="single" w:color="auto" w:sz="4" w:space="0"/>
              <w:bottom w:val="single" w:color="auto" w:sz="4" w:space="0"/>
              <w:right w:val="single" w:color="auto" w:sz="4" w:space="0"/>
            </w:tcBorders>
            <w:vAlign w:val="center"/>
          </w:tcPr>
          <w:p w14:paraId="4D0402D7">
            <w:pPr>
              <w:widowControl/>
              <w:jc w:val="center"/>
              <w:textAlignment w:val="center"/>
              <w:rPr>
                <w:rFonts w:ascii="仿宋_GB2312" w:hAnsi="Times New Roman" w:eastAsia="仿宋_GB2312" w:cs="Times New Roman"/>
                <w:kern w:val="0"/>
                <w:sz w:val="24"/>
              </w:rPr>
            </w:pPr>
            <w:r>
              <w:rPr>
                <w:rFonts w:ascii="仿宋_GB2312" w:hAnsi="Times New Roman" w:eastAsia="仿宋_GB2312" w:cs="Times New Roman"/>
                <w:kern w:val="0"/>
                <w:sz w:val="24"/>
              </w:rPr>
              <w:t>80.50</w:t>
            </w:r>
          </w:p>
        </w:tc>
        <w:tc>
          <w:tcPr>
            <w:tcW w:w="1023" w:type="pct"/>
            <w:tcBorders>
              <w:top w:val="single" w:color="auto" w:sz="4" w:space="0"/>
              <w:left w:val="single" w:color="auto" w:sz="4" w:space="0"/>
              <w:bottom w:val="single" w:color="auto" w:sz="4" w:space="0"/>
              <w:right w:val="single" w:color="auto" w:sz="4" w:space="0"/>
            </w:tcBorders>
            <w:vAlign w:val="center"/>
          </w:tcPr>
          <w:p w14:paraId="521CB005">
            <w:pPr>
              <w:widowControl/>
              <w:jc w:val="center"/>
              <w:textAlignment w:val="center"/>
              <w:rPr>
                <w:rFonts w:ascii="仿宋_GB2312" w:hAnsi="Times New Roman" w:eastAsia="仿宋_GB2312" w:cs="Times New Roman"/>
                <w:kern w:val="0"/>
                <w:sz w:val="24"/>
              </w:rPr>
            </w:pPr>
            <w:r>
              <w:rPr>
                <w:rFonts w:hint="eastAsia" w:ascii="仿宋_GB2312" w:hAnsi="Times New Roman" w:eastAsia="仿宋_GB2312" w:cs="Times New Roman"/>
                <w:kern w:val="0"/>
                <w:sz w:val="24"/>
              </w:rPr>
              <w:t>5</w:t>
            </w:r>
            <w:r>
              <w:rPr>
                <w:rFonts w:ascii="仿宋_GB2312" w:hAnsi="Times New Roman" w:eastAsia="仿宋_GB2312" w:cs="Times New Roman"/>
                <w:kern w:val="0"/>
                <w:sz w:val="24"/>
              </w:rPr>
              <w:t>2.45</w:t>
            </w:r>
          </w:p>
        </w:tc>
      </w:tr>
      <w:tr w14:paraId="65CA62D8">
        <w:tblPrEx>
          <w:tblBorders>
            <w:top w:val="single" w:color="auto" w:sz="12" w:space="0"/>
            <w:left w:val="single" w:color="auto" w:sz="12" w:space="0"/>
            <w:bottom w:val="single" w:color="auto" w:sz="12" w:space="0"/>
            <w:right w:val="single" w:color="auto" w:sz="12" w:space="0"/>
            <w:insideH w:val="dotted" w:color="auto" w:sz="4" w:space="0"/>
            <w:insideV w:val="dotted" w:color="auto" w:sz="4" w:space="0"/>
          </w:tblBorders>
          <w:tblCellMar>
            <w:top w:w="0" w:type="dxa"/>
            <w:left w:w="108" w:type="dxa"/>
            <w:bottom w:w="0" w:type="dxa"/>
            <w:right w:w="108" w:type="dxa"/>
          </w:tblCellMar>
        </w:tblPrEx>
        <w:trPr>
          <w:trHeight w:val="567" w:hRule="atLeast"/>
        </w:trPr>
        <w:tc>
          <w:tcPr>
            <w:tcW w:w="1932" w:type="pct"/>
            <w:tcBorders>
              <w:top w:val="single" w:color="auto" w:sz="4" w:space="0"/>
              <w:left w:val="single" w:color="auto" w:sz="4" w:space="0"/>
              <w:bottom w:val="single" w:color="auto" w:sz="4" w:space="0"/>
              <w:right w:val="single" w:color="auto" w:sz="4" w:space="0"/>
            </w:tcBorders>
            <w:vAlign w:val="center"/>
          </w:tcPr>
          <w:p w14:paraId="24C2C0EC">
            <w:pPr>
              <w:widowControl/>
              <w:jc w:val="center"/>
              <w:textAlignment w:val="center"/>
              <w:rPr>
                <w:rFonts w:ascii="仿宋_GB2312" w:hAnsi="Times New Roman" w:eastAsia="仿宋_GB2312" w:cs="Times New Roman"/>
                <w:sz w:val="24"/>
              </w:rPr>
            </w:pPr>
            <w:r>
              <w:rPr>
                <w:rFonts w:hint="eastAsia" w:ascii="仿宋_GB2312" w:hAnsi="Times New Roman" w:eastAsia="仿宋_GB2312" w:cs="Times New Roman"/>
                <w:sz w:val="24"/>
              </w:rPr>
              <w:t>公务接待费</w:t>
            </w:r>
          </w:p>
        </w:tc>
        <w:tc>
          <w:tcPr>
            <w:tcW w:w="1022" w:type="pct"/>
            <w:tcBorders>
              <w:top w:val="single" w:color="auto" w:sz="4" w:space="0"/>
              <w:left w:val="single" w:color="auto" w:sz="4" w:space="0"/>
              <w:bottom w:val="single" w:color="auto" w:sz="4" w:space="0"/>
              <w:right w:val="single" w:color="auto" w:sz="4" w:space="0"/>
            </w:tcBorders>
            <w:vAlign w:val="center"/>
          </w:tcPr>
          <w:p w14:paraId="77787045">
            <w:pPr>
              <w:widowControl/>
              <w:jc w:val="center"/>
              <w:textAlignment w:val="center"/>
              <w:rPr>
                <w:rFonts w:ascii="仿宋_GB2312" w:hAnsi="Times New Roman" w:eastAsia="仿宋_GB2312" w:cs="Times New Roman"/>
                <w:kern w:val="0"/>
                <w:sz w:val="24"/>
              </w:rPr>
            </w:pPr>
            <w:r>
              <w:rPr>
                <w:rFonts w:ascii="仿宋_GB2312" w:hAnsi="Times New Roman" w:eastAsia="仿宋_GB2312" w:cs="Times New Roman"/>
                <w:kern w:val="0"/>
                <w:sz w:val="24"/>
              </w:rPr>
              <w:t>4.38</w:t>
            </w:r>
          </w:p>
        </w:tc>
        <w:tc>
          <w:tcPr>
            <w:tcW w:w="1023" w:type="pct"/>
            <w:tcBorders>
              <w:top w:val="single" w:color="auto" w:sz="4" w:space="0"/>
              <w:left w:val="single" w:color="auto" w:sz="4" w:space="0"/>
              <w:bottom w:val="single" w:color="auto" w:sz="4" w:space="0"/>
              <w:right w:val="single" w:color="auto" w:sz="4" w:space="0"/>
            </w:tcBorders>
            <w:vAlign w:val="center"/>
          </w:tcPr>
          <w:p w14:paraId="1E7A14DA">
            <w:pPr>
              <w:widowControl/>
              <w:jc w:val="center"/>
              <w:textAlignment w:val="center"/>
              <w:rPr>
                <w:rFonts w:ascii="仿宋_GB2312" w:hAnsi="Times New Roman" w:eastAsia="仿宋_GB2312" w:cs="Times New Roman"/>
                <w:kern w:val="0"/>
                <w:sz w:val="24"/>
              </w:rPr>
            </w:pPr>
            <w:r>
              <w:rPr>
                <w:rFonts w:ascii="仿宋_GB2312" w:hAnsi="Times New Roman" w:eastAsia="仿宋_GB2312" w:cs="Times New Roman"/>
                <w:kern w:val="0"/>
                <w:sz w:val="24"/>
              </w:rPr>
              <w:t>3.90</w:t>
            </w:r>
          </w:p>
        </w:tc>
        <w:tc>
          <w:tcPr>
            <w:tcW w:w="1023" w:type="pct"/>
            <w:tcBorders>
              <w:top w:val="single" w:color="auto" w:sz="4" w:space="0"/>
              <w:left w:val="single" w:color="auto" w:sz="4" w:space="0"/>
              <w:bottom w:val="single" w:color="auto" w:sz="4" w:space="0"/>
              <w:right w:val="single" w:color="auto" w:sz="4" w:space="0"/>
            </w:tcBorders>
            <w:vAlign w:val="center"/>
          </w:tcPr>
          <w:p w14:paraId="4CA194F0">
            <w:pPr>
              <w:widowControl/>
              <w:jc w:val="center"/>
              <w:textAlignment w:val="center"/>
              <w:rPr>
                <w:rFonts w:ascii="仿宋_GB2312" w:hAnsi="Times New Roman" w:eastAsia="仿宋_GB2312" w:cs="Times New Roman"/>
                <w:kern w:val="0"/>
                <w:sz w:val="24"/>
              </w:rPr>
            </w:pPr>
            <w:r>
              <w:rPr>
                <w:rFonts w:hint="eastAsia" w:ascii="仿宋_GB2312" w:hAnsi="Times New Roman" w:eastAsia="仿宋_GB2312" w:cs="Times New Roman"/>
                <w:kern w:val="0"/>
                <w:sz w:val="24"/>
              </w:rPr>
              <w:t>5</w:t>
            </w:r>
            <w:r>
              <w:rPr>
                <w:rFonts w:ascii="仿宋_GB2312" w:hAnsi="Times New Roman" w:eastAsia="仿宋_GB2312" w:cs="Times New Roman"/>
                <w:kern w:val="0"/>
                <w:sz w:val="24"/>
              </w:rPr>
              <w:t>.13</w:t>
            </w:r>
          </w:p>
        </w:tc>
      </w:tr>
      <w:tr w14:paraId="3009BA5F">
        <w:tblPrEx>
          <w:tblBorders>
            <w:top w:val="single" w:color="auto" w:sz="12" w:space="0"/>
            <w:left w:val="single" w:color="auto" w:sz="12" w:space="0"/>
            <w:bottom w:val="single" w:color="auto" w:sz="12" w:space="0"/>
            <w:right w:val="single" w:color="auto" w:sz="12" w:space="0"/>
            <w:insideH w:val="dotted" w:color="auto" w:sz="4" w:space="0"/>
            <w:insideV w:val="dotted" w:color="auto" w:sz="4" w:space="0"/>
          </w:tblBorders>
          <w:tblCellMar>
            <w:top w:w="0" w:type="dxa"/>
            <w:left w:w="108" w:type="dxa"/>
            <w:bottom w:w="0" w:type="dxa"/>
            <w:right w:w="108" w:type="dxa"/>
          </w:tblCellMar>
        </w:tblPrEx>
        <w:trPr>
          <w:trHeight w:val="567" w:hRule="atLeast"/>
        </w:trPr>
        <w:tc>
          <w:tcPr>
            <w:tcW w:w="1932" w:type="pct"/>
            <w:tcBorders>
              <w:top w:val="single" w:color="auto" w:sz="4" w:space="0"/>
              <w:left w:val="single" w:color="auto" w:sz="4" w:space="0"/>
              <w:bottom w:val="single" w:color="auto" w:sz="4" w:space="0"/>
              <w:right w:val="single" w:color="auto" w:sz="4" w:space="0"/>
            </w:tcBorders>
            <w:vAlign w:val="center"/>
          </w:tcPr>
          <w:p w14:paraId="374A7F14">
            <w:pPr>
              <w:widowControl/>
              <w:jc w:val="center"/>
              <w:textAlignment w:val="center"/>
              <w:rPr>
                <w:rFonts w:ascii="仿宋_GB2312" w:hAnsi="Times New Roman" w:eastAsia="仿宋_GB2312" w:cs="Times New Roman"/>
                <w:sz w:val="24"/>
              </w:rPr>
            </w:pPr>
            <w:r>
              <w:rPr>
                <w:rFonts w:hint="eastAsia" w:ascii="仿宋_GB2312" w:hAnsi="Times New Roman" w:eastAsia="仿宋_GB2312" w:cs="Times New Roman"/>
                <w:kern w:val="0"/>
                <w:sz w:val="24"/>
              </w:rPr>
              <w:t>会议费</w:t>
            </w:r>
          </w:p>
        </w:tc>
        <w:tc>
          <w:tcPr>
            <w:tcW w:w="1022" w:type="pct"/>
            <w:tcBorders>
              <w:top w:val="single" w:color="auto" w:sz="4" w:space="0"/>
              <w:left w:val="single" w:color="auto" w:sz="4" w:space="0"/>
              <w:bottom w:val="single" w:color="auto" w:sz="4" w:space="0"/>
              <w:right w:val="single" w:color="auto" w:sz="4" w:space="0"/>
            </w:tcBorders>
            <w:vAlign w:val="center"/>
          </w:tcPr>
          <w:p w14:paraId="62066A4F">
            <w:pPr>
              <w:widowControl/>
              <w:jc w:val="center"/>
              <w:textAlignment w:val="center"/>
              <w:rPr>
                <w:rFonts w:ascii="仿宋_GB2312" w:hAnsi="Times New Roman" w:eastAsia="仿宋_GB2312" w:cs="Times New Roman"/>
                <w:kern w:val="0"/>
                <w:sz w:val="24"/>
              </w:rPr>
            </w:pPr>
            <w:r>
              <w:rPr>
                <w:rFonts w:ascii="仿宋_GB2312" w:hAnsi="Times New Roman" w:eastAsia="仿宋_GB2312" w:cs="Times New Roman"/>
                <w:kern w:val="0"/>
                <w:sz w:val="24"/>
              </w:rPr>
              <w:t>6.96</w:t>
            </w:r>
          </w:p>
        </w:tc>
        <w:tc>
          <w:tcPr>
            <w:tcW w:w="1023" w:type="pct"/>
            <w:tcBorders>
              <w:top w:val="single" w:color="auto" w:sz="4" w:space="0"/>
              <w:left w:val="single" w:color="auto" w:sz="4" w:space="0"/>
              <w:bottom w:val="single" w:color="auto" w:sz="4" w:space="0"/>
              <w:right w:val="single" w:color="auto" w:sz="4" w:space="0"/>
            </w:tcBorders>
            <w:vAlign w:val="center"/>
          </w:tcPr>
          <w:p w14:paraId="4147CF22">
            <w:pPr>
              <w:widowControl/>
              <w:jc w:val="center"/>
              <w:textAlignment w:val="center"/>
              <w:rPr>
                <w:rFonts w:ascii="仿宋_GB2312" w:hAnsi="Times New Roman" w:eastAsia="仿宋_GB2312" w:cs="Times New Roman"/>
                <w:kern w:val="0"/>
                <w:sz w:val="24"/>
              </w:rPr>
            </w:pPr>
            <w:r>
              <w:rPr>
                <w:rFonts w:ascii="仿宋_GB2312" w:hAnsi="Times New Roman" w:eastAsia="仿宋_GB2312" w:cs="Times New Roman"/>
                <w:kern w:val="0"/>
                <w:sz w:val="24"/>
              </w:rPr>
              <w:t>14.20</w:t>
            </w:r>
          </w:p>
        </w:tc>
        <w:tc>
          <w:tcPr>
            <w:tcW w:w="1023" w:type="pct"/>
            <w:tcBorders>
              <w:top w:val="single" w:color="auto" w:sz="4" w:space="0"/>
              <w:left w:val="single" w:color="auto" w:sz="4" w:space="0"/>
              <w:bottom w:val="single" w:color="auto" w:sz="4" w:space="0"/>
              <w:right w:val="single" w:color="auto" w:sz="4" w:space="0"/>
            </w:tcBorders>
            <w:vAlign w:val="center"/>
          </w:tcPr>
          <w:p w14:paraId="37A34609">
            <w:pPr>
              <w:widowControl/>
              <w:jc w:val="center"/>
              <w:textAlignment w:val="center"/>
              <w:rPr>
                <w:rFonts w:ascii="仿宋_GB2312" w:hAnsi="Times New Roman" w:eastAsia="仿宋_GB2312" w:cs="Times New Roman"/>
                <w:kern w:val="0"/>
                <w:sz w:val="24"/>
              </w:rPr>
            </w:pPr>
            <w:r>
              <w:rPr>
                <w:rFonts w:hint="eastAsia" w:ascii="仿宋_GB2312" w:hAnsi="Times New Roman" w:eastAsia="仿宋_GB2312" w:cs="Times New Roman"/>
                <w:kern w:val="0"/>
                <w:sz w:val="24"/>
              </w:rPr>
              <w:t>9</w:t>
            </w:r>
            <w:r>
              <w:rPr>
                <w:rFonts w:ascii="仿宋_GB2312" w:hAnsi="Times New Roman" w:eastAsia="仿宋_GB2312" w:cs="Times New Roman"/>
                <w:kern w:val="0"/>
                <w:sz w:val="24"/>
              </w:rPr>
              <w:t>.75</w:t>
            </w:r>
          </w:p>
        </w:tc>
      </w:tr>
      <w:tr w14:paraId="588113CF">
        <w:tblPrEx>
          <w:tblBorders>
            <w:top w:val="single" w:color="auto" w:sz="12" w:space="0"/>
            <w:left w:val="single" w:color="auto" w:sz="12" w:space="0"/>
            <w:bottom w:val="single" w:color="auto" w:sz="12" w:space="0"/>
            <w:right w:val="single" w:color="auto" w:sz="12" w:space="0"/>
            <w:insideH w:val="dotted" w:color="auto" w:sz="4" w:space="0"/>
            <w:insideV w:val="dotted" w:color="auto" w:sz="4" w:space="0"/>
          </w:tblBorders>
          <w:tblCellMar>
            <w:top w:w="0" w:type="dxa"/>
            <w:left w:w="108" w:type="dxa"/>
            <w:bottom w:w="0" w:type="dxa"/>
            <w:right w:w="108" w:type="dxa"/>
          </w:tblCellMar>
        </w:tblPrEx>
        <w:trPr>
          <w:trHeight w:val="567" w:hRule="atLeast"/>
        </w:trPr>
        <w:tc>
          <w:tcPr>
            <w:tcW w:w="1932" w:type="pct"/>
            <w:tcBorders>
              <w:top w:val="single" w:color="auto" w:sz="4" w:space="0"/>
              <w:left w:val="single" w:color="auto" w:sz="4" w:space="0"/>
              <w:bottom w:val="single" w:color="auto" w:sz="4" w:space="0"/>
              <w:right w:val="single" w:color="auto" w:sz="4" w:space="0"/>
            </w:tcBorders>
            <w:vAlign w:val="center"/>
          </w:tcPr>
          <w:p w14:paraId="0EAB4EB0">
            <w:pPr>
              <w:widowControl/>
              <w:jc w:val="center"/>
              <w:textAlignment w:val="center"/>
              <w:rPr>
                <w:rFonts w:ascii="仿宋_GB2312" w:hAnsi="Times New Roman" w:eastAsia="仿宋_GB2312" w:cs="Times New Roman"/>
                <w:sz w:val="24"/>
              </w:rPr>
            </w:pPr>
            <w:r>
              <w:rPr>
                <w:rFonts w:hint="eastAsia" w:ascii="仿宋_GB2312" w:hAnsi="Times New Roman" w:eastAsia="仿宋_GB2312" w:cs="Times New Roman"/>
                <w:kern w:val="0"/>
                <w:sz w:val="24"/>
              </w:rPr>
              <w:t>培训费</w:t>
            </w:r>
          </w:p>
        </w:tc>
        <w:tc>
          <w:tcPr>
            <w:tcW w:w="1022" w:type="pct"/>
            <w:tcBorders>
              <w:top w:val="single" w:color="auto" w:sz="4" w:space="0"/>
              <w:left w:val="single" w:color="auto" w:sz="4" w:space="0"/>
              <w:bottom w:val="single" w:color="auto" w:sz="4" w:space="0"/>
              <w:right w:val="single" w:color="auto" w:sz="4" w:space="0"/>
            </w:tcBorders>
            <w:vAlign w:val="center"/>
          </w:tcPr>
          <w:p w14:paraId="2CDA0002">
            <w:pPr>
              <w:widowControl/>
              <w:jc w:val="center"/>
              <w:textAlignment w:val="center"/>
              <w:rPr>
                <w:rFonts w:ascii="仿宋_GB2312" w:hAnsi="Times New Roman" w:eastAsia="仿宋_GB2312" w:cs="Times New Roman"/>
                <w:kern w:val="0"/>
                <w:sz w:val="24"/>
              </w:rPr>
            </w:pPr>
            <w:r>
              <w:rPr>
                <w:rFonts w:ascii="仿宋_GB2312" w:hAnsi="Times New Roman" w:eastAsia="仿宋_GB2312" w:cs="Times New Roman"/>
                <w:kern w:val="0"/>
                <w:sz w:val="24"/>
              </w:rPr>
              <w:t>14.85</w:t>
            </w:r>
          </w:p>
        </w:tc>
        <w:tc>
          <w:tcPr>
            <w:tcW w:w="1023" w:type="pct"/>
            <w:tcBorders>
              <w:top w:val="single" w:color="auto" w:sz="4" w:space="0"/>
              <w:left w:val="single" w:color="auto" w:sz="4" w:space="0"/>
              <w:bottom w:val="single" w:color="auto" w:sz="4" w:space="0"/>
              <w:right w:val="single" w:color="auto" w:sz="4" w:space="0"/>
            </w:tcBorders>
            <w:vAlign w:val="center"/>
          </w:tcPr>
          <w:p w14:paraId="34DF86DF">
            <w:pPr>
              <w:widowControl/>
              <w:jc w:val="center"/>
              <w:textAlignment w:val="center"/>
              <w:rPr>
                <w:rFonts w:ascii="仿宋_GB2312" w:hAnsi="Times New Roman" w:eastAsia="仿宋_GB2312" w:cs="Times New Roman"/>
                <w:kern w:val="0"/>
                <w:sz w:val="24"/>
              </w:rPr>
            </w:pPr>
            <w:r>
              <w:rPr>
                <w:rFonts w:ascii="仿宋_GB2312" w:hAnsi="Times New Roman" w:eastAsia="仿宋_GB2312" w:cs="Times New Roman"/>
                <w:kern w:val="0"/>
                <w:sz w:val="24"/>
              </w:rPr>
              <w:t>0.35</w:t>
            </w:r>
          </w:p>
        </w:tc>
        <w:tc>
          <w:tcPr>
            <w:tcW w:w="1023" w:type="pct"/>
            <w:tcBorders>
              <w:top w:val="single" w:color="auto" w:sz="4" w:space="0"/>
              <w:left w:val="single" w:color="auto" w:sz="4" w:space="0"/>
              <w:bottom w:val="single" w:color="auto" w:sz="4" w:space="0"/>
              <w:right w:val="single" w:color="auto" w:sz="4" w:space="0"/>
            </w:tcBorders>
            <w:vAlign w:val="center"/>
          </w:tcPr>
          <w:p w14:paraId="63D5D78C">
            <w:pPr>
              <w:widowControl/>
              <w:jc w:val="center"/>
              <w:textAlignment w:val="center"/>
              <w:rPr>
                <w:rFonts w:ascii="仿宋_GB2312" w:hAnsi="Times New Roman" w:eastAsia="仿宋_GB2312" w:cs="Times New Roman"/>
                <w:kern w:val="0"/>
                <w:sz w:val="24"/>
              </w:rPr>
            </w:pPr>
            <w:r>
              <w:rPr>
                <w:rFonts w:ascii="仿宋_GB2312" w:hAnsi="Times New Roman" w:eastAsia="仿宋_GB2312" w:cs="Times New Roman"/>
                <w:kern w:val="0"/>
                <w:sz w:val="24"/>
              </w:rPr>
              <w:t>13.04</w:t>
            </w:r>
          </w:p>
        </w:tc>
      </w:tr>
      <w:tr w14:paraId="41E6B06A">
        <w:tblPrEx>
          <w:tblBorders>
            <w:top w:val="single" w:color="auto" w:sz="12" w:space="0"/>
            <w:left w:val="single" w:color="auto" w:sz="12" w:space="0"/>
            <w:bottom w:val="single" w:color="auto" w:sz="12" w:space="0"/>
            <w:right w:val="single" w:color="auto" w:sz="12" w:space="0"/>
            <w:insideH w:val="dotted" w:color="auto" w:sz="4" w:space="0"/>
            <w:insideV w:val="dotted" w:color="auto" w:sz="4" w:space="0"/>
          </w:tblBorders>
          <w:tblCellMar>
            <w:top w:w="0" w:type="dxa"/>
            <w:left w:w="108" w:type="dxa"/>
            <w:bottom w:w="0" w:type="dxa"/>
            <w:right w:w="108" w:type="dxa"/>
          </w:tblCellMar>
        </w:tblPrEx>
        <w:trPr>
          <w:trHeight w:val="567" w:hRule="atLeast"/>
        </w:trPr>
        <w:tc>
          <w:tcPr>
            <w:tcW w:w="1932" w:type="pct"/>
            <w:tcBorders>
              <w:top w:val="single" w:color="auto" w:sz="4" w:space="0"/>
              <w:left w:val="single" w:color="auto" w:sz="4" w:space="0"/>
              <w:bottom w:val="single" w:color="auto" w:sz="4" w:space="0"/>
              <w:right w:val="single" w:color="auto" w:sz="4" w:space="0"/>
            </w:tcBorders>
            <w:vAlign w:val="center"/>
          </w:tcPr>
          <w:p w14:paraId="7E8AA7EA">
            <w:pPr>
              <w:widowControl/>
              <w:jc w:val="center"/>
              <w:textAlignment w:val="center"/>
              <w:rPr>
                <w:rFonts w:ascii="仿宋_GB2312" w:hAnsi="Times New Roman" w:eastAsia="仿宋_GB2312" w:cs="Times New Roman"/>
                <w:kern w:val="0"/>
                <w:sz w:val="24"/>
              </w:rPr>
            </w:pPr>
            <w:r>
              <w:rPr>
                <w:rFonts w:hint="eastAsia" w:ascii="仿宋_GB2312" w:hAnsi="Times New Roman" w:eastAsia="仿宋_GB2312" w:cs="Times New Roman"/>
                <w:kern w:val="0"/>
                <w:sz w:val="24"/>
              </w:rPr>
              <w:t>合计</w:t>
            </w:r>
          </w:p>
        </w:tc>
        <w:tc>
          <w:tcPr>
            <w:tcW w:w="1022" w:type="pct"/>
            <w:tcBorders>
              <w:top w:val="single" w:color="auto" w:sz="4" w:space="0"/>
              <w:left w:val="single" w:color="auto" w:sz="4" w:space="0"/>
              <w:bottom w:val="single" w:color="auto" w:sz="4" w:space="0"/>
              <w:right w:val="single" w:color="auto" w:sz="4" w:space="0"/>
            </w:tcBorders>
            <w:vAlign w:val="center"/>
          </w:tcPr>
          <w:p w14:paraId="6F734E52">
            <w:pPr>
              <w:widowControl/>
              <w:jc w:val="center"/>
              <w:textAlignment w:val="center"/>
              <w:rPr>
                <w:rFonts w:ascii="仿宋_GB2312" w:hAnsi="Times New Roman" w:eastAsia="仿宋_GB2312" w:cs="Times New Roman"/>
                <w:kern w:val="0"/>
                <w:sz w:val="24"/>
              </w:rPr>
            </w:pPr>
            <w:r>
              <w:rPr>
                <w:rFonts w:ascii="仿宋_GB2312" w:hAnsi="Times New Roman" w:eastAsia="仿宋_GB2312" w:cs="Times New Roman"/>
                <w:kern w:val="0"/>
                <w:sz w:val="24"/>
              </w:rPr>
              <w:t>155.51</w:t>
            </w:r>
          </w:p>
        </w:tc>
        <w:tc>
          <w:tcPr>
            <w:tcW w:w="1023" w:type="pct"/>
            <w:tcBorders>
              <w:top w:val="single" w:color="auto" w:sz="4" w:space="0"/>
              <w:left w:val="single" w:color="auto" w:sz="4" w:space="0"/>
              <w:bottom w:val="single" w:color="auto" w:sz="4" w:space="0"/>
              <w:right w:val="single" w:color="auto" w:sz="4" w:space="0"/>
            </w:tcBorders>
            <w:vAlign w:val="center"/>
          </w:tcPr>
          <w:p w14:paraId="28B1A005">
            <w:pPr>
              <w:widowControl/>
              <w:jc w:val="center"/>
              <w:textAlignment w:val="center"/>
              <w:rPr>
                <w:rFonts w:ascii="仿宋_GB2312" w:hAnsi="Times New Roman" w:eastAsia="仿宋_GB2312" w:cs="Times New Roman"/>
                <w:kern w:val="0"/>
                <w:sz w:val="24"/>
              </w:rPr>
            </w:pPr>
            <w:r>
              <w:rPr>
                <w:rFonts w:ascii="仿宋_GB2312" w:hAnsi="Times New Roman" w:eastAsia="仿宋_GB2312" w:cs="Times New Roman"/>
                <w:kern w:val="0"/>
                <w:sz w:val="24"/>
              </w:rPr>
              <w:t>98.95</w:t>
            </w:r>
          </w:p>
        </w:tc>
        <w:tc>
          <w:tcPr>
            <w:tcW w:w="1023" w:type="pct"/>
            <w:tcBorders>
              <w:top w:val="single" w:color="auto" w:sz="4" w:space="0"/>
              <w:left w:val="single" w:color="auto" w:sz="4" w:space="0"/>
              <w:bottom w:val="single" w:color="auto" w:sz="4" w:space="0"/>
              <w:right w:val="single" w:color="auto" w:sz="4" w:space="0"/>
            </w:tcBorders>
            <w:vAlign w:val="center"/>
          </w:tcPr>
          <w:p w14:paraId="5B07C39D">
            <w:pPr>
              <w:widowControl/>
              <w:jc w:val="center"/>
              <w:textAlignment w:val="center"/>
              <w:rPr>
                <w:rFonts w:ascii="仿宋_GB2312" w:hAnsi="Times New Roman" w:eastAsia="仿宋_GB2312" w:cs="Times New Roman"/>
                <w:kern w:val="0"/>
                <w:sz w:val="24"/>
              </w:rPr>
            </w:pPr>
            <w:r>
              <w:rPr>
                <w:rFonts w:ascii="仿宋_GB2312" w:hAnsi="Times New Roman" w:eastAsia="仿宋_GB2312" w:cs="Times New Roman"/>
                <w:kern w:val="0"/>
                <w:sz w:val="24"/>
              </w:rPr>
              <w:t>80.37</w:t>
            </w:r>
          </w:p>
        </w:tc>
      </w:tr>
    </w:tbl>
    <w:p w14:paraId="2777C681">
      <w:pPr>
        <w:pStyle w:val="30"/>
        <w:spacing w:line="560" w:lineRule="exact"/>
        <w:rPr>
          <w:rFonts w:hAnsi="Times New Roman" w:cs="Times New Roman"/>
          <w:bCs/>
          <w:szCs w:val="32"/>
        </w:rPr>
      </w:pPr>
      <w:r>
        <w:rPr>
          <w:rFonts w:hint="eastAsia" w:hAnsi="Times New Roman" w:cs="Times New Roman"/>
          <w:bCs/>
          <w:szCs w:val="32"/>
        </w:rPr>
        <w:t>（4）项目支出预决算情况</w:t>
      </w:r>
    </w:p>
    <w:p w14:paraId="7590C3C9">
      <w:pPr>
        <w:pStyle w:val="30"/>
        <w:spacing w:line="560" w:lineRule="exact"/>
      </w:pPr>
      <w:r>
        <w:rPr>
          <w:rFonts w:hint="eastAsia" w:hAnsi="Times New Roman" w:cs="Times New Roman"/>
          <w:szCs w:val="32"/>
        </w:rPr>
        <w:t>市生态环境局2025年共有</w:t>
      </w:r>
      <w:r>
        <w:rPr>
          <w:rFonts w:hAnsi="Times New Roman" w:cs="Times New Roman"/>
          <w:szCs w:val="32"/>
        </w:rPr>
        <w:t>42</w:t>
      </w:r>
      <w:r>
        <w:rPr>
          <w:rFonts w:hint="eastAsia" w:hAnsi="Times New Roman" w:cs="Times New Roman"/>
          <w:szCs w:val="32"/>
        </w:rPr>
        <w:t>个项目支出，年初预算数为</w:t>
      </w:r>
      <w:r>
        <w:rPr>
          <w:rFonts w:hAnsi="Times New Roman" w:cs="Times New Roman"/>
          <w:szCs w:val="32"/>
        </w:rPr>
        <w:t>11,250.70</w:t>
      </w:r>
      <w:r>
        <w:rPr>
          <w:rFonts w:hint="eastAsia" w:hAnsi="Times New Roman" w:cs="Times New Roman"/>
          <w:szCs w:val="32"/>
        </w:rPr>
        <w:t>万元，全年预算数为</w:t>
      </w:r>
      <w:r>
        <w:rPr>
          <w:rFonts w:hAnsi="Times New Roman" w:cs="Times New Roman"/>
          <w:szCs w:val="32"/>
        </w:rPr>
        <w:t>24,027.71</w:t>
      </w:r>
      <w:r>
        <w:rPr>
          <w:rFonts w:hint="eastAsia" w:hAnsi="Times New Roman" w:cs="Times New Roman"/>
          <w:szCs w:val="32"/>
        </w:rPr>
        <w:t>万元，实际执行</w:t>
      </w:r>
      <w:r>
        <w:rPr>
          <w:rFonts w:hAnsi="Times New Roman" w:cs="Times New Roman"/>
          <w:szCs w:val="32"/>
        </w:rPr>
        <w:t>15,35</w:t>
      </w:r>
      <w:r>
        <w:rPr>
          <w:rFonts w:hint="eastAsia" w:hAnsi="Times New Roman" w:cs="Times New Roman"/>
          <w:szCs w:val="32"/>
        </w:rPr>
        <w:t>9.71万元，预算执行率为</w:t>
      </w:r>
      <w:r>
        <w:rPr>
          <w:rFonts w:hAnsi="Times New Roman" w:cs="Times New Roman"/>
          <w:szCs w:val="32"/>
        </w:rPr>
        <w:t>63.92%</w:t>
      </w:r>
      <w:r>
        <w:rPr>
          <w:rFonts w:hint="eastAsia" w:hAnsi="Times New Roman" w:cs="Times New Roman"/>
          <w:szCs w:val="32"/>
        </w:rPr>
        <w:t>。</w:t>
      </w:r>
    </w:p>
    <w:p w14:paraId="717159E1">
      <w:pPr>
        <w:pStyle w:val="30"/>
        <w:spacing w:line="560" w:lineRule="exact"/>
      </w:pPr>
      <w:r>
        <w:rPr>
          <w:rFonts w:hint="eastAsia"/>
        </w:rPr>
        <w:t>4.对下转移支付管理</w:t>
      </w:r>
    </w:p>
    <w:p w14:paraId="150EAC79">
      <w:pPr>
        <w:pStyle w:val="56"/>
        <w:spacing w:line="560" w:lineRule="exact"/>
        <w:ind w:firstLine="640" w:firstLineChars="200"/>
        <w:rPr>
          <w:rFonts w:ascii="仿宋_GB2312" w:hAnsi="Times New Roman" w:eastAsia="仿宋_GB2312" w:cs="Times New Roman"/>
          <w:sz w:val="32"/>
          <w:szCs w:val="32"/>
        </w:rPr>
      </w:pPr>
      <w:r>
        <w:rPr>
          <w:rFonts w:hint="eastAsia" w:ascii="仿宋_GB2312" w:hAnsi="Times New Roman" w:eastAsia="仿宋_GB2312" w:cs="Times New Roman"/>
          <w:sz w:val="32"/>
          <w:szCs w:val="32"/>
        </w:rPr>
        <w:t>2025年市生态环境局对下转移支付资金合计</w:t>
      </w:r>
      <w:r>
        <w:rPr>
          <w:rFonts w:ascii="仿宋_GB2312" w:hAnsi="Times New Roman" w:eastAsia="仿宋_GB2312" w:cs="Times New Roman"/>
          <w:sz w:val="32"/>
          <w:szCs w:val="32"/>
        </w:rPr>
        <w:t>31,506.42</w:t>
      </w:r>
      <w:r>
        <w:rPr>
          <w:rFonts w:hint="eastAsia" w:ascii="仿宋_GB2312" w:hAnsi="Times New Roman" w:eastAsia="仿宋_GB2312" w:cs="Times New Roman"/>
          <w:sz w:val="32"/>
          <w:szCs w:val="32"/>
        </w:rPr>
        <w:t>万元，包括胶州市南胶莱河水质提升及生态修复项目、平度市泽河下游生态修复水质改善工程、青岛市供暖燃煤锅炉清洁替代补贴、青岛市国三及以下排放标准非营运柴油货车淘汰项目等2</w:t>
      </w:r>
      <w:r>
        <w:rPr>
          <w:rFonts w:ascii="仿宋_GB2312" w:hAnsi="Times New Roman" w:eastAsia="仿宋_GB2312" w:cs="Times New Roman"/>
          <w:sz w:val="32"/>
          <w:szCs w:val="32"/>
        </w:rPr>
        <w:t>4</w:t>
      </w:r>
      <w:r>
        <w:rPr>
          <w:rFonts w:hint="eastAsia" w:ascii="仿宋_GB2312" w:hAnsi="Times New Roman" w:eastAsia="仿宋_GB2312" w:cs="Times New Roman"/>
          <w:sz w:val="32"/>
          <w:szCs w:val="32"/>
        </w:rPr>
        <w:t>个项目。市生态环境局制定财务管理办法，规范转移支付全流程管控，明确资金分配、申报备案、项目评审等全链条管理要求。主要采取生态补偿、因素法等方式分配，对确需按项目分配的专项资金，通过科学论证、专家评审等方式确定，确保资金分配的规范性、合理性。在使用监管上，各分局根据辖区实际，按照规定用途和方向安排资金，并将资金使用方案及绩效目标报市局备案。市本级环保专项资金严格遵照部门预算管理各项规定执行，实现上下级环保专项资金统一标准化管理。</w:t>
      </w:r>
    </w:p>
    <w:p w14:paraId="22965BCB">
      <w:pPr>
        <w:pStyle w:val="30"/>
        <w:spacing w:line="560" w:lineRule="exact"/>
      </w:pPr>
      <w:r>
        <w:rPr>
          <w:rFonts w:hint="eastAsia"/>
        </w:rPr>
        <w:t>5.部门政府采购情况</w:t>
      </w:r>
    </w:p>
    <w:p w14:paraId="1A335579">
      <w:pPr>
        <w:pStyle w:val="30"/>
        <w:spacing w:line="560" w:lineRule="exact"/>
        <w:rPr>
          <w:rFonts w:hAnsi="Times New Roman" w:cs="Times New Roman"/>
          <w:szCs w:val="32"/>
        </w:rPr>
      </w:pPr>
      <w:r>
        <w:rPr>
          <w:rFonts w:hint="eastAsia" w:hAnsi="Times New Roman" w:cs="Times New Roman"/>
          <w:szCs w:val="32"/>
        </w:rPr>
        <w:t>市生态环境局2025年政府采购年初预算数为</w:t>
      </w:r>
      <w:r>
        <w:rPr>
          <w:rFonts w:hAnsi="Times New Roman" w:cs="Times New Roman"/>
          <w:szCs w:val="32"/>
        </w:rPr>
        <w:t>9,124.43</w:t>
      </w:r>
      <w:r>
        <w:rPr>
          <w:rFonts w:hint="eastAsia" w:hAnsi="Times New Roman" w:cs="Times New Roman"/>
          <w:szCs w:val="32"/>
        </w:rPr>
        <w:t>万元，调整后预算数为</w:t>
      </w:r>
      <w:r>
        <w:rPr>
          <w:rFonts w:hAnsi="Times New Roman" w:cs="Times New Roman"/>
          <w:szCs w:val="32"/>
        </w:rPr>
        <w:t>14,517.95</w:t>
      </w:r>
      <w:r>
        <w:rPr>
          <w:rFonts w:hint="eastAsia" w:hAnsi="Times New Roman" w:cs="Times New Roman"/>
          <w:szCs w:val="32"/>
        </w:rPr>
        <w:t>万元，实际采购支出</w:t>
      </w:r>
      <w:r>
        <w:rPr>
          <w:rFonts w:hAnsi="Times New Roman" w:cs="Times New Roman"/>
          <w:szCs w:val="32"/>
        </w:rPr>
        <w:t>14,348.90</w:t>
      </w:r>
      <w:r>
        <w:rPr>
          <w:rFonts w:hint="eastAsia" w:hAnsi="Times New Roman" w:cs="Times New Roman"/>
          <w:szCs w:val="32"/>
        </w:rPr>
        <w:t>万元。</w:t>
      </w:r>
    </w:p>
    <w:p w14:paraId="16A97D82">
      <w:pPr>
        <w:pStyle w:val="30"/>
        <w:spacing w:line="560" w:lineRule="exact"/>
      </w:pPr>
      <w:r>
        <w:rPr>
          <w:rFonts w:hint="eastAsia"/>
        </w:rPr>
        <w:t>6.部门资产情况</w:t>
      </w:r>
    </w:p>
    <w:p w14:paraId="5AFD8CE4">
      <w:pPr>
        <w:pStyle w:val="30"/>
        <w:spacing w:line="560" w:lineRule="exact"/>
        <w:rPr>
          <w:rFonts w:hAnsi="Times New Roman" w:cs="Times New Roman"/>
        </w:rPr>
      </w:pPr>
      <w:r>
        <w:rPr>
          <w:rFonts w:hint="eastAsia" w:hAnsi="Times New Roman" w:cs="Times New Roman"/>
        </w:rPr>
        <w:t>根据部门资产负债表，截至2025年12月31日，市生态环境局部门资产总额为</w:t>
      </w:r>
      <w:r>
        <w:rPr>
          <w:rFonts w:hAnsi="Times New Roman" w:cs="Times New Roman"/>
        </w:rPr>
        <w:t>27,441.50</w:t>
      </w:r>
      <w:r>
        <w:rPr>
          <w:rFonts w:hint="eastAsia" w:hAnsi="Times New Roman" w:cs="Times New Roman"/>
        </w:rPr>
        <w:t>万元，包括：银行存款</w:t>
      </w:r>
      <w:r>
        <w:rPr>
          <w:rFonts w:hAnsi="Times New Roman" w:cs="Times New Roman"/>
        </w:rPr>
        <w:t>970.80</w:t>
      </w:r>
      <w:r>
        <w:rPr>
          <w:rFonts w:hint="eastAsia" w:hAnsi="Times New Roman" w:cs="Times New Roman"/>
        </w:rPr>
        <w:t>万元，占比</w:t>
      </w:r>
      <w:r>
        <w:rPr>
          <w:rFonts w:hAnsi="Times New Roman" w:cs="Times New Roman"/>
        </w:rPr>
        <w:t>3.54%</w:t>
      </w:r>
      <w:r>
        <w:rPr>
          <w:rFonts w:hint="eastAsia" w:hAnsi="Times New Roman" w:cs="Times New Roman"/>
        </w:rPr>
        <w:t>；预付账款</w:t>
      </w:r>
      <w:r>
        <w:rPr>
          <w:rFonts w:hAnsi="Times New Roman" w:cs="Times New Roman"/>
        </w:rPr>
        <w:t>9,449.59</w:t>
      </w:r>
      <w:r>
        <w:rPr>
          <w:rFonts w:hint="eastAsia" w:hAnsi="Times New Roman" w:cs="Times New Roman"/>
        </w:rPr>
        <w:t>万元，占比</w:t>
      </w:r>
      <w:r>
        <w:rPr>
          <w:rFonts w:hAnsi="Times New Roman" w:cs="Times New Roman"/>
        </w:rPr>
        <w:t>34.44%</w:t>
      </w:r>
      <w:r>
        <w:rPr>
          <w:rFonts w:hint="eastAsia" w:hAnsi="Times New Roman" w:cs="Times New Roman"/>
        </w:rPr>
        <w:t>；其他应收款1</w:t>
      </w:r>
      <w:r>
        <w:rPr>
          <w:rFonts w:hAnsi="Times New Roman" w:cs="Times New Roman"/>
        </w:rPr>
        <w:t>41.05</w:t>
      </w:r>
      <w:r>
        <w:rPr>
          <w:rFonts w:hint="eastAsia" w:hAnsi="Times New Roman" w:cs="Times New Roman"/>
        </w:rPr>
        <w:t>万元，占比0</w:t>
      </w:r>
      <w:r>
        <w:rPr>
          <w:rFonts w:hAnsi="Times New Roman" w:cs="Times New Roman"/>
        </w:rPr>
        <w:t>.51%</w:t>
      </w:r>
      <w:r>
        <w:rPr>
          <w:rFonts w:hint="eastAsia" w:hAnsi="Times New Roman" w:cs="Times New Roman"/>
        </w:rPr>
        <w:t>；固定资产净值</w:t>
      </w:r>
      <w:r>
        <w:rPr>
          <w:rFonts w:hAnsi="Times New Roman" w:cs="Times New Roman"/>
        </w:rPr>
        <w:t>12,319.03</w:t>
      </w:r>
      <w:r>
        <w:rPr>
          <w:rFonts w:hint="eastAsia" w:hAnsi="Times New Roman" w:cs="Times New Roman"/>
        </w:rPr>
        <w:t>万元，占比4</w:t>
      </w:r>
      <w:r>
        <w:rPr>
          <w:rFonts w:hAnsi="Times New Roman" w:cs="Times New Roman"/>
        </w:rPr>
        <w:t>4.89%</w:t>
      </w:r>
      <w:r>
        <w:rPr>
          <w:rFonts w:hint="eastAsia" w:hAnsi="Times New Roman" w:cs="Times New Roman"/>
        </w:rPr>
        <w:t>；在建工程</w:t>
      </w:r>
      <w:r>
        <w:rPr>
          <w:rFonts w:hAnsi="Times New Roman" w:cs="Times New Roman"/>
        </w:rPr>
        <w:t>1,787.21</w:t>
      </w:r>
      <w:r>
        <w:rPr>
          <w:rFonts w:hint="eastAsia" w:hAnsi="Times New Roman" w:cs="Times New Roman"/>
        </w:rPr>
        <w:t>万元，占比6</w:t>
      </w:r>
      <w:r>
        <w:rPr>
          <w:rFonts w:hAnsi="Times New Roman" w:cs="Times New Roman"/>
        </w:rPr>
        <w:t>.51%</w:t>
      </w:r>
      <w:r>
        <w:rPr>
          <w:rFonts w:hint="eastAsia" w:hAnsi="Times New Roman" w:cs="Times New Roman"/>
        </w:rPr>
        <w:t>；无形资产净值</w:t>
      </w:r>
      <w:r>
        <w:rPr>
          <w:rFonts w:hAnsi="Times New Roman" w:cs="Times New Roman"/>
        </w:rPr>
        <w:t>2,773.82</w:t>
      </w:r>
      <w:r>
        <w:rPr>
          <w:rFonts w:hint="eastAsia" w:hAnsi="Times New Roman" w:cs="Times New Roman"/>
        </w:rPr>
        <w:t>万元，占比1</w:t>
      </w:r>
      <w:r>
        <w:rPr>
          <w:rFonts w:hAnsi="Times New Roman" w:cs="Times New Roman"/>
        </w:rPr>
        <w:t>0.11%</w:t>
      </w:r>
      <w:r>
        <w:rPr>
          <w:rFonts w:hint="eastAsia" w:hAnsi="Times New Roman" w:cs="Times New Roman"/>
        </w:rPr>
        <w:t>。</w:t>
      </w:r>
    </w:p>
    <w:p w14:paraId="1D02BA20">
      <w:pPr>
        <w:pStyle w:val="40"/>
        <w:spacing w:line="560" w:lineRule="exact"/>
      </w:pPr>
      <w:bookmarkStart w:id="4" w:name="_Toc238561291"/>
      <w:r>
        <w:rPr>
          <w:rFonts w:hint="eastAsia"/>
        </w:rPr>
        <w:t>（二）部门整体绩效目标</w:t>
      </w:r>
      <w:bookmarkEnd w:id="4"/>
    </w:p>
    <w:p w14:paraId="081207D6">
      <w:pPr>
        <w:pStyle w:val="42"/>
        <w:spacing w:line="560" w:lineRule="exact"/>
        <w:outlineLvl w:val="9"/>
        <w:rPr>
          <w:rFonts w:hAnsi="Times New Roman" w:cs="Times New Roman"/>
        </w:rPr>
      </w:pPr>
      <w:bookmarkStart w:id="5" w:name="OLE_LINK14"/>
      <w:bookmarkStart w:id="6" w:name="OLE_LINK15"/>
      <w:r>
        <w:rPr>
          <w:rFonts w:hint="eastAsia" w:hAnsi="Times New Roman" w:cs="Times New Roman"/>
        </w:rPr>
        <w:t>根据市生态环境局2025年度部门整体支出绩效目标表，共设置职责履行、履职效能和满意度三个一级指标。职责履行包括分析颗粒物组分样品数量266个、噪声自动监测点位设备正常使用率≥95%、水样监测报告等通过率≥95%等；履职效能包括环境空气质量颗粒物浓度达到国家二级标准、重点建设用地得到安全利用≥95%等社会效益指标和市区环境空气质量优良率≥80%、省控河流断面水质达标率100%等生态效益指标；满意度指标包括购买服务人员满意度≥90%、相关技术、数据使用人员满意度≥80%。</w:t>
      </w:r>
      <w:bookmarkEnd w:id="5"/>
      <w:bookmarkEnd w:id="6"/>
    </w:p>
    <w:p w14:paraId="733AA21D">
      <w:pPr>
        <w:pStyle w:val="40"/>
        <w:spacing w:line="560" w:lineRule="exact"/>
      </w:pPr>
      <w:bookmarkStart w:id="7" w:name="_Toc238561292"/>
      <w:r>
        <w:rPr>
          <w:rFonts w:hint="eastAsia"/>
        </w:rPr>
        <w:t>（三）部门重点工作任务和实施情况</w:t>
      </w:r>
      <w:bookmarkEnd w:id="7"/>
    </w:p>
    <w:p w14:paraId="39229DC0">
      <w:pPr>
        <w:pStyle w:val="30"/>
        <w:spacing w:line="560" w:lineRule="exact"/>
      </w:pPr>
      <w:r>
        <w:rPr>
          <w:rFonts w:hint="eastAsia" w:cs="Times New Roman"/>
          <w:bCs/>
        </w:rPr>
        <w:t>2025年，市生态环境局统筹推进各项生态环境保护重点工作，从全力推进美丽青岛建设、持续深入打好蓝天、碧水、净土保卫战、全力服务绿色低碳高质量发展、切实维护生态环境安全六个方面完成3</w:t>
      </w:r>
      <w:r>
        <w:rPr>
          <w:rFonts w:cs="Times New Roman"/>
          <w:bCs/>
        </w:rPr>
        <w:t>0</w:t>
      </w:r>
      <w:r>
        <w:rPr>
          <w:rFonts w:hint="eastAsia" w:cs="Times New Roman"/>
          <w:bCs/>
        </w:rPr>
        <w:t>项任务，全方位夯实生态环境保护治理根基，助力区域生态环境高质量发展。</w:t>
      </w:r>
    </w:p>
    <w:p w14:paraId="04906B42">
      <w:pPr>
        <w:pStyle w:val="4"/>
      </w:pPr>
      <w:bookmarkStart w:id="8" w:name="_Toc238561293"/>
      <w:r>
        <w:rPr>
          <w:rFonts w:hint="eastAsia"/>
        </w:rPr>
        <w:t>二、评价组织实施</w:t>
      </w:r>
      <w:bookmarkEnd w:id="8"/>
    </w:p>
    <w:p w14:paraId="3CC607C3">
      <w:pPr>
        <w:pStyle w:val="40"/>
        <w:spacing w:line="560" w:lineRule="exact"/>
      </w:pPr>
      <w:bookmarkStart w:id="9" w:name="_Toc238561294"/>
      <w:r>
        <w:rPr>
          <w:rFonts w:hint="eastAsia"/>
        </w:rPr>
        <w:t>（一）评价目的、评价对象和范围</w:t>
      </w:r>
      <w:bookmarkEnd w:id="9"/>
    </w:p>
    <w:p w14:paraId="4CB2FBDC">
      <w:pPr>
        <w:pStyle w:val="40"/>
        <w:spacing w:line="560" w:lineRule="exact"/>
        <w:outlineLvl w:val="9"/>
        <w:rPr>
          <w:rFonts w:ascii="仿宋_GB2312" w:hAnsi="仿宋_GB2312" w:eastAsia="仿宋_GB2312" w:cs="仿宋_GB2312"/>
        </w:rPr>
      </w:pPr>
      <w:r>
        <w:rPr>
          <w:rFonts w:hint="eastAsia" w:ascii="仿宋_GB2312" w:hAnsi="仿宋_GB2312" w:eastAsia="仿宋_GB2312" w:cs="仿宋_GB2312"/>
        </w:rPr>
        <w:t>围绕部门职责、年度重点工作任务，结合“十四五”规划在2</w:t>
      </w:r>
      <w:r>
        <w:rPr>
          <w:rFonts w:ascii="仿宋_GB2312" w:hAnsi="仿宋_GB2312" w:eastAsia="仿宋_GB2312" w:cs="仿宋_GB2312"/>
        </w:rPr>
        <w:t>025</w:t>
      </w:r>
      <w:r>
        <w:rPr>
          <w:rFonts w:hint="eastAsia" w:ascii="仿宋_GB2312" w:hAnsi="仿宋_GB2312" w:eastAsia="仿宋_GB2312" w:cs="仿宋_GB2312"/>
        </w:rPr>
        <w:t>年末实现程度，全面梳理市生态环境局在财政资源配置、预算管理、绩效管理、部门履职效能、社会效应方面的情况，梳理项目管理中存在的薄弱环节，深入分析问题成因，提出可操作、可落地的改进措施与工作建议，进一步强化财政资金绩效管理，规范项目实施流程，优化资金配置与使用效率，推动生态环境保护工作提质增效。</w:t>
      </w:r>
    </w:p>
    <w:p w14:paraId="26FAB2E1">
      <w:pPr>
        <w:pStyle w:val="40"/>
        <w:spacing w:line="560" w:lineRule="exact"/>
        <w:outlineLvl w:val="9"/>
        <w:rPr>
          <w:rFonts w:ascii="仿宋_GB2312" w:hAnsi="仿宋_GB2312" w:eastAsia="仿宋_GB2312" w:cs="仿宋_GB2312"/>
        </w:rPr>
      </w:pPr>
      <w:r>
        <w:rPr>
          <w:rFonts w:hint="eastAsia" w:ascii="仿宋_GB2312" w:hAnsi="仿宋_GB2312" w:eastAsia="仿宋_GB2312" w:cs="仿宋_GB2312"/>
        </w:rPr>
        <w:t>评价期间为202</w:t>
      </w:r>
      <w:r>
        <w:rPr>
          <w:rFonts w:ascii="仿宋_GB2312" w:hAnsi="仿宋_GB2312" w:eastAsia="仿宋_GB2312" w:cs="仿宋_GB2312"/>
        </w:rPr>
        <w:t>5</w:t>
      </w:r>
      <w:r>
        <w:rPr>
          <w:rFonts w:hint="eastAsia" w:ascii="仿宋_GB2312" w:hAnsi="仿宋_GB2312" w:eastAsia="仿宋_GB2312" w:cs="仿宋_GB2312"/>
        </w:rPr>
        <w:t>年1月1日—12月31日，评价范围包括市生态环境局本级、各区（市）分局及其所属事业单位。</w:t>
      </w:r>
    </w:p>
    <w:p w14:paraId="50ECFAA4">
      <w:pPr>
        <w:pStyle w:val="40"/>
        <w:spacing w:line="560" w:lineRule="exact"/>
      </w:pPr>
      <w:bookmarkStart w:id="10" w:name="_Toc238561295"/>
      <w:r>
        <w:rPr>
          <w:rFonts w:hint="eastAsia"/>
        </w:rPr>
        <w:t>（二）评价思路、评价重点、评价方法和评价指标体系</w:t>
      </w:r>
      <w:bookmarkEnd w:id="10"/>
    </w:p>
    <w:p w14:paraId="2C31B4F9">
      <w:pPr>
        <w:pStyle w:val="30"/>
        <w:spacing w:line="560" w:lineRule="exact"/>
      </w:pPr>
      <w:r>
        <w:rPr>
          <w:rFonts w:hint="eastAsia"/>
        </w:rPr>
        <w:t>1.评价思路</w:t>
      </w:r>
    </w:p>
    <w:p w14:paraId="770F9452">
      <w:pPr>
        <w:pStyle w:val="30"/>
        <w:spacing w:line="560" w:lineRule="exact"/>
      </w:pPr>
      <w:r>
        <w:rPr>
          <w:rFonts w:hint="eastAsia"/>
        </w:rPr>
        <w:t>本次评价遵循科学规范、客观公正的原则，运用资料核查、比较法、实地勘察、调研访谈和综合研判法，以预算资金管理为主线，统筹考虑绩效管理和履职效能，围绕部门财政资源配置、预算管理、绩效管理、部门履职效能、社会效应五个方面，衡量部门和单位整体及核心业务实施效果。</w:t>
      </w:r>
    </w:p>
    <w:p w14:paraId="540C9157">
      <w:pPr>
        <w:pStyle w:val="30"/>
        <w:spacing w:line="560" w:lineRule="exact"/>
      </w:pPr>
      <w:r>
        <w:rPr>
          <w:rFonts w:hint="eastAsia"/>
        </w:rPr>
        <w:t>2.评价重点</w:t>
      </w:r>
    </w:p>
    <w:p w14:paraId="1B181CB1">
      <w:pPr>
        <w:pStyle w:val="30"/>
        <w:spacing w:line="560" w:lineRule="exact"/>
      </w:pPr>
      <w:r>
        <w:rPr>
          <w:rFonts w:hint="eastAsia"/>
        </w:rPr>
        <w:t>（1）财政资源配置：关注预算安排与部门职能匹配度、收入预算统筹及运行成本，评价部门预算安排和支出方向是否符合部门职责和重点任务要求，是否存在交叉重复，是否明确细化；各类收入是否依规纳入预算、是否落实过紧日子要求。</w:t>
      </w:r>
    </w:p>
    <w:p w14:paraId="42D1ADC0">
      <w:pPr>
        <w:pStyle w:val="30"/>
        <w:spacing w:line="560" w:lineRule="exact"/>
      </w:pPr>
      <w:r>
        <w:rPr>
          <w:rFonts w:hint="eastAsia"/>
        </w:rPr>
        <w:t>（2）预算管理：关注收入预算完成率、结转结余控制率、预决算信息公开、财会管理、政府采购管理、资产管理及转移支付资金管理等，评价收入完成情况、结余结转控制效果、财会、采购、资产管理的规范性以及转移支付资金分配、监管情况。</w:t>
      </w:r>
    </w:p>
    <w:p w14:paraId="7B7F6FDD">
      <w:pPr>
        <w:pStyle w:val="30"/>
        <w:spacing w:line="560" w:lineRule="exact"/>
      </w:pPr>
      <w:r>
        <w:rPr>
          <w:rFonts w:hint="eastAsia"/>
        </w:rPr>
        <w:t>（3）绩效管理：关注绩效目标管理、主体责任落实及结果应用，评价指标设置是否合理清晰，是否落实全面绩效管理要求，绩效评价结果是否有效应用。</w:t>
      </w:r>
    </w:p>
    <w:p w14:paraId="317B7939">
      <w:pPr>
        <w:pStyle w:val="30"/>
        <w:spacing w:line="560" w:lineRule="exact"/>
      </w:pPr>
      <w:r>
        <w:rPr>
          <w:rFonts w:hint="eastAsia"/>
        </w:rPr>
        <w:t>（4）部门履职效能：关注重点任务工作完成及重大政策项目绩效情况，评价年度重点任务工作完成情况、政策制定与执行有效性、自评得分合理性、是否存在低效无效项目，以及重大政策项目实际绩效。</w:t>
      </w:r>
    </w:p>
    <w:p w14:paraId="49ED578F">
      <w:pPr>
        <w:pStyle w:val="30"/>
        <w:spacing w:line="560" w:lineRule="exact"/>
      </w:pPr>
      <w:r>
        <w:rPr>
          <w:rFonts w:hint="eastAsia"/>
        </w:rPr>
        <w:t>（5）社会效应：关注社会公众或服务对象满意度，调查整体生态环境质量、重大项目治理成效等方面的满意情况。</w:t>
      </w:r>
    </w:p>
    <w:p w14:paraId="13620C35">
      <w:pPr>
        <w:pStyle w:val="30"/>
        <w:spacing w:line="560" w:lineRule="exact"/>
      </w:pPr>
      <w:r>
        <w:rPr>
          <w:rFonts w:hint="eastAsia"/>
        </w:rPr>
        <w:t>3.评价指标体系</w:t>
      </w:r>
    </w:p>
    <w:p w14:paraId="0823DE32">
      <w:pPr>
        <w:pStyle w:val="30"/>
        <w:spacing w:line="560" w:lineRule="exact"/>
      </w:pPr>
      <w:r>
        <w:rPr>
          <w:rFonts w:hint="eastAsia"/>
        </w:rPr>
        <w:t>本次绩效评价设置财政资源配置、预算管理、绩效管理、部门履职效能、社会效应五个一级指标，权重分别为1</w:t>
      </w:r>
      <w:r>
        <w:t>8</w:t>
      </w:r>
      <w:r>
        <w:rPr>
          <w:rFonts w:hint="eastAsia"/>
        </w:rPr>
        <w:t>分、3</w:t>
      </w:r>
      <w:r>
        <w:t>2</w:t>
      </w:r>
      <w:r>
        <w:rPr>
          <w:rFonts w:hint="eastAsia"/>
        </w:rPr>
        <w:t>分、1</w:t>
      </w:r>
      <w:r>
        <w:t>5</w:t>
      </w:r>
      <w:r>
        <w:rPr>
          <w:rFonts w:hint="eastAsia"/>
        </w:rPr>
        <w:t>分、2</w:t>
      </w:r>
      <w:r>
        <w:t>5</w:t>
      </w:r>
      <w:r>
        <w:rPr>
          <w:rFonts w:hint="eastAsia"/>
        </w:rPr>
        <w:t>分、1</w:t>
      </w:r>
      <w:r>
        <w:t>0</w:t>
      </w:r>
      <w:r>
        <w:rPr>
          <w:rFonts w:hint="eastAsia"/>
        </w:rPr>
        <w:t>分。评价结果分为四个等级：总分设置为1</w:t>
      </w:r>
      <w:r>
        <w:t>00</w:t>
      </w:r>
      <w:r>
        <w:rPr>
          <w:rFonts w:hint="eastAsia"/>
        </w:rPr>
        <w:t>分，90分（含）-</w:t>
      </w:r>
      <w:r>
        <w:t>100</w:t>
      </w:r>
      <w:r>
        <w:rPr>
          <w:rFonts w:hint="eastAsia"/>
        </w:rPr>
        <w:t>分为优，80分（含）-90分为良，60分（含）-80分为中，60分以下为差。</w:t>
      </w:r>
    </w:p>
    <w:p w14:paraId="78D45CAC">
      <w:pPr>
        <w:pStyle w:val="40"/>
        <w:spacing w:line="560" w:lineRule="exact"/>
      </w:pPr>
      <w:bookmarkStart w:id="11" w:name="_Toc238561296"/>
      <w:r>
        <w:rPr>
          <w:rFonts w:hint="eastAsia"/>
        </w:rPr>
        <w:t>（三）评价组织实施</w:t>
      </w:r>
      <w:bookmarkEnd w:id="11"/>
    </w:p>
    <w:p w14:paraId="1EB8CEB8">
      <w:pPr>
        <w:pStyle w:val="30"/>
        <w:spacing w:line="560" w:lineRule="exact"/>
      </w:pPr>
      <w:r>
        <w:rPr>
          <w:rFonts w:hint="eastAsia"/>
        </w:rPr>
        <w:t>本次评价由立信会计师事务所（特殊普通合伙）组建评价工作组（详见附件</w:t>
      </w:r>
      <w:r>
        <w:t>5</w:t>
      </w:r>
      <w:r>
        <w:rPr>
          <w:rFonts w:hint="eastAsia"/>
        </w:rPr>
        <w:t>）实施，从前期准备、中期现场评价与后期撰写报告三阶段推进评价工作。</w:t>
      </w:r>
    </w:p>
    <w:p w14:paraId="077EA05D">
      <w:pPr>
        <w:pStyle w:val="4"/>
        <w:spacing w:line="560" w:lineRule="exact"/>
      </w:pPr>
      <w:bookmarkStart w:id="12" w:name="_Toc238561297"/>
      <w:r>
        <w:rPr>
          <w:rFonts w:hint="eastAsia"/>
        </w:rPr>
        <w:t>三、评价结论及分析</w:t>
      </w:r>
      <w:bookmarkEnd w:id="12"/>
    </w:p>
    <w:p w14:paraId="75E59175">
      <w:pPr>
        <w:pStyle w:val="40"/>
        <w:spacing w:line="560" w:lineRule="exact"/>
      </w:pPr>
      <w:bookmarkStart w:id="13" w:name="_Toc238561298"/>
      <w:r>
        <w:rPr>
          <w:rFonts w:hint="eastAsia"/>
        </w:rPr>
        <w:t>（一）综合评价结论</w:t>
      </w:r>
      <w:bookmarkEnd w:id="13"/>
    </w:p>
    <w:p w14:paraId="16DC3A80">
      <w:pPr>
        <w:pStyle w:val="30"/>
        <w:spacing w:line="560" w:lineRule="exact"/>
      </w:pPr>
      <w:r>
        <w:rPr>
          <w:rFonts w:hint="eastAsia"/>
        </w:rPr>
        <w:t>市生态环境局部门整体支出绩效评价得分为</w:t>
      </w:r>
      <w:r>
        <w:t>87.63</w:t>
      </w:r>
      <w:r>
        <w:rPr>
          <w:rFonts w:hint="eastAsia"/>
        </w:rPr>
        <w:t>分，评价结果为“良”。具体情况如下：</w:t>
      </w:r>
    </w:p>
    <w:p w14:paraId="54655826">
      <w:pPr>
        <w:widowControl/>
        <w:overflowPunct w:val="0"/>
        <w:autoSpaceDE w:val="0"/>
        <w:autoSpaceDN w:val="0"/>
        <w:adjustRightInd w:val="0"/>
        <w:spacing w:line="560" w:lineRule="exact"/>
        <w:jc w:val="center"/>
        <w:textAlignment w:val="baseline"/>
        <w:rPr>
          <w:rFonts w:ascii="仿宋_GB2312" w:hAnsi="Times New Roman" w:eastAsia="仿宋_GB2312" w:cs="黑体"/>
          <w:kern w:val="0"/>
          <w:sz w:val="24"/>
          <w:szCs w:val="28"/>
        </w:rPr>
      </w:pPr>
      <w:r>
        <w:rPr>
          <w:rFonts w:hint="eastAsia" w:ascii="仿宋_GB2312" w:hAnsi="Times New Roman" w:eastAsia="仿宋_GB2312" w:cs="黑体"/>
          <w:kern w:val="0"/>
          <w:sz w:val="24"/>
          <w:szCs w:val="28"/>
        </w:rPr>
        <w:t>表</w:t>
      </w:r>
      <w:r>
        <w:rPr>
          <w:rFonts w:ascii="仿宋_GB2312" w:hAnsi="Times New Roman" w:eastAsia="仿宋_GB2312" w:cs="黑体"/>
          <w:kern w:val="0"/>
          <w:sz w:val="24"/>
          <w:szCs w:val="28"/>
        </w:rPr>
        <w:t>3-1</w:t>
      </w:r>
      <w:r>
        <w:rPr>
          <w:rFonts w:hint="eastAsia" w:ascii="仿宋_GB2312" w:hAnsi="Times New Roman" w:eastAsia="仿宋_GB2312" w:cs="黑体"/>
          <w:kern w:val="0"/>
          <w:sz w:val="24"/>
          <w:szCs w:val="28"/>
        </w:rPr>
        <w:t xml:space="preserve"> 202</w:t>
      </w:r>
      <w:r>
        <w:rPr>
          <w:rFonts w:ascii="仿宋_GB2312" w:hAnsi="Times New Roman" w:eastAsia="仿宋_GB2312" w:cs="黑体"/>
          <w:kern w:val="0"/>
          <w:sz w:val="24"/>
          <w:szCs w:val="28"/>
        </w:rPr>
        <w:t>5</w:t>
      </w:r>
      <w:r>
        <w:rPr>
          <w:rFonts w:hint="eastAsia" w:ascii="仿宋_GB2312" w:hAnsi="Times New Roman" w:eastAsia="仿宋_GB2312" w:cs="黑体"/>
          <w:kern w:val="0"/>
          <w:sz w:val="24"/>
          <w:szCs w:val="28"/>
        </w:rPr>
        <w:t>年青岛市生态环境局部门整体支出评价得分情况表</w:t>
      </w: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75"/>
        <w:gridCol w:w="1984"/>
        <w:gridCol w:w="1843"/>
        <w:gridCol w:w="1947"/>
      </w:tblGrid>
      <w:tr w14:paraId="588DB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trPr>
        <w:tc>
          <w:tcPr>
            <w:tcW w:w="2575" w:type="dxa"/>
            <w:shd w:val="clear" w:color="auto" w:fill="auto"/>
            <w:vAlign w:val="center"/>
          </w:tcPr>
          <w:p w14:paraId="025FA221">
            <w:pPr>
              <w:adjustRightInd w:val="0"/>
              <w:snapToGrid w:val="0"/>
              <w:jc w:val="center"/>
              <w:rPr>
                <w:rFonts w:ascii="仿宋_GB2312" w:hAnsi="Times New Roman" w:eastAsia="仿宋_GB2312" w:cs="宋体"/>
                <w:b/>
                <w:bCs/>
                <w:sz w:val="24"/>
              </w:rPr>
            </w:pPr>
            <w:r>
              <w:rPr>
                <w:rFonts w:hint="eastAsia" w:ascii="仿宋_GB2312" w:hAnsi="Times New Roman" w:eastAsia="仿宋_GB2312" w:cs="宋体"/>
                <w:b/>
                <w:bCs/>
                <w:sz w:val="24"/>
              </w:rPr>
              <w:t>一级指标</w:t>
            </w:r>
          </w:p>
        </w:tc>
        <w:tc>
          <w:tcPr>
            <w:tcW w:w="1984" w:type="dxa"/>
            <w:shd w:val="clear" w:color="auto" w:fill="auto"/>
            <w:vAlign w:val="center"/>
          </w:tcPr>
          <w:p w14:paraId="633C60ED">
            <w:pPr>
              <w:adjustRightInd w:val="0"/>
              <w:snapToGrid w:val="0"/>
              <w:jc w:val="center"/>
              <w:rPr>
                <w:rFonts w:ascii="仿宋_GB2312" w:hAnsi="Times New Roman" w:eastAsia="仿宋_GB2312" w:cs="宋体"/>
                <w:b/>
                <w:bCs/>
                <w:sz w:val="24"/>
              </w:rPr>
            </w:pPr>
            <w:r>
              <w:rPr>
                <w:rFonts w:hint="eastAsia" w:ascii="仿宋_GB2312" w:hAnsi="Times New Roman" w:eastAsia="仿宋_GB2312" w:cs="宋体"/>
                <w:b/>
                <w:bCs/>
                <w:sz w:val="24"/>
              </w:rPr>
              <w:t>指标分值</w:t>
            </w:r>
          </w:p>
        </w:tc>
        <w:tc>
          <w:tcPr>
            <w:tcW w:w="1843" w:type="dxa"/>
            <w:shd w:val="clear" w:color="auto" w:fill="auto"/>
            <w:vAlign w:val="center"/>
          </w:tcPr>
          <w:p w14:paraId="0CE72163">
            <w:pPr>
              <w:adjustRightInd w:val="0"/>
              <w:snapToGrid w:val="0"/>
              <w:jc w:val="center"/>
              <w:rPr>
                <w:rFonts w:ascii="仿宋_GB2312" w:hAnsi="Times New Roman" w:eastAsia="仿宋_GB2312" w:cs="宋体"/>
                <w:b/>
                <w:bCs/>
                <w:sz w:val="24"/>
              </w:rPr>
            </w:pPr>
            <w:r>
              <w:rPr>
                <w:rFonts w:hint="eastAsia" w:ascii="仿宋_GB2312" w:hAnsi="Times New Roman" w:eastAsia="仿宋_GB2312" w:cs="宋体"/>
                <w:b/>
                <w:bCs/>
                <w:sz w:val="24"/>
              </w:rPr>
              <w:t>得分</w:t>
            </w:r>
          </w:p>
        </w:tc>
        <w:tc>
          <w:tcPr>
            <w:tcW w:w="1947" w:type="dxa"/>
            <w:shd w:val="clear" w:color="auto" w:fill="auto"/>
            <w:vAlign w:val="center"/>
          </w:tcPr>
          <w:p w14:paraId="74FD17DC">
            <w:pPr>
              <w:adjustRightInd w:val="0"/>
              <w:snapToGrid w:val="0"/>
              <w:jc w:val="center"/>
              <w:rPr>
                <w:rFonts w:ascii="仿宋_GB2312" w:hAnsi="Times New Roman" w:eastAsia="仿宋_GB2312" w:cs="宋体"/>
                <w:b/>
                <w:bCs/>
                <w:sz w:val="24"/>
              </w:rPr>
            </w:pPr>
            <w:r>
              <w:rPr>
                <w:rFonts w:hint="eastAsia" w:ascii="仿宋_GB2312" w:hAnsi="Times New Roman" w:eastAsia="仿宋_GB2312" w:cs="宋体"/>
                <w:b/>
                <w:bCs/>
                <w:sz w:val="24"/>
              </w:rPr>
              <w:t>得分率</w:t>
            </w:r>
          </w:p>
        </w:tc>
      </w:tr>
      <w:tr w14:paraId="55B17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575" w:type="dxa"/>
            <w:shd w:val="clear" w:color="auto" w:fill="auto"/>
            <w:vAlign w:val="center"/>
          </w:tcPr>
          <w:p w14:paraId="7BFBEB45">
            <w:pPr>
              <w:adjustRightInd w:val="0"/>
              <w:snapToGrid w:val="0"/>
              <w:jc w:val="center"/>
              <w:rPr>
                <w:rFonts w:ascii="仿宋_GB2312" w:hAnsi="Times New Roman" w:eastAsia="仿宋_GB2312" w:cs="宋体"/>
                <w:sz w:val="24"/>
              </w:rPr>
            </w:pPr>
            <w:r>
              <w:rPr>
                <w:rFonts w:hint="eastAsia" w:ascii="仿宋_GB2312" w:hAnsi="Times New Roman" w:eastAsia="仿宋_GB2312" w:cs="宋体"/>
                <w:sz w:val="24"/>
              </w:rPr>
              <w:t>财政资源配置</w:t>
            </w:r>
          </w:p>
        </w:tc>
        <w:tc>
          <w:tcPr>
            <w:tcW w:w="1984" w:type="dxa"/>
            <w:shd w:val="clear" w:color="auto" w:fill="auto"/>
            <w:vAlign w:val="center"/>
          </w:tcPr>
          <w:p w14:paraId="6E733C03">
            <w:pPr>
              <w:widowControl/>
              <w:jc w:val="center"/>
              <w:textAlignment w:val="center"/>
              <w:rPr>
                <w:rFonts w:ascii="仿宋_GB2312" w:hAnsi="Times New Roman" w:eastAsia="仿宋_GB2312" w:cs="宋体"/>
                <w:sz w:val="24"/>
              </w:rPr>
            </w:pPr>
            <w:r>
              <w:rPr>
                <w:rFonts w:hint="eastAsia" w:ascii="仿宋_GB2312" w:hAnsi="Times New Roman" w:eastAsia="仿宋_GB2312" w:cs="Times New Roman"/>
                <w:kern w:val="0"/>
                <w:sz w:val="24"/>
              </w:rPr>
              <w:t xml:space="preserve">18.00 </w:t>
            </w:r>
          </w:p>
        </w:tc>
        <w:tc>
          <w:tcPr>
            <w:tcW w:w="1843" w:type="dxa"/>
            <w:shd w:val="clear" w:color="auto" w:fill="auto"/>
            <w:vAlign w:val="center"/>
          </w:tcPr>
          <w:p w14:paraId="7BC7FD3C">
            <w:pPr>
              <w:widowControl/>
              <w:jc w:val="center"/>
              <w:textAlignment w:val="center"/>
              <w:rPr>
                <w:rFonts w:ascii="仿宋_GB2312" w:hAnsi="Times New Roman" w:eastAsia="仿宋_GB2312" w:cs="宋体"/>
                <w:sz w:val="24"/>
              </w:rPr>
            </w:pPr>
            <w:r>
              <w:rPr>
                <w:rFonts w:ascii="仿宋_GB2312" w:hAnsi="Times New Roman" w:eastAsia="仿宋_GB2312" w:cs="Times New Roman"/>
                <w:kern w:val="0"/>
                <w:sz w:val="24"/>
              </w:rPr>
              <w:t>17.40</w:t>
            </w:r>
          </w:p>
        </w:tc>
        <w:tc>
          <w:tcPr>
            <w:tcW w:w="1947" w:type="dxa"/>
            <w:shd w:val="clear" w:color="auto" w:fill="auto"/>
            <w:vAlign w:val="center"/>
          </w:tcPr>
          <w:p w14:paraId="2560BE63">
            <w:pPr>
              <w:widowControl/>
              <w:jc w:val="center"/>
              <w:textAlignment w:val="center"/>
              <w:rPr>
                <w:rFonts w:ascii="仿宋_GB2312" w:hAnsi="Times New Roman" w:eastAsia="仿宋_GB2312" w:cs="宋体"/>
                <w:sz w:val="24"/>
              </w:rPr>
            </w:pPr>
            <w:r>
              <w:rPr>
                <w:rFonts w:ascii="仿宋_GB2312" w:hAnsi="Times New Roman" w:eastAsia="仿宋_GB2312" w:cs="Times New Roman"/>
                <w:kern w:val="0"/>
                <w:sz w:val="24"/>
              </w:rPr>
              <w:t>96.67</w:t>
            </w:r>
            <w:r>
              <w:rPr>
                <w:rFonts w:hint="eastAsia" w:ascii="仿宋_GB2312" w:hAnsi="Times New Roman" w:eastAsia="仿宋_GB2312" w:cs="Times New Roman"/>
                <w:kern w:val="0"/>
                <w:sz w:val="24"/>
              </w:rPr>
              <w:t>%</w:t>
            </w:r>
          </w:p>
        </w:tc>
      </w:tr>
      <w:tr w14:paraId="094B7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575" w:type="dxa"/>
            <w:shd w:val="clear" w:color="auto" w:fill="auto"/>
            <w:vAlign w:val="center"/>
          </w:tcPr>
          <w:p w14:paraId="4CA9B645">
            <w:pPr>
              <w:adjustRightInd w:val="0"/>
              <w:snapToGrid w:val="0"/>
              <w:jc w:val="center"/>
              <w:rPr>
                <w:rFonts w:ascii="仿宋_GB2312" w:hAnsi="Times New Roman" w:eastAsia="仿宋_GB2312" w:cs="宋体"/>
                <w:sz w:val="24"/>
              </w:rPr>
            </w:pPr>
            <w:r>
              <w:rPr>
                <w:rFonts w:hint="eastAsia" w:ascii="仿宋_GB2312" w:hAnsi="Times New Roman" w:eastAsia="仿宋_GB2312" w:cs="宋体"/>
                <w:sz w:val="24"/>
              </w:rPr>
              <w:t>预算管理</w:t>
            </w:r>
          </w:p>
        </w:tc>
        <w:tc>
          <w:tcPr>
            <w:tcW w:w="1984" w:type="dxa"/>
            <w:shd w:val="clear" w:color="auto" w:fill="auto"/>
            <w:vAlign w:val="center"/>
          </w:tcPr>
          <w:p w14:paraId="289B1C0F">
            <w:pPr>
              <w:widowControl/>
              <w:jc w:val="center"/>
              <w:textAlignment w:val="center"/>
              <w:rPr>
                <w:rFonts w:ascii="仿宋_GB2312" w:hAnsi="Times New Roman" w:eastAsia="仿宋_GB2312" w:cs="宋体"/>
                <w:sz w:val="24"/>
              </w:rPr>
            </w:pPr>
            <w:r>
              <w:rPr>
                <w:rFonts w:hint="eastAsia" w:ascii="仿宋_GB2312" w:hAnsi="Times New Roman" w:eastAsia="仿宋_GB2312" w:cs="Times New Roman"/>
                <w:kern w:val="0"/>
                <w:sz w:val="24"/>
              </w:rPr>
              <w:t>3</w:t>
            </w:r>
            <w:r>
              <w:rPr>
                <w:rFonts w:ascii="仿宋_GB2312" w:hAnsi="Times New Roman" w:eastAsia="仿宋_GB2312" w:cs="Times New Roman"/>
                <w:kern w:val="0"/>
                <w:sz w:val="24"/>
              </w:rPr>
              <w:t>2</w:t>
            </w:r>
            <w:r>
              <w:rPr>
                <w:rFonts w:hint="eastAsia" w:ascii="仿宋_GB2312" w:hAnsi="Times New Roman" w:eastAsia="仿宋_GB2312" w:cs="Times New Roman"/>
                <w:kern w:val="0"/>
                <w:sz w:val="24"/>
              </w:rPr>
              <w:t xml:space="preserve">.00 </w:t>
            </w:r>
          </w:p>
        </w:tc>
        <w:tc>
          <w:tcPr>
            <w:tcW w:w="1843" w:type="dxa"/>
            <w:shd w:val="clear" w:color="auto" w:fill="auto"/>
            <w:vAlign w:val="center"/>
          </w:tcPr>
          <w:p w14:paraId="3BB1D7F1">
            <w:pPr>
              <w:widowControl/>
              <w:jc w:val="center"/>
              <w:textAlignment w:val="center"/>
              <w:rPr>
                <w:rFonts w:ascii="仿宋_GB2312" w:hAnsi="Times New Roman" w:eastAsia="仿宋_GB2312" w:cs="宋体"/>
                <w:sz w:val="24"/>
              </w:rPr>
            </w:pPr>
            <w:r>
              <w:rPr>
                <w:rFonts w:ascii="仿宋_GB2312" w:hAnsi="Times New Roman" w:eastAsia="仿宋_GB2312" w:cs="Times New Roman"/>
                <w:kern w:val="0"/>
                <w:sz w:val="24"/>
              </w:rPr>
              <w:t>27.00</w:t>
            </w:r>
            <w:r>
              <w:rPr>
                <w:rFonts w:hint="eastAsia" w:ascii="仿宋_GB2312" w:hAnsi="Times New Roman" w:eastAsia="仿宋_GB2312" w:cs="Times New Roman"/>
                <w:kern w:val="0"/>
                <w:sz w:val="24"/>
              </w:rPr>
              <w:t xml:space="preserve"> </w:t>
            </w:r>
          </w:p>
        </w:tc>
        <w:tc>
          <w:tcPr>
            <w:tcW w:w="1947" w:type="dxa"/>
            <w:shd w:val="clear" w:color="auto" w:fill="auto"/>
            <w:vAlign w:val="center"/>
          </w:tcPr>
          <w:p w14:paraId="44470628">
            <w:pPr>
              <w:widowControl/>
              <w:jc w:val="center"/>
              <w:textAlignment w:val="center"/>
              <w:rPr>
                <w:rFonts w:ascii="仿宋_GB2312" w:hAnsi="Times New Roman" w:eastAsia="仿宋_GB2312" w:cs="宋体"/>
                <w:sz w:val="24"/>
              </w:rPr>
            </w:pPr>
            <w:r>
              <w:rPr>
                <w:rFonts w:ascii="仿宋_GB2312" w:hAnsi="Times New Roman" w:eastAsia="仿宋_GB2312" w:cs="Times New Roman"/>
                <w:kern w:val="0"/>
                <w:sz w:val="24"/>
              </w:rPr>
              <w:t>84.38</w:t>
            </w:r>
            <w:r>
              <w:rPr>
                <w:rFonts w:hint="eastAsia" w:ascii="仿宋_GB2312" w:hAnsi="Times New Roman" w:eastAsia="仿宋_GB2312" w:cs="Times New Roman"/>
                <w:kern w:val="0"/>
                <w:sz w:val="24"/>
              </w:rPr>
              <w:t>%</w:t>
            </w:r>
          </w:p>
        </w:tc>
      </w:tr>
      <w:tr w14:paraId="65B4A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575" w:type="dxa"/>
            <w:shd w:val="clear" w:color="auto" w:fill="auto"/>
            <w:vAlign w:val="center"/>
          </w:tcPr>
          <w:p w14:paraId="17E47164">
            <w:pPr>
              <w:adjustRightInd w:val="0"/>
              <w:snapToGrid w:val="0"/>
              <w:jc w:val="center"/>
              <w:rPr>
                <w:rFonts w:ascii="仿宋_GB2312" w:hAnsi="Times New Roman" w:eastAsia="仿宋_GB2312" w:cs="宋体"/>
                <w:sz w:val="24"/>
              </w:rPr>
            </w:pPr>
            <w:r>
              <w:rPr>
                <w:rFonts w:hint="eastAsia" w:ascii="仿宋_GB2312" w:hAnsi="Times New Roman" w:eastAsia="仿宋_GB2312" w:cs="宋体"/>
                <w:sz w:val="24"/>
              </w:rPr>
              <w:t>绩效管理</w:t>
            </w:r>
          </w:p>
        </w:tc>
        <w:tc>
          <w:tcPr>
            <w:tcW w:w="1984" w:type="dxa"/>
            <w:shd w:val="clear" w:color="auto" w:fill="auto"/>
            <w:vAlign w:val="center"/>
          </w:tcPr>
          <w:p w14:paraId="3C397F23">
            <w:pPr>
              <w:widowControl/>
              <w:jc w:val="center"/>
              <w:textAlignment w:val="center"/>
              <w:rPr>
                <w:rFonts w:ascii="仿宋_GB2312" w:hAnsi="Times New Roman" w:eastAsia="仿宋_GB2312" w:cs="宋体"/>
                <w:sz w:val="24"/>
              </w:rPr>
            </w:pPr>
            <w:r>
              <w:rPr>
                <w:rFonts w:hint="eastAsia" w:ascii="仿宋_GB2312" w:hAnsi="Times New Roman" w:eastAsia="仿宋_GB2312" w:cs="Times New Roman"/>
                <w:kern w:val="0"/>
                <w:sz w:val="24"/>
              </w:rPr>
              <w:t xml:space="preserve">15.00 </w:t>
            </w:r>
          </w:p>
        </w:tc>
        <w:tc>
          <w:tcPr>
            <w:tcW w:w="1843" w:type="dxa"/>
            <w:shd w:val="clear" w:color="auto" w:fill="auto"/>
            <w:vAlign w:val="center"/>
          </w:tcPr>
          <w:p w14:paraId="2AD74F63">
            <w:pPr>
              <w:widowControl/>
              <w:jc w:val="center"/>
              <w:textAlignment w:val="center"/>
              <w:rPr>
                <w:rFonts w:ascii="仿宋_GB2312" w:hAnsi="Times New Roman" w:eastAsia="仿宋_GB2312" w:cs="宋体"/>
                <w:sz w:val="24"/>
              </w:rPr>
            </w:pPr>
            <w:r>
              <w:rPr>
                <w:rFonts w:ascii="仿宋_GB2312" w:hAnsi="Times New Roman" w:eastAsia="仿宋_GB2312" w:cs="Times New Roman"/>
                <w:kern w:val="0"/>
                <w:sz w:val="24"/>
              </w:rPr>
              <w:t>12.80</w:t>
            </w:r>
            <w:r>
              <w:rPr>
                <w:rFonts w:hint="eastAsia" w:ascii="仿宋_GB2312" w:hAnsi="Times New Roman" w:eastAsia="仿宋_GB2312" w:cs="Times New Roman"/>
                <w:kern w:val="0"/>
                <w:sz w:val="24"/>
              </w:rPr>
              <w:t xml:space="preserve"> </w:t>
            </w:r>
          </w:p>
        </w:tc>
        <w:tc>
          <w:tcPr>
            <w:tcW w:w="1947" w:type="dxa"/>
            <w:shd w:val="clear" w:color="auto" w:fill="auto"/>
            <w:vAlign w:val="center"/>
          </w:tcPr>
          <w:p w14:paraId="02DEE07E">
            <w:pPr>
              <w:widowControl/>
              <w:jc w:val="center"/>
              <w:textAlignment w:val="center"/>
              <w:rPr>
                <w:rFonts w:ascii="仿宋_GB2312" w:hAnsi="Times New Roman" w:eastAsia="仿宋_GB2312" w:cs="宋体"/>
                <w:sz w:val="24"/>
              </w:rPr>
            </w:pPr>
            <w:r>
              <w:rPr>
                <w:rFonts w:ascii="仿宋_GB2312" w:hAnsi="Times New Roman" w:eastAsia="仿宋_GB2312" w:cs="Times New Roman"/>
                <w:kern w:val="0"/>
                <w:sz w:val="24"/>
              </w:rPr>
              <w:t>85.33</w:t>
            </w:r>
            <w:r>
              <w:rPr>
                <w:rFonts w:hint="eastAsia" w:ascii="仿宋_GB2312" w:hAnsi="Times New Roman" w:eastAsia="仿宋_GB2312" w:cs="Times New Roman"/>
                <w:kern w:val="0"/>
                <w:sz w:val="24"/>
              </w:rPr>
              <w:t>%</w:t>
            </w:r>
          </w:p>
        </w:tc>
      </w:tr>
      <w:tr w14:paraId="2DCB1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575" w:type="dxa"/>
            <w:shd w:val="clear" w:color="auto" w:fill="auto"/>
            <w:vAlign w:val="center"/>
          </w:tcPr>
          <w:p w14:paraId="321F8705">
            <w:pPr>
              <w:adjustRightInd w:val="0"/>
              <w:snapToGrid w:val="0"/>
              <w:jc w:val="center"/>
              <w:rPr>
                <w:rFonts w:ascii="仿宋_GB2312" w:hAnsi="Times New Roman" w:eastAsia="仿宋_GB2312" w:cs="宋体"/>
                <w:sz w:val="24"/>
              </w:rPr>
            </w:pPr>
            <w:r>
              <w:rPr>
                <w:rFonts w:hint="eastAsia" w:ascii="仿宋_GB2312" w:hAnsi="Times New Roman" w:eastAsia="仿宋_GB2312" w:cs="宋体"/>
                <w:sz w:val="24"/>
              </w:rPr>
              <w:t>部门履职效能</w:t>
            </w:r>
          </w:p>
        </w:tc>
        <w:tc>
          <w:tcPr>
            <w:tcW w:w="1984" w:type="dxa"/>
            <w:shd w:val="clear" w:color="auto" w:fill="auto"/>
            <w:vAlign w:val="center"/>
          </w:tcPr>
          <w:p w14:paraId="12FF3D1E">
            <w:pPr>
              <w:widowControl/>
              <w:jc w:val="center"/>
              <w:textAlignment w:val="center"/>
              <w:rPr>
                <w:rFonts w:ascii="仿宋_GB2312" w:hAnsi="Times New Roman" w:eastAsia="仿宋_GB2312" w:cs="宋体"/>
                <w:sz w:val="24"/>
              </w:rPr>
            </w:pPr>
            <w:r>
              <w:rPr>
                <w:rFonts w:hint="eastAsia" w:ascii="仿宋_GB2312" w:hAnsi="Times New Roman" w:eastAsia="仿宋_GB2312" w:cs="Times New Roman"/>
                <w:kern w:val="0"/>
                <w:sz w:val="24"/>
              </w:rPr>
              <w:t>2</w:t>
            </w:r>
            <w:r>
              <w:rPr>
                <w:rFonts w:ascii="仿宋_GB2312" w:hAnsi="Times New Roman" w:eastAsia="仿宋_GB2312" w:cs="Times New Roman"/>
                <w:kern w:val="0"/>
                <w:sz w:val="24"/>
              </w:rPr>
              <w:t>5</w:t>
            </w:r>
            <w:r>
              <w:rPr>
                <w:rFonts w:hint="eastAsia" w:ascii="仿宋_GB2312" w:hAnsi="Times New Roman" w:eastAsia="仿宋_GB2312" w:cs="Times New Roman"/>
                <w:kern w:val="0"/>
                <w:sz w:val="24"/>
              </w:rPr>
              <w:t xml:space="preserve">.00 </w:t>
            </w:r>
          </w:p>
        </w:tc>
        <w:tc>
          <w:tcPr>
            <w:tcW w:w="1843" w:type="dxa"/>
            <w:shd w:val="clear" w:color="auto" w:fill="auto"/>
            <w:vAlign w:val="center"/>
          </w:tcPr>
          <w:p w14:paraId="227FDDB2">
            <w:pPr>
              <w:widowControl/>
              <w:jc w:val="center"/>
              <w:textAlignment w:val="center"/>
              <w:rPr>
                <w:rFonts w:ascii="仿宋_GB2312" w:hAnsi="Times New Roman" w:eastAsia="仿宋_GB2312" w:cs="宋体"/>
                <w:sz w:val="24"/>
              </w:rPr>
            </w:pPr>
            <w:r>
              <w:rPr>
                <w:rFonts w:ascii="仿宋_GB2312" w:hAnsi="Times New Roman" w:eastAsia="仿宋_GB2312" w:cs="Times New Roman"/>
                <w:kern w:val="0"/>
                <w:sz w:val="24"/>
              </w:rPr>
              <w:t>22.82</w:t>
            </w:r>
          </w:p>
        </w:tc>
        <w:tc>
          <w:tcPr>
            <w:tcW w:w="1947" w:type="dxa"/>
            <w:shd w:val="clear" w:color="auto" w:fill="auto"/>
            <w:vAlign w:val="center"/>
          </w:tcPr>
          <w:p w14:paraId="64981B02">
            <w:pPr>
              <w:widowControl/>
              <w:jc w:val="center"/>
              <w:textAlignment w:val="center"/>
              <w:rPr>
                <w:rFonts w:ascii="仿宋_GB2312" w:hAnsi="Times New Roman" w:eastAsia="仿宋_GB2312" w:cs="宋体"/>
                <w:sz w:val="24"/>
              </w:rPr>
            </w:pPr>
            <w:r>
              <w:rPr>
                <w:rFonts w:ascii="仿宋_GB2312" w:hAnsi="Times New Roman" w:eastAsia="仿宋_GB2312" w:cs="Times New Roman"/>
                <w:kern w:val="0"/>
                <w:sz w:val="24"/>
              </w:rPr>
              <w:t>91.28</w:t>
            </w:r>
            <w:r>
              <w:rPr>
                <w:rFonts w:hint="eastAsia" w:ascii="仿宋_GB2312" w:hAnsi="Times New Roman" w:eastAsia="仿宋_GB2312" w:cs="Times New Roman"/>
                <w:kern w:val="0"/>
                <w:sz w:val="24"/>
              </w:rPr>
              <w:t>%</w:t>
            </w:r>
          </w:p>
        </w:tc>
      </w:tr>
      <w:tr w14:paraId="7A8B6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575" w:type="dxa"/>
            <w:shd w:val="clear" w:color="auto" w:fill="auto"/>
            <w:vAlign w:val="center"/>
          </w:tcPr>
          <w:p w14:paraId="22E1A454">
            <w:pPr>
              <w:adjustRightInd w:val="0"/>
              <w:snapToGrid w:val="0"/>
              <w:jc w:val="center"/>
              <w:rPr>
                <w:rFonts w:ascii="仿宋_GB2312" w:hAnsi="Times New Roman" w:eastAsia="仿宋_GB2312" w:cs="宋体"/>
                <w:sz w:val="24"/>
              </w:rPr>
            </w:pPr>
            <w:r>
              <w:rPr>
                <w:rFonts w:hint="eastAsia" w:ascii="仿宋_GB2312" w:hAnsi="Times New Roman" w:eastAsia="仿宋_GB2312" w:cs="宋体"/>
                <w:sz w:val="24"/>
              </w:rPr>
              <w:t>社会效应</w:t>
            </w:r>
          </w:p>
        </w:tc>
        <w:tc>
          <w:tcPr>
            <w:tcW w:w="1984" w:type="dxa"/>
            <w:shd w:val="clear" w:color="auto" w:fill="auto"/>
            <w:vAlign w:val="center"/>
          </w:tcPr>
          <w:p w14:paraId="7EC595FC">
            <w:pPr>
              <w:widowControl/>
              <w:jc w:val="center"/>
              <w:textAlignment w:val="center"/>
              <w:rPr>
                <w:rFonts w:ascii="仿宋_GB2312" w:hAnsi="Times New Roman" w:eastAsia="仿宋_GB2312" w:cs="宋体"/>
                <w:sz w:val="24"/>
              </w:rPr>
            </w:pPr>
            <w:r>
              <w:rPr>
                <w:rFonts w:hint="eastAsia" w:ascii="仿宋_GB2312" w:hAnsi="Times New Roman" w:eastAsia="仿宋_GB2312" w:cs="Times New Roman"/>
                <w:kern w:val="0"/>
                <w:sz w:val="24"/>
              </w:rPr>
              <w:t xml:space="preserve">10.00 </w:t>
            </w:r>
          </w:p>
        </w:tc>
        <w:tc>
          <w:tcPr>
            <w:tcW w:w="1843" w:type="dxa"/>
            <w:shd w:val="clear" w:color="auto" w:fill="auto"/>
            <w:vAlign w:val="center"/>
          </w:tcPr>
          <w:p w14:paraId="6BFE3141">
            <w:pPr>
              <w:widowControl/>
              <w:jc w:val="center"/>
              <w:textAlignment w:val="center"/>
              <w:rPr>
                <w:rFonts w:ascii="仿宋_GB2312" w:hAnsi="Times New Roman" w:eastAsia="仿宋_GB2312" w:cs="宋体"/>
                <w:sz w:val="24"/>
              </w:rPr>
            </w:pPr>
            <w:r>
              <w:rPr>
                <w:rFonts w:ascii="仿宋_GB2312" w:hAnsi="Times New Roman" w:eastAsia="仿宋_GB2312" w:cs="Times New Roman"/>
                <w:kern w:val="0"/>
                <w:sz w:val="24"/>
              </w:rPr>
              <w:t>7.61</w:t>
            </w:r>
            <w:r>
              <w:rPr>
                <w:rFonts w:hint="eastAsia" w:ascii="仿宋_GB2312" w:hAnsi="Times New Roman" w:eastAsia="仿宋_GB2312" w:cs="Times New Roman"/>
                <w:kern w:val="0"/>
                <w:sz w:val="24"/>
              </w:rPr>
              <w:t xml:space="preserve"> </w:t>
            </w:r>
          </w:p>
        </w:tc>
        <w:tc>
          <w:tcPr>
            <w:tcW w:w="1947" w:type="dxa"/>
            <w:shd w:val="clear" w:color="auto" w:fill="auto"/>
            <w:vAlign w:val="center"/>
          </w:tcPr>
          <w:p w14:paraId="14B87A37">
            <w:pPr>
              <w:widowControl/>
              <w:jc w:val="center"/>
              <w:textAlignment w:val="center"/>
              <w:rPr>
                <w:rFonts w:ascii="仿宋_GB2312" w:hAnsi="Times New Roman" w:eastAsia="仿宋_GB2312" w:cs="宋体"/>
                <w:sz w:val="24"/>
              </w:rPr>
            </w:pPr>
            <w:r>
              <w:rPr>
                <w:rFonts w:ascii="仿宋_GB2312" w:hAnsi="Times New Roman" w:eastAsia="仿宋_GB2312" w:cs="Times New Roman"/>
                <w:kern w:val="0"/>
                <w:sz w:val="24"/>
              </w:rPr>
              <w:t>76.10</w:t>
            </w:r>
            <w:r>
              <w:rPr>
                <w:rFonts w:hint="eastAsia" w:ascii="仿宋_GB2312" w:hAnsi="Times New Roman" w:eastAsia="仿宋_GB2312" w:cs="Times New Roman"/>
                <w:kern w:val="0"/>
                <w:sz w:val="24"/>
              </w:rPr>
              <w:t>%</w:t>
            </w:r>
          </w:p>
        </w:tc>
      </w:tr>
      <w:tr w14:paraId="19287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575" w:type="dxa"/>
            <w:shd w:val="clear" w:color="auto" w:fill="auto"/>
            <w:vAlign w:val="center"/>
          </w:tcPr>
          <w:p w14:paraId="4B776809">
            <w:pPr>
              <w:adjustRightInd w:val="0"/>
              <w:snapToGrid w:val="0"/>
              <w:jc w:val="center"/>
              <w:rPr>
                <w:rFonts w:ascii="仿宋_GB2312" w:hAnsi="Times New Roman" w:eastAsia="仿宋_GB2312" w:cs="宋体"/>
                <w:b/>
                <w:bCs/>
                <w:sz w:val="24"/>
              </w:rPr>
            </w:pPr>
            <w:r>
              <w:rPr>
                <w:rFonts w:hint="eastAsia" w:ascii="仿宋_GB2312" w:hAnsi="Times New Roman" w:eastAsia="仿宋_GB2312" w:cs="宋体"/>
                <w:b/>
                <w:bCs/>
                <w:sz w:val="24"/>
              </w:rPr>
              <w:t>合计</w:t>
            </w:r>
          </w:p>
        </w:tc>
        <w:tc>
          <w:tcPr>
            <w:tcW w:w="1984" w:type="dxa"/>
            <w:shd w:val="clear" w:color="auto" w:fill="auto"/>
            <w:vAlign w:val="center"/>
          </w:tcPr>
          <w:p w14:paraId="7E8DE44A">
            <w:pPr>
              <w:widowControl/>
              <w:jc w:val="center"/>
              <w:textAlignment w:val="center"/>
              <w:rPr>
                <w:rFonts w:ascii="仿宋_GB2312" w:hAnsi="Times New Roman" w:eastAsia="仿宋_GB2312" w:cs="宋体"/>
                <w:b/>
                <w:bCs/>
                <w:sz w:val="24"/>
              </w:rPr>
            </w:pPr>
            <w:r>
              <w:rPr>
                <w:rFonts w:hint="eastAsia" w:ascii="仿宋_GB2312" w:hAnsi="Times New Roman" w:eastAsia="仿宋_GB2312" w:cs="Times New Roman"/>
                <w:b/>
                <w:bCs/>
                <w:kern w:val="0"/>
                <w:sz w:val="24"/>
              </w:rPr>
              <w:t xml:space="preserve">100.00 </w:t>
            </w:r>
          </w:p>
        </w:tc>
        <w:tc>
          <w:tcPr>
            <w:tcW w:w="1843" w:type="dxa"/>
            <w:shd w:val="clear" w:color="auto" w:fill="auto"/>
            <w:vAlign w:val="center"/>
          </w:tcPr>
          <w:p w14:paraId="3571211B">
            <w:pPr>
              <w:widowControl/>
              <w:jc w:val="center"/>
              <w:textAlignment w:val="center"/>
              <w:rPr>
                <w:rFonts w:ascii="仿宋_GB2312" w:hAnsi="Times New Roman" w:eastAsia="仿宋_GB2312" w:cs="宋体"/>
                <w:b/>
                <w:bCs/>
                <w:sz w:val="24"/>
              </w:rPr>
            </w:pPr>
            <w:r>
              <w:rPr>
                <w:rFonts w:ascii="仿宋_GB2312" w:hAnsi="Times New Roman" w:eastAsia="仿宋_GB2312" w:cs="Times New Roman"/>
                <w:b/>
                <w:bCs/>
                <w:kern w:val="0"/>
                <w:sz w:val="24"/>
              </w:rPr>
              <w:t>87.63</w:t>
            </w:r>
            <w:r>
              <w:rPr>
                <w:rFonts w:hint="eastAsia" w:ascii="仿宋_GB2312" w:hAnsi="Times New Roman" w:eastAsia="仿宋_GB2312" w:cs="Times New Roman"/>
                <w:b/>
                <w:bCs/>
                <w:kern w:val="0"/>
                <w:sz w:val="24"/>
              </w:rPr>
              <w:t xml:space="preserve"> </w:t>
            </w:r>
          </w:p>
        </w:tc>
        <w:tc>
          <w:tcPr>
            <w:tcW w:w="1947" w:type="dxa"/>
            <w:shd w:val="clear" w:color="auto" w:fill="auto"/>
            <w:vAlign w:val="center"/>
          </w:tcPr>
          <w:p w14:paraId="590D0D49">
            <w:pPr>
              <w:widowControl/>
              <w:jc w:val="center"/>
              <w:textAlignment w:val="center"/>
              <w:rPr>
                <w:rFonts w:ascii="仿宋_GB2312" w:hAnsi="Times New Roman" w:eastAsia="仿宋_GB2312" w:cs="宋体"/>
                <w:b/>
                <w:bCs/>
                <w:sz w:val="24"/>
              </w:rPr>
            </w:pPr>
            <w:r>
              <w:rPr>
                <w:rFonts w:ascii="仿宋_GB2312" w:hAnsi="Times New Roman" w:eastAsia="仿宋_GB2312" w:cs="Times New Roman"/>
                <w:b/>
                <w:bCs/>
                <w:kern w:val="0"/>
                <w:sz w:val="24"/>
              </w:rPr>
              <w:t>87.63</w:t>
            </w:r>
            <w:r>
              <w:rPr>
                <w:rFonts w:hint="eastAsia" w:ascii="仿宋_GB2312" w:hAnsi="Times New Roman" w:eastAsia="仿宋_GB2312" w:cs="Times New Roman"/>
                <w:b/>
                <w:bCs/>
                <w:kern w:val="0"/>
                <w:sz w:val="24"/>
              </w:rPr>
              <w:t>%</w:t>
            </w:r>
          </w:p>
        </w:tc>
      </w:tr>
    </w:tbl>
    <w:p w14:paraId="5FF1798C">
      <w:pPr>
        <w:pStyle w:val="40"/>
        <w:spacing w:line="560" w:lineRule="exact"/>
      </w:pPr>
      <w:bookmarkStart w:id="14" w:name="_Toc238561299"/>
      <w:r>
        <w:rPr>
          <w:rFonts w:hint="eastAsia"/>
        </w:rPr>
        <w:t>（二）指标分析</w:t>
      </w:r>
      <w:bookmarkEnd w:id="14"/>
    </w:p>
    <w:p w14:paraId="27E22DF5">
      <w:pPr>
        <w:pStyle w:val="42"/>
        <w:spacing w:line="560" w:lineRule="exact"/>
      </w:pPr>
      <w:bookmarkStart w:id="15" w:name="_Toc236231939"/>
      <w:bookmarkStart w:id="16" w:name="_Toc235006136"/>
      <w:bookmarkStart w:id="17" w:name="_Toc237420726"/>
      <w:bookmarkStart w:id="18" w:name="_Toc238561300"/>
      <w:bookmarkStart w:id="19" w:name="_Toc234834354"/>
      <w:bookmarkStart w:id="20" w:name="_Toc234574436"/>
      <w:r>
        <w:rPr>
          <w:rFonts w:hint="eastAsia"/>
        </w:rPr>
        <w:t>1.财政资源配置</w:t>
      </w:r>
      <w:bookmarkEnd w:id="15"/>
      <w:bookmarkEnd w:id="16"/>
      <w:bookmarkEnd w:id="17"/>
      <w:bookmarkEnd w:id="18"/>
      <w:bookmarkEnd w:id="19"/>
      <w:bookmarkEnd w:id="20"/>
    </w:p>
    <w:p w14:paraId="163C66DF">
      <w:pPr>
        <w:pStyle w:val="42"/>
        <w:spacing w:line="560" w:lineRule="exact"/>
        <w:outlineLvl w:val="9"/>
      </w:pPr>
      <w:r>
        <w:rPr>
          <w:rFonts w:hint="eastAsia"/>
        </w:rPr>
        <w:t>指标分值为</w:t>
      </w:r>
      <w:r>
        <w:t>18</w:t>
      </w:r>
      <w:r>
        <w:rPr>
          <w:rFonts w:hint="eastAsia"/>
        </w:rPr>
        <w:t>.00分，评价得分</w:t>
      </w:r>
      <w:r>
        <w:t>17.40</w:t>
      </w:r>
      <w:r>
        <w:rPr>
          <w:rFonts w:hint="eastAsia"/>
        </w:rPr>
        <w:t>分，得分率</w:t>
      </w:r>
      <w:r>
        <w:t>96.67</w:t>
      </w:r>
      <w:r>
        <w:rPr>
          <w:rFonts w:hint="eastAsia"/>
        </w:rPr>
        <w:t>%。</w:t>
      </w:r>
    </w:p>
    <w:p w14:paraId="07E0F9D5">
      <w:pPr>
        <w:pStyle w:val="42"/>
        <w:spacing w:line="560" w:lineRule="exact"/>
        <w:outlineLvl w:val="9"/>
      </w:pPr>
      <w:r>
        <w:rPr>
          <w:rFonts w:hint="eastAsia"/>
        </w:rPr>
        <w:t>2025年预算安排和部门“三定”方案确定的职责、市委市政府年度重点任务匹配；年中预算调剂比例为0.18%；部门重点项目支出率为93.07%。2025年度，部门依法将一般公共预算及政府性基金预算财政拨款收入纳入年初预算中；“三公”经费、会议费、培训费等五项经费预算控制率</w:t>
      </w:r>
      <w:r>
        <w:t>64.67</w:t>
      </w:r>
      <w:r>
        <w:rPr>
          <w:rFonts w:hint="eastAsia"/>
        </w:rPr>
        <w:t>%，五项经费较202</w:t>
      </w:r>
      <w:r>
        <w:t>4</w:t>
      </w:r>
      <w:r>
        <w:rPr>
          <w:rFonts w:hint="eastAsia"/>
        </w:rPr>
        <w:t>年下降1</w:t>
      </w:r>
      <w:r>
        <w:t>8.78%</w:t>
      </w:r>
      <w:r>
        <w:rPr>
          <w:rFonts w:hint="eastAsia"/>
        </w:rPr>
        <w:t>。但部门未将其他收入中的利息收入、收税务局返还代缴税费手续费、上合组织工作奖励金纳入年初预算中。</w:t>
      </w:r>
    </w:p>
    <w:p w14:paraId="238CBDC5">
      <w:pPr>
        <w:pStyle w:val="42"/>
        <w:spacing w:line="560" w:lineRule="exact"/>
      </w:pPr>
      <w:bookmarkStart w:id="21" w:name="_Toc236231940"/>
      <w:bookmarkStart w:id="22" w:name="_Toc238561301"/>
      <w:bookmarkStart w:id="23" w:name="_Toc237420727"/>
      <w:bookmarkStart w:id="24" w:name="_Toc235006137"/>
      <w:bookmarkStart w:id="25" w:name="_Toc234834355"/>
      <w:bookmarkStart w:id="26" w:name="_Toc234574437"/>
      <w:r>
        <w:rPr>
          <w:rFonts w:hint="eastAsia"/>
        </w:rPr>
        <w:t>2.预算管理</w:t>
      </w:r>
      <w:bookmarkEnd w:id="21"/>
      <w:bookmarkEnd w:id="22"/>
      <w:bookmarkEnd w:id="23"/>
      <w:bookmarkEnd w:id="24"/>
      <w:bookmarkEnd w:id="25"/>
      <w:bookmarkEnd w:id="26"/>
    </w:p>
    <w:p w14:paraId="7C71D55B">
      <w:pPr>
        <w:pStyle w:val="42"/>
        <w:spacing w:line="560" w:lineRule="exact"/>
        <w:outlineLvl w:val="9"/>
      </w:pPr>
      <w:r>
        <w:rPr>
          <w:rFonts w:hint="eastAsia"/>
        </w:rPr>
        <w:t>指标分值为</w:t>
      </w:r>
      <w:r>
        <w:t>32</w:t>
      </w:r>
      <w:r>
        <w:rPr>
          <w:rFonts w:hint="eastAsia"/>
        </w:rPr>
        <w:t>.00分，评价得分</w:t>
      </w:r>
      <w:r>
        <w:t>27.00</w:t>
      </w:r>
      <w:r>
        <w:rPr>
          <w:rFonts w:hint="eastAsia"/>
        </w:rPr>
        <w:t>分，得分率</w:t>
      </w:r>
      <w:r>
        <w:t>84.38</w:t>
      </w:r>
      <w:r>
        <w:rPr>
          <w:rFonts w:hint="eastAsia"/>
        </w:rPr>
        <w:t>%。</w:t>
      </w:r>
    </w:p>
    <w:p w14:paraId="686BC623">
      <w:pPr>
        <w:pStyle w:val="42"/>
        <w:spacing w:line="560" w:lineRule="exact"/>
        <w:outlineLvl w:val="9"/>
      </w:pPr>
      <w:bookmarkStart w:id="27" w:name="OLE_LINK7"/>
      <w:bookmarkStart w:id="28" w:name="OLE_LINK6"/>
      <w:r>
        <w:rPr>
          <w:rFonts w:hint="eastAsia"/>
        </w:rPr>
        <w:t>202</w:t>
      </w:r>
      <w:r>
        <w:t>5</w:t>
      </w:r>
      <w:r>
        <w:rPr>
          <w:rFonts w:hint="eastAsia"/>
        </w:rPr>
        <w:t>年度，部门政府性基金预算财政拨款收入预算完成率</w:t>
      </w:r>
      <w:r>
        <w:t>99.73</w:t>
      </w:r>
      <w:r>
        <w:rPr>
          <w:rFonts w:hint="eastAsia"/>
        </w:rPr>
        <w:t>%，财政资金结转结余率</w:t>
      </w:r>
      <w:r>
        <w:t>0.22</w:t>
      </w:r>
      <w:r>
        <w:rPr>
          <w:rFonts w:hint="eastAsia"/>
        </w:rPr>
        <w:t>%，变动率为0；部门预决算信息依法公开；预算管理一体化与项目库管理较为规范，各模块正常运行。收入完成率偏离较大。部门设立内控领导小组，建立“三重一大”议事机制和部门岗位责任制，建立预算、政府采购等内控制度，按要求开展风险评估，形成书面报告并按要求报送财政部门。但合同岗位未实行定期轮岗，轮岗制度未明确交接流程，未建立无形资产相关管理制度，青岛市生态环境监控中心大数据工程项目未在规定期限内暂估转固及开展竣工决算。部门资金拨付审批和手续基本完备，存在个别资金申请单审批手续签字不全。政府采购流程合规，能够落实促进中小企业发展、绿色采购等政策；资产处置执行集体决策，公车管理合规，但存在电脑超标准配置、资产卡片更新不及时的问题。转移支付资金分配机制较为健全，符合规划目标和重点任务，对预算绩效实施动态监控。</w:t>
      </w:r>
      <w:r>
        <w:t xml:space="preserve"> </w:t>
      </w:r>
    </w:p>
    <w:bookmarkEnd w:id="27"/>
    <w:bookmarkEnd w:id="28"/>
    <w:p w14:paraId="5DBB2A8E">
      <w:pPr>
        <w:pStyle w:val="42"/>
        <w:spacing w:line="560" w:lineRule="exact"/>
      </w:pPr>
      <w:bookmarkStart w:id="29" w:name="_Toc236231941"/>
      <w:bookmarkStart w:id="30" w:name="_Toc234834356"/>
      <w:bookmarkStart w:id="31" w:name="_Toc237420728"/>
      <w:bookmarkStart w:id="32" w:name="_Toc234574438"/>
      <w:bookmarkStart w:id="33" w:name="_Toc238561302"/>
      <w:bookmarkStart w:id="34" w:name="_Toc235006138"/>
      <w:r>
        <w:rPr>
          <w:rFonts w:hint="eastAsia"/>
        </w:rPr>
        <w:t>3.绩效管理</w:t>
      </w:r>
      <w:bookmarkEnd w:id="29"/>
      <w:bookmarkEnd w:id="30"/>
      <w:bookmarkEnd w:id="31"/>
      <w:bookmarkEnd w:id="32"/>
      <w:bookmarkEnd w:id="33"/>
      <w:bookmarkEnd w:id="34"/>
    </w:p>
    <w:p w14:paraId="1AD582A4">
      <w:pPr>
        <w:pStyle w:val="42"/>
        <w:spacing w:line="560" w:lineRule="exact"/>
        <w:outlineLvl w:val="9"/>
      </w:pPr>
      <w:bookmarkStart w:id="35" w:name="OLE_LINK8"/>
      <w:bookmarkStart w:id="36" w:name="OLE_LINK9"/>
      <w:r>
        <w:rPr>
          <w:rFonts w:hint="eastAsia"/>
        </w:rPr>
        <w:t>指标分值为</w:t>
      </w:r>
      <w:r>
        <w:t>15</w:t>
      </w:r>
      <w:r>
        <w:rPr>
          <w:rFonts w:hint="eastAsia"/>
        </w:rPr>
        <w:t>.00分，评价得分</w:t>
      </w:r>
      <w:r>
        <w:t>12.80</w:t>
      </w:r>
      <w:r>
        <w:rPr>
          <w:rFonts w:hint="eastAsia"/>
        </w:rPr>
        <w:t>分，得分率</w:t>
      </w:r>
      <w:r>
        <w:t>85.33</w:t>
      </w:r>
      <w:r>
        <w:rPr>
          <w:rFonts w:hint="eastAsia"/>
        </w:rPr>
        <w:t>%。</w:t>
      </w:r>
    </w:p>
    <w:bookmarkEnd w:id="35"/>
    <w:bookmarkEnd w:id="36"/>
    <w:p w14:paraId="0DC64A6F">
      <w:pPr>
        <w:pStyle w:val="42"/>
        <w:spacing w:line="560" w:lineRule="exact"/>
        <w:outlineLvl w:val="9"/>
      </w:pPr>
      <w:r>
        <w:rPr>
          <w:rFonts w:hint="eastAsia"/>
        </w:rPr>
        <w:t>市生态环境局部门整体支出绩效目标符合环保相关法律法规的要求和年度重点工作要求，已分解成具体工作任务，绩效指标完整、报送及时，但存在青岛市环境工程评估中心“环评技术评估工作经费”项目，“产出数量”指标中仅以“项目总数”为量化标准，未区分项目规模、复杂度与涵盖领域的差异，青岛市国三及以下排放标准非营运柴油货车鼓励淘汰补贴项目指标设置内容与质量指标要求不符等问题。部门事前绩效评估、绩效运行监控、绩效自评覆盖率1</w:t>
      </w:r>
      <w:r>
        <w:t>00%</w:t>
      </w:r>
      <w:r>
        <w:rPr>
          <w:rFonts w:hint="eastAsia"/>
        </w:rPr>
        <w:t>。建立评价结果与预算挂钩工作机制，将事前绩效评估结果、绩效目标审核结果、绩效运行监控结果、绩效评价结果作为编制预算、完善政策和改进管理的重要依据。</w:t>
      </w:r>
    </w:p>
    <w:p w14:paraId="6F9FC2E7">
      <w:pPr>
        <w:pStyle w:val="42"/>
        <w:spacing w:line="560" w:lineRule="exact"/>
      </w:pPr>
      <w:bookmarkStart w:id="37" w:name="_Toc234834357"/>
      <w:bookmarkStart w:id="38" w:name="_Toc236231942"/>
      <w:bookmarkStart w:id="39" w:name="_Toc235006139"/>
      <w:bookmarkStart w:id="40" w:name="_Toc234574439"/>
      <w:bookmarkStart w:id="41" w:name="_Toc237420729"/>
      <w:bookmarkStart w:id="42" w:name="_Toc238561303"/>
      <w:r>
        <w:rPr>
          <w:rFonts w:hint="eastAsia"/>
        </w:rPr>
        <w:t>4.部门履职效能</w:t>
      </w:r>
      <w:bookmarkEnd w:id="37"/>
      <w:bookmarkEnd w:id="38"/>
      <w:bookmarkEnd w:id="39"/>
      <w:bookmarkEnd w:id="40"/>
      <w:bookmarkEnd w:id="41"/>
      <w:bookmarkEnd w:id="42"/>
    </w:p>
    <w:p w14:paraId="0005542C">
      <w:pPr>
        <w:pStyle w:val="42"/>
        <w:spacing w:line="560" w:lineRule="exact"/>
        <w:outlineLvl w:val="9"/>
      </w:pPr>
      <w:bookmarkStart w:id="43" w:name="OLE_LINK10"/>
      <w:bookmarkStart w:id="44" w:name="OLE_LINK11"/>
      <w:r>
        <w:rPr>
          <w:rFonts w:hint="eastAsia"/>
        </w:rPr>
        <w:t>指标分值为</w:t>
      </w:r>
      <w:r>
        <w:t>25</w:t>
      </w:r>
      <w:r>
        <w:rPr>
          <w:rFonts w:hint="eastAsia"/>
        </w:rPr>
        <w:t>.00分，评价得分</w:t>
      </w:r>
      <w:r>
        <w:t>22.82</w:t>
      </w:r>
      <w:r>
        <w:rPr>
          <w:rFonts w:hint="eastAsia"/>
        </w:rPr>
        <w:t>分，得分率</w:t>
      </w:r>
      <w:r>
        <w:t>91.28</w:t>
      </w:r>
      <w:r>
        <w:rPr>
          <w:rFonts w:hint="eastAsia"/>
        </w:rPr>
        <w:t>%。</w:t>
      </w:r>
      <w:bookmarkEnd w:id="43"/>
      <w:bookmarkEnd w:id="44"/>
    </w:p>
    <w:p w14:paraId="7D64B0C8">
      <w:pPr>
        <w:pStyle w:val="42"/>
        <w:spacing w:line="560" w:lineRule="exact"/>
        <w:outlineLvl w:val="9"/>
      </w:pPr>
      <w:r>
        <w:rPr>
          <w:rFonts w:hint="eastAsia"/>
        </w:rPr>
        <w:t>部门重点任务完成率1</w:t>
      </w:r>
      <w:r>
        <w:t>00%</w:t>
      </w:r>
      <w:r>
        <w:rPr>
          <w:rFonts w:hint="eastAsia"/>
        </w:rPr>
        <w:t>。部门政策体系设计较为科学合理，政策设立支撑十四五规划目标达成、保障部门的履职，在实际运行中成效显著，未发现低效无效政策，政策到期及时清退。对部门</w:t>
      </w:r>
      <w:r>
        <w:t>20</w:t>
      </w:r>
      <w:r>
        <w:rPr>
          <w:rFonts w:hint="eastAsia"/>
        </w:rPr>
        <w:t>个项目支出自评进行复评，等级全部为“良”及以上，其中1</w:t>
      </w:r>
      <w:r>
        <w:t>8</w:t>
      </w:r>
      <w:r>
        <w:rPr>
          <w:rFonts w:hint="eastAsia"/>
        </w:rPr>
        <w:t>个项目自评结果和复评结果档次一致，2个项目自评结果和复核结果档次差一档，复核结果档次均为“良”。对3个项目采取“短、平、快”的方式开展绩效评价，评价等级全部为“良”及以上。</w:t>
      </w:r>
    </w:p>
    <w:p w14:paraId="3178A60F">
      <w:pPr>
        <w:pStyle w:val="42"/>
        <w:spacing w:line="560" w:lineRule="exact"/>
      </w:pPr>
      <w:bookmarkStart w:id="45" w:name="_Toc234574440"/>
      <w:bookmarkStart w:id="46" w:name="_Toc235006140"/>
      <w:bookmarkStart w:id="47" w:name="_Toc238561304"/>
      <w:bookmarkStart w:id="48" w:name="_Toc236231943"/>
      <w:bookmarkStart w:id="49" w:name="_Toc237420730"/>
      <w:bookmarkStart w:id="50" w:name="_Toc234834358"/>
      <w:r>
        <w:rPr>
          <w:rFonts w:hint="eastAsia"/>
        </w:rPr>
        <w:t>5.社会效应</w:t>
      </w:r>
      <w:bookmarkEnd w:id="45"/>
      <w:bookmarkEnd w:id="46"/>
      <w:bookmarkEnd w:id="47"/>
      <w:bookmarkEnd w:id="48"/>
      <w:bookmarkEnd w:id="49"/>
      <w:bookmarkEnd w:id="50"/>
    </w:p>
    <w:p w14:paraId="706FC5E0">
      <w:pPr>
        <w:pStyle w:val="42"/>
        <w:spacing w:line="560" w:lineRule="exact"/>
        <w:outlineLvl w:val="9"/>
      </w:pPr>
      <w:r>
        <w:rPr>
          <w:rFonts w:hint="eastAsia"/>
        </w:rPr>
        <w:t>指标分值为</w:t>
      </w:r>
      <w:r>
        <w:t>10</w:t>
      </w:r>
      <w:r>
        <w:rPr>
          <w:rFonts w:hint="eastAsia"/>
        </w:rPr>
        <w:t>.00分，评价得分</w:t>
      </w:r>
      <w:r>
        <w:t>7.61</w:t>
      </w:r>
      <w:r>
        <w:rPr>
          <w:rFonts w:hint="eastAsia"/>
        </w:rPr>
        <w:t>分，得分率</w:t>
      </w:r>
      <w:r>
        <w:t>76.10</w:t>
      </w:r>
      <w:r>
        <w:rPr>
          <w:rFonts w:hint="eastAsia"/>
        </w:rPr>
        <w:t>%。</w:t>
      </w:r>
    </w:p>
    <w:p w14:paraId="19E9EA61">
      <w:pPr>
        <w:pStyle w:val="42"/>
        <w:spacing w:line="560" w:lineRule="exact"/>
        <w:outlineLvl w:val="9"/>
      </w:pPr>
      <w:r>
        <w:rPr>
          <w:rFonts w:hint="eastAsia"/>
        </w:rPr>
        <w:t>本次调查问卷针对社会公众发放，共回收有效问卷</w:t>
      </w:r>
      <w:r>
        <w:t>554</w:t>
      </w:r>
      <w:r>
        <w:rPr>
          <w:rFonts w:hint="eastAsia"/>
        </w:rPr>
        <w:t>份，综合满意度为</w:t>
      </w:r>
      <w:r>
        <w:t>76.12</w:t>
      </w:r>
      <w:r>
        <w:rPr>
          <w:rFonts w:hint="eastAsia"/>
        </w:rPr>
        <w:t>%。</w:t>
      </w:r>
    </w:p>
    <w:p w14:paraId="6FAEC65A">
      <w:pPr>
        <w:pStyle w:val="4"/>
        <w:spacing w:line="560" w:lineRule="exact"/>
      </w:pPr>
      <w:bookmarkStart w:id="51" w:name="_Toc238561305"/>
      <w:r>
        <w:rPr>
          <w:rFonts w:hint="eastAsia"/>
        </w:rPr>
        <w:t>四、部门主要成效及做法</w:t>
      </w:r>
      <w:bookmarkEnd w:id="51"/>
    </w:p>
    <w:p w14:paraId="17ED2F66">
      <w:pPr>
        <w:pStyle w:val="40"/>
        <w:spacing w:line="560" w:lineRule="exact"/>
      </w:pPr>
      <w:bookmarkStart w:id="52" w:name="_Toc238561306"/>
      <w:r>
        <w:rPr>
          <w:rFonts w:hint="eastAsia"/>
        </w:rPr>
        <w:t>（一）系统推进大气、水、土壤综合治理，环境质量稳步提升</w:t>
      </w:r>
      <w:bookmarkEnd w:id="52"/>
    </w:p>
    <w:p w14:paraId="28E4B38C">
      <w:pPr>
        <w:pStyle w:val="42"/>
        <w:spacing w:line="560" w:lineRule="exact"/>
        <w:outlineLvl w:val="9"/>
      </w:pPr>
      <w:r>
        <w:rPr>
          <w:rFonts w:hint="eastAsia"/>
        </w:rPr>
        <w:t>紧扣蓝天、碧水、净土攻坚任务，探索具有青岛特色的大气污染防控体系，理顺大气污染防治攻坚工作小组运转机制，完善“1+8”组织架构，深化裸露土地扬尘污染整治等“八大攻坚行动”。</w:t>
      </w:r>
    </w:p>
    <w:p w14:paraId="7636E65D">
      <w:pPr>
        <w:pStyle w:val="40"/>
        <w:spacing w:line="560" w:lineRule="exact"/>
      </w:pPr>
      <w:bookmarkStart w:id="53" w:name="_Toc238561307"/>
      <w:r>
        <w:rPr>
          <w:rFonts w:hint="eastAsia"/>
        </w:rPr>
        <w:t>（二）从严抓好督察整改与精准执法，守住生态安全底线</w:t>
      </w:r>
      <w:bookmarkEnd w:id="53"/>
    </w:p>
    <w:p w14:paraId="47A729A8">
      <w:pPr>
        <w:pStyle w:val="42"/>
        <w:spacing w:line="560" w:lineRule="exact"/>
        <w:outlineLvl w:val="9"/>
      </w:pPr>
      <w:r>
        <w:rPr>
          <w:rFonts w:hint="eastAsia"/>
        </w:rPr>
        <w:t>做好第三轮中央生态环境保护督察保障，常态化开展专项执法，严厉打击违法排污；落实上门为企业提供环保技术帮扶，平衡监管约束与企业服务，提升生态环境领域基本公共服务质效。</w:t>
      </w:r>
    </w:p>
    <w:p w14:paraId="43D7B6F5">
      <w:pPr>
        <w:pStyle w:val="40"/>
        <w:spacing w:line="560" w:lineRule="exact"/>
      </w:pPr>
      <w:bookmarkStart w:id="54" w:name="_Toc238561308"/>
      <w:r>
        <w:rPr>
          <w:rFonts w:hint="eastAsia"/>
        </w:rPr>
        <w:t>（三）落实减污降碳协同任务，推进生态修复与绿色发展</w:t>
      </w:r>
      <w:bookmarkEnd w:id="54"/>
    </w:p>
    <w:p w14:paraId="7B129C7A">
      <w:pPr>
        <w:pStyle w:val="42"/>
        <w:spacing w:line="560" w:lineRule="exact"/>
        <w:outlineLvl w:val="9"/>
      </w:pPr>
      <w:r>
        <w:rPr>
          <w:rFonts w:hint="eastAsia"/>
        </w:rPr>
        <w:t>完成年度碳强度削减目标，培育绿色工厂、零碳园区，探索海洋碳汇、碳足迹试点；治理水土流失、提质森林，实施矿山、海岸带生态修复；落实绿色采购要求，简化环评审批，以告知承诺制助力企业绿色技改。</w:t>
      </w:r>
    </w:p>
    <w:p w14:paraId="1000ABAD">
      <w:pPr>
        <w:pStyle w:val="40"/>
        <w:spacing w:line="560" w:lineRule="exact"/>
      </w:pPr>
      <w:bookmarkStart w:id="55" w:name="_Toc238561309"/>
      <w:r>
        <w:rPr>
          <w:rFonts w:hint="eastAsia"/>
        </w:rPr>
        <w:t>（四）数字赋能治理体系，拓宽全民环保共治渠道</w:t>
      </w:r>
      <w:bookmarkEnd w:id="55"/>
    </w:p>
    <w:p w14:paraId="2C2EE665">
      <w:pPr>
        <w:pStyle w:val="42"/>
        <w:spacing w:line="560" w:lineRule="exact"/>
        <w:outlineLvl w:val="9"/>
      </w:pPr>
      <w:r>
        <w:rPr>
          <w:rFonts w:hint="eastAsia"/>
        </w:rPr>
        <w:t>搭建生态环境智慧指挥平台，实现污染源预警、派单、整改全闭环；依托环境日、设施开放等活动常态化开展环保宣教，有效提升群众环保参与感与满意度。</w:t>
      </w:r>
    </w:p>
    <w:p w14:paraId="257AE99E">
      <w:pPr>
        <w:pStyle w:val="4"/>
        <w:spacing w:line="560" w:lineRule="exact"/>
      </w:pPr>
      <w:bookmarkStart w:id="56" w:name="_Toc238561310"/>
      <w:r>
        <w:rPr>
          <w:rFonts w:hint="eastAsia"/>
        </w:rPr>
        <w:t>五、发现的问题及原因分析</w:t>
      </w:r>
      <w:bookmarkEnd w:id="56"/>
    </w:p>
    <w:p w14:paraId="09F259F4">
      <w:pPr>
        <w:pStyle w:val="40"/>
        <w:spacing w:line="560" w:lineRule="exact"/>
      </w:pPr>
      <w:bookmarkStart w:id="57" w:name="_Toc238561311"/>
      <w:r>
        <w:rPr>
          <w:rFonts w:hint="eastAsia"/>
        </w:rPr>
        <w:t>（一）固定资产超标准配置，资产标识卡片未及时更新</w:t>
      </w:r>
      <w:bookmarkEnd w:id="57"/>
    </w:p>
    <w:p w14:paraId="792A7B2C">
      <w:pPr>
        <w:pStyle w:val="42"/>
        <w:spacing w:line="560" w:lineRule="exact"/>
        <w:outlineLvl w:val="9"/>
      </w:pPr>
      <w:r>
        <w:rPr>
          <w:rFonts w:hint="eastAsia"/>
          <w:szCs w:val="32"/>
        </w:rPr>
        <w:t>一是固定资产存在超标准配置。</w:t>
      </w:r>
      <w:r>
        <w:rPr>
          <w:rFonts w:hint="eastAsia"/>
        </w:rPr>
        <w:t>《青岛市市级行政事业单位通用资产配置标准管理办法》（青财资〔2023〕31号）规定，“台式计算机、平板式计算机、便携式计算机配置总数不得超过编制内实有人数1.5倍”。市生态环境局机关编制内实有91人，按照资产配置标准测算，计算机最高配置标准为1</w:t>
      </w:r>
      <w:r>
        <w:t>36</w:t>
      </w:r>
      <w:r>
        <w:rPr>
          <w:rFonts w:hint="eastAsia"/>
        </w:rPr>
        <w:t>台，但实有180台，超标44台。</w:t>
      </w:r>
    </w:p>
    <w:p w14:paraId="56A87DD9">
      <w:pPr>
        <w:pStyle w:val="42"/>
        <w:spacing w:line="560" w:lineRule="exact"/>
        <w:outlineLvl w:val="9"/>
      </w:pPr>
      <w:r>
        <w:rPr>
          <w:rFonts w:hint="eastAsia"/>
        </w:rPr>
        <w:t>二是固定资产标签未按要求及时更新。《关于加强行政事业单位固定资产管理的通知》（财资〔2020〕97号）规定，“加强固定资产卡片管理，做到有物必登、登记到人、一物一卡、不重不漏”。市生态环境局机关的固定资产标签仍沿用旧资产系统编码，未同步更新为新系统对应资产编码。</w:t>
      </w:r>
    </w:p>
    <w:p w14:paraId="4A7B0D55">
      <w:pPr>
        <w:pStyle w:val="40"/>
        <w:spacing w:line="560" w:lineRule="exact"/>
      </w:pPr>
      <w:bookmarkStart w:id="58" w:name="_Toc238561312"/>
      <w:r>
        <w:rPr>
          <w:rFonts w:hint="eastAsia"/>
        </w:rPr>
        <w:t>（二）个别专项资金支出审批签字手续不全</w:t>
      </w:r>
      <w:bookmarkEnd w:id="58"/>
    </w:p>
    <w:p w14:paraId="7C417ABE">
      <w:pPr>
        <w:pStyle w:val="42"/>
        <w:spacing w:line="560" w:lineRule="exact"/>
        <w:outlineLvl w:val="9"/>
      </w:pPr>
      <w:r>
        <w:rPr>
          <w:rFonts w:hint="eastAsia"/>
        </w:rPr>
        <w:t>《青岛市生态环境局资金支付管理办法（试行）》（青环办发〔20</w:t>
      </w:r>
      <w:r>
        <w:t>22</w:t>
      </w:r>
      <w:r>
        <w:rPr>
          <w:rFonts w:hint="eastAsia"/>
        </w:rPr>
        <w:t>〕2</w:t>
      </w:r>
      <w:r>
        <w:t>7</w:t>
      </w:r>
      <w:r>
        <w:rPr>
          <w:rFonts w:hint="eastAsia"/>
        </w:rPr>
        <w:t>号）规定，“资金支付审批采取多级核查，授权审批的办法，各级审批人根据其职责、权限和相应程序进行审批”。青岛市生态环境局市北分局存在2份国三及以下排放标准非营运柴油货车鼓励淘汰补贴项目补贴申请表仅有主要负责人签字，缺失申请人、部门负责人、专项资金负责人签字，支出原始审批手续不完整，未落实分级审核管控要求。</w:t>
      </w:r>
    </w:p>
    <w:p w14:paraId="3D9B4EBC">
      <w:pPr>
        <w:pStyle w:val="40"/>
        <w:spacing w:line="560" w:lineRule="exact"/>
      </w:pPr>
      <w:bookmarkStart w:id="59" w:name="_Toc238561313"/>
      <w:bookmarkStart w:id="60" w:name="OLE_LINK13"/>
      <w:bookmarkStart w:id="61" w:name="OLE_LINK12"/>
      <w:r>
        <w:rPr>
          <w:rFonts w:hint="eastAsia"/>
        </w:rPr>
        <w:t>（三）内部控制建设有待加强</w:t>
      </w:r>
      <w:bookmarkEnd w:id="59"/>
    </w:p>
    <w:p w14:paraId="744FBC35">
      <w:pPr>
        <w:pStyle w:val="42"/>
        <w:spacing w:line="560" w:lineRule="exact"/>
        <w:outlineLvl w:val="9"/>
      </w:pPr>
      <w:r>
        <w:rPr>
          <w:rFonts w:hint="eastAsia"/>
        </w:rPr>
        <w:t>一是合同岗位未实行定期轮岗。《行政事业单位内部控制规范（试行）》（财会〔2012〕21号）规定，“单位应当实行内部控制关键岗位工作人员的轮岗制度，明确轮岗周期。不具备轮岗条件的单位应当采取专项审计等控制措施”。合同管理属于明确列示的内部控制关键岗位，市生态环境局合同管理岗位人员长期未进行轮岗，且未采取专项审计等替代控制措施。</w:t>
      </w:r>
    </w:p>
    <w:p w14:paraId="0DD00C7C">
      <w:pPr>
        <w:pStyle w:val="42"/>
        <w:spacing w:line="560" w:lineRule="exact"/>
        <w:outlineLvl w:val="9"/>
      </w:pPr>
      <w:r>
        <w:rPr>
          <w:rFonts w:hint="eastAsia"/>
        </w:rPr>
        <w:t>二是轮岗制度未明确交接流程要求。《关于全面推进行政事业单位内部控制建设的指导意见》（财会〔2015〕24号）规定，“……对重点领域的关键岗位，在健全岗位设置、规范岗位管理、加强岗位胜任能力评估的基础上，通过明确轮岗范围、轮岗条件、轮岗周期、交接流程、责任追溯等要求，建立干部交流和定期轮岗制度……”。市生态环境局虽已建立关键岗位轮岗制度，但制度中未明确交接流程等具体要求。</w:t>
      </w:r>
    </w:p>
    <w:p w14:paraId="267AA22A">
      <w:pPr>
        <w:pStyle w:val="42"/>
        <w:spacing w:line="560" w:lineRule="exact"/>
        <w:outlineLvl w:val="9"/>
      </w:pPr>
      <w:r>
        <w:rPr>
          <w:rFonts w:hint="eastAsia"/>
        </w:rPr>
        <w:t>三是未建立无形资产管理制度。《行政事业单位内部控制规范（试行）》（财会〔2012〕21号）规定，“单位应当加强对实物资产和无形资产的管理，明确相关部门和岗位的职责权限，强化对配置、使用和处置等关键环节的管控”。市生态环境局资产内部控制制度仅对固定资产做出管理，未将无形资产纳入管理范围。</w:t>
      </w:r>
      <w:bookmarkEnd w:id="60"/>
      <w:bookmarkEnd w:id="61"/>
    </w:p>
    <w:p w14:paraId="32BF6817">
      <w:pPr>
        <w:pStyle w:val="40"/>
        <w:spacing w:line="560" w:lineRule="exact"/>
      </w:pPr>
      <w:bookmarkStart w:id="62" w:name="_Toc238561314"/>
      <w:bookmarkStart w:id="63" w:name="OLE_LINK16"/>
      <w:bookmarkStart w:id="64" w:name="OLE_LINK17"/>
      <w:bookmarkStart w:id="65" w:name="OLE_LINK4"/>
      <w:bookmarkStart w:id="66" w:name="OLE_LINK3"/>
      <w:r>
        <w:rPr>
          <w:rFonts w:hint="eastAsia"/>
        </w:rPr>
        <w:t>（四）在建工程未按规定决算，且转固不及时</w:t>
      </w:r>
      <w:bookmarkEnd w:id="62"/>
    </w:p>
    <w:p w14:paraId="4DA5E867">
      <w:pPr>
        <w:pStyle w:val="42"/>
        <w:spacing w:line="560" w:lineRule="exact"/>
        <w:outlineLvl w:val="9"/>
      </w:pPr>
      <w:r>
        <w:rPr>
          <w:rFonts w:hint="eastAsia"/>
        </w:rPr>
        <w:t>《行政事业性国有资产管理条例》（国务院令第738号）规定，“单位建设项目竣工验收后及时办理资产交付；交付使用但未办竣工财务决算的项目，必须按国家统一会计制度确认资产暂估价值；竣工财务决算最长不得超过交付后1年”。青岛市生态环境监控中心大数据工程项目于2021年11月完成竣工验收并交付使用，但未进行暂估转固，因施工企业破产长期未开展决算，直至2025年1月才出具决算审计报告，2</w:t>
      </w:r>
      <w:r>
        <w:t>026</w:t>
      </w:r>
      <w:r>
        <w:rPr>
          <w:rFonts w:hint="eastAsia"/>
        </w:rPr>
        <w:t>年5月正式转固。</w:t>
      </w:r>
    </w:p>
    <w:bookmarkEnd w:id="63"/>
    <w:bookmarkEnd w:id="64"/>
    <w:p w14:paraId="18A66F30">
      <w:pPr>
        <w:pStyle w:val="40"/>
        <w:spacing w:line="560" w:lineRule="exact"/>
      </w:pPr>
      <w:bookmarkStart w:id="67" w:name="_Toc238561315"/>
      <w:r>
        <w:rPr>
          <w:rFonts w:hint="eastAsia"/>
        </w:rPr>
        <w:t>（五）其他问题</w:t>
      </w:r>
      <w:bookmarkEnd w:id="67"/>
    </w:p>
    <w:p w14:paraId="301942C5">
      <w:pPr>
        <w:pStyle w:val="42"/>
        <w:spacing w:line="560" w:lineRule="exact"/>
        <w:outlineLvl w:val="9"/>
      </w:pPr>
      <w:r>
        <w:rPr>
          <w:rFonts w:hint="eastAsia"/>
        </w:rPr>
        <w:t>青岛市生态环境局市北分局保管着青岛市四方区环境科学学会、市北区环境科学学会各1个银行账户，该局未能提供保管依据，相关会计资料不全。上述2个学会均成立于2005年，因连续两年未参加年检，已于2018年2月被撤销登记。2025年8月，市北分局聘请第三方机构对两个学会进行清算审计，</w:t>
      </w:r>
      <w:bookmarkStart w:id="68" w:name="OLE_LINK2"/>
      <w:bookmarkStart w:id="69" w:name="OLE_LINK5"/>
      <w:r>
        <w:rPr>
          <w:rFonts w:hint="eastAsia"/>
        </w:rPr>
        <w:t>截至2025年12月31日，两家学会银行账户尚未办理注销。</w:t>
      </w:r>
      <w:bookmarkEnd w:id="68"/>
      <w:bookmarkEnd w:id="69"/>
      <w:r>
        <w:rPr>
          <w:rFonts w:hint="eastAsia"/>
        </w:rPr>
        <w:t>2</w:t>
      </w:r>
      <w:r>
        <w:t>026</w:t>
      </w:r>
      <w:r>
        <w:rPr>
          <w:rFonts w:hint="eastAsia"/>
        </w:rPr>
        <w:t>年6月1</w:t>
      </w:r>
      <w:r>
        <w:t>6</w:t>
      </w:r>
      <w:r>
        <w:rPr>
          <w:rFonts w:hint="eastAsia"/>
        </w:rPr>
        <w:t>日，市北区环境科学学会银行账户完成注销，2</w:t>
      </w:r>
      <w:r>
        <w:t>026</w:t>
      </w:r>
      <w:r>
        <w:rPr>
          <w:rFonts w:hint="eastAsia"/>
        </w:rPr>
        <w:t>年8月1</w:t>
      </w:r>
      <w:r>
        <w:t>9</w:t>
      </w:r>
      <w:r>
        <w:rPr>
          <w:rFonts w:hint="eastAsia"/>
        </w:rPr>
        <w:t>日，四方区环境科学学会银行账户完成注销。</w:t>
      </w:r>
    </w:p>
    <w:bookmarkEnd w:id="65"/>
    <w:bookmarkEnd w:id="66"/>
    <w:p w14:paraId="6ED89DF0">
      <w:pPr>
        <w:pStyle w:val="4"/>
        <w:spacing w:line="560" w:lineRule="exact"/>
      </w:pPr>
      <w:bookmarkStart w:id="70" w:name="_Toc238561316"/>
      <w:bookmarkStart w:id="71" w:name="OLE_LINK1"/>
      <w:r>
        <w:rPr>
          <w:rFonts w:hint="eastAsia"/>
        </w:rPr>
        <w:t>六、相关建议</w:t>
      </w:r>
      <w:bookmarkEnd w:id="70"/>
    </w:p>
    <w:p w14:paraId="594648D5">
      <w:pPr>
        <w:pStyle w:val="40"/>
        <w:spacing w:line="560" w:lineRule="exact"/>
      </w:pPr>
      <w:bookmarkStart w:id="72" w:name="_Toc238561317"/>
      <w:r>
        <w:rPr>
          <w:rFonts w:hint="eastAsia"/>
        </w:rPr>
        <w:t>（一）加强资产配置规范化，完善资产标签动态管理</w:t>
      </w:r>
      <w:bookmarkEnd w:id="72"/>
    </w:p>
    <w:p w14:paraId="3BC43477">
      <w:pPr>
        <w:pStyle w:val="40"/>
        <w:spacing w:line="560" w:lineRule="exact"/>
        <w:outlineLvl w:val="9"/>
        <w:rPr>
          <w:rFonts w:ascii="仿宋_GB2312" w:eastAsia="仿宋_GB2312"/>
        </w:rPr>
      </w:pPr>
      <w:r>
        <w:rPr>
          <w:rFonts w:hint="eastAsia" w:ascii="仿宋_GB2312" w:eastAsia="仿宋_GB2312"/>
        </w:rPr>
        <w:t>一是合理配比资产，优化调剂机制。建议市生态环境局开展全局计算机类资产全面盘点，对闲置、低效、超使用年限的设备，按《青岛市市级行政事业单位资产处置管理办法》（青财资〔2022〕24号）履行内部集体研究、技术鉴定、审批流程，通过内部调剂、报废处置等方式压降存量至配置标准以内；建立健全资产存量前置审核机制，从源头杜绝资产超标准配置。</w:t>
      </w:r>
    </w:p>
    <w:p w14:paraId="57B82E1E">
      <w:pPr>
        <w:pStyle w:val="40"/>
        <w:spacing w:line="560" w:lineRule="exact"/>
        <w:outlineLvl w:val="9"/>
        <w:rPr>
          <w:rFonts w:ascii="仿宋_GB2312" w:eastAsia="仿宋_GB2312"/>
        </w:rPr>
      </w:pPr>
      <w:r>
        <w:rPr>
          <w:rFonts w:hint="eastAsia" w:ascii="仿宋_GB2312" w:eastAsia="仿宋_GB2312"/>
        </w:rPr>
        <w:t>二是加强标识管理。建议市生态环境局对照新版资产管理系统完整梳理全部固定资产卡片信息，统一打印、粘贴包含新系统编码、使用人、存放地点等内容的标准化资产标签，彻底替换旧系统标识；建立资产标签动态更新机制，资产采购入库、人员调动、设备调拨、系统升级后及时更新资产卡片与实物标签，严格落实“一物一卡、登记到人、不重不漏”管理要求；每年开展资产全面盘点，将标签信息一致性纳入盘点核查重点，常态化消除账实、卡物信息偏差。</w:t>
      </w:r>
    </w:p>
    <w:p w14:paraId="136BE7EF">
      <w:pPr>
        <w:pStyle w:val="40"/>
        <w:spacing w:line="560" w:lineRule="exact"/>
      </w:pPr>
      <w:bookmarkStart w:id="73" w:name="_Toc238561318"/>
      <w:r>
        <w:rPr>
          <w:rFonts w:hint="eastAsia"/>
        </w:rPr>
        <w:t>（二）规范资金审批流程，强化支付前置审核</w:t>
      </w:r>
      <w:bookmarkEnd w:id="73"/>
    </w:p>
    <w:p w14:paraId="40940352">
      <w:pPr>
        <w:pStyle w:val="40"/>
        <w:spacing w:line="560" w:lineRule="exact"/>
        <w:outlineLvl w:val="9"/>
        <w:rPr>
          <w:rFonts w:ascii="仿宋_GB2312" w:eastAsia="仿宋_GB2312"/>
        </w:rPr>
      </w:pPr>
      <w:r>
        <w:rPr>
          <w:rFonts w:hint="eastAsia" w:ascii="仿宋_GB2312" w:eastAsia="仿宋_GB2312"/>
        </w:rPr>
        <w:t>建议市北分局严格执行《青岛市生态环境局资金支付管理办法（试行）》（青环办发〔2022〕27号）相关规定，全面规范专项资金支出审批流程。对现存手续不全的补贴审批资料完成补齐整改，并对各类专项资金支付台账开展全面自查，排查整改审批流程不规范问题。落实多级核查、分级授权审批要求，明确申请人、部门负责人、专项资金负责人及主管领导各岗位审核职责，确保资金支出审批手续完整合规。建立常态化复核抽查机制，压实岗位把关责任，有效防范资金管理风险。</w:t>
      </w:r>
    </w:p>
    <w:p w14:paraId="45A5D5DD">
      <w:pPr>
        <w:pStyle w:val="40"/>
        <w:spacing w:line="560" w:lineRule="exact"/>
      </w:pPr>
      <w:bookmarkStart w:id="74" w:name="_Toc238561319"/>
      <w:r>
        <w:rPr>
          <w:rFonts w:hint="eastAsia"/>
        </w:rPr>
        <w:t>（三）健全内部控制机制，补齐关键环节短板</w:t>
      </w:r>
      <w:bookmarkEnd w:id="74"/>
    </w:p>
    <w:p w14:paraId="5ABA4F05">
      <w:pPr>
        <w:pStyle w:val="40"/>
        <w:spacing w:line="560" w:lineRule="exact"/>
        <w:outlineLvl w:val="9"/>
        <w:rPr>
          <w:rFonts w:ascii="仿宋_GB2312" w:eastAsia="仿宋_GB2312"/>
        </w:rPr>
      </w:pPr>
      <w:r>
        <w:rPr>
          <w:rFonts w:hint="eastAsia" w:ascii="仿宋_GB2312" w:eastAsia="仿宋_GB2312"/>
        </w:rPr>
        <w:t>一是落实关键岗位轮岗及替代管控机制。建议市生态环境局针对合同管理等内控关键岗位，制定常态化轮岗计划、明确轮岗周期。对不具备轮岗条件的岗位，严格落实专项审计替代管控措施。</w:t>
      </w:r>
    </w:p>
    <w:p w14:paraId="37DB5444">
      <w:pPr>
        <w:pStyle w:val="40"/>
        <w:spacing w:line="560" w:lineRule="exact"/>
        <w:outlineLvl w:val="9"/>
        <w:rPr>
          <w:rFonts w:ascii="仿宋_GB2312" w:eastAsia="仿宋_GB2312"/>
        </w:rPr>
      </w:pPr>
      <w:r>
        <w:rPr>
          <w:rFonts w:hint="eastAsia" w:ascii="仿宋_GB2312" w:eastAsia="仿宋_GB2312"/>
        </w:rPr>
        <w:t>二是完善轮岗制度，细化岗位交接流程。修订关键岗位轮岗管理制度，规范岗位交接、资料移交、业务衔接、责任划分等流程，健全轮岗全流程管理体系。规范交接手续、留存归档资料，确保岗位轮岗有据可依、全程可溯。</w:t>
      </w:r>
    </w:p>
    <w:p w14:paraId="1D09523B">
      <w:pPr>
        <w:pStyle w:val="40"/>
        <w:spacing w:line="560" w:lineRule="exact"/>
        <w:outlineLvl w:val="9"/>
        <w:rPr>
          <w:rFonts w:ascii="仿宋_GB2312" w:eastAsia="仿宋_GB2312"/>
        </w:rPr>
      </w:pPr>
      <w:r>
        <w:rPr>
          <w:rFonts w:hint="eastAsia" w:ascii="仿宋_GB2312" w:eastAsia="仿宋_GB2312"/>
        </w:rPr>
        <w:t>三是建立无形资产管理制度。修订部门资产管理制度，新增无形资产管理相关规范，将无形资产配置、使用、处置等全环节纳入内控体系。明确专属管理岗位职责，实现固定资产与无形资产一体化、全覆盖规范化管理，消除资产监管盲区。</w:t>
      </w:r>
    </w:p>
    <w:p w14:paraId="47D573DC">
      <w:pPr>
        <w:pStyle w:val="40"/>
        <w:spacing w:line="560" w:lineRule="exact"/>
      </w:pPr>
      <w:bookmarkStart w:id="75" w:name="_Toc238561320"/>
      <w:r>
        <w:rPr>
          <w:rFonts w:hint="eastAsia"/>
        </w:rPr>
        <w:t>（四）规范在建工程暂估转固，健全资产核算机制</w:t>
      </w:r>
      <w:bookmarkEnd w:id="75"/>
    </w:p>
    <w:p w14:paraId="0E2BFD97">
      <w:pPr>
        <w:pStyle w:val="40"/>
        <w:spacing w:line="560" w:lineRule="exact"/>
        <w:outlineLvl w:val="9"/>
        <w:rPr>
          <w:rFonts w:ascii="仿宋_GB2312" w:eastAsia="仿宋_GB2312"/>
        </w:rPr>
      </w:pPr>
      <w:r>
        <w:rPr>
          <w:rFonts w:hint="eastAsia" w:ascii="仿宋_GB2312" w:eastAsia="仿宋_GB2312"/>
        </w:rPr>
        <w:t>一是建议市生态环境局全面梳理单位已完工、已交付未决算的在建工程项目，对已投入使用的存量项目按规定完成暂估入账。建立在建工程动态台账管理机制，明确项目完工、验收、交付、转固、决算各环节时限要求。常态化开展在建工程排查，杜绝长期挂账不转固问题，确保账实相符，规范国有资产核算管理。</w:t>
      </w:r>
    </w:p>
    <w:p w14:paraId="543A5B9A">
      <w:pPr>
        <w:pStyle w:val="40"/>
        <w:spacing w:line="560" w:lineRule="exact"/>
        <w:outlineLvl w:val="9"/>
        <w:rPr>
          <w:rFonts w:ascii="仿宋_GB2312" w:eastAsia="仿宋_GB2312"/>
        </w:rPr>
      </w:pPr>
      <w:r>
        <w:rPr>
          <w:rFonts w:hint="eastAsia" w:ascii="仿宋_GB2312" w:eastAsia="仿宋_GB2312"/>
        </w:rPr>
        <w:t>二是针对供应商破产的情况，依据合同、结算书、支付凭证等可靠资料，尽快对项目成本进行核定，以此作为竣工财务决算的依据。</w:t>
      </w:r>
    </w:p>
    <w:p w14:paraId="6AB9C8B0">
      <w:pPr>
        <w:pStyle w:val="40"/>
        <w:spacing w:line="560" w:lineRule="exact"/>
        <w:outlineLvl w:val="9"/>
        <w:rPr>
          <w:rFonts w:ascii="仿宋_GB2312" w:eastAsia="仿宋_GB2312"/>
        </w:rPr>
      </w:pPr>
      <w:bookmarkStart w:id="76" w:name="_Toc238561321"/>
    </w:p>
    <w:p w14:paraId="3EE611C7">
      <w:pPr>
        <w:pStyle w:val="40"/>
        <w:spacing w:line="560" w:lineRule="exact"/>
      </w:pPr>
      <w:r>
        <w:rPr>
          <w:rFonts w:hint="eastAsia"/>
        </w:rPr>
        <w:t>（五）规范遗留主体管理，强化银行账户内控管控</w:t>
      </w:r>
      <w:bookmarkEnd w:id="76"/>
    </w:p>
    <w:p w14:paraId="10EB6E90">
      <w:pPr>
        <w:pStyle w:val="40"/>
        <w:spacing w:line="560" w:lineRule="exact"/>
        <w:outlineLvl w:val="9"/>
        <w:rPr>
          <w:rFonts w:ascii="仿宋_GB2312" w:eastAsia="仿宋_GB2312"/>
        </w:rPr>
      </w:pPr>
      <w:r>
        <w:rPr>
          <w:rFonts w:hint="eastAsia" w:ascii="仿宋_GB2312" w:eastAsia="仿宋_GB2312"/>
        </w:rPr>
        <w:t>建议市北分局全面排查已撤销学会、社团等历史遗留主体，厘清部门代管权责边界，补齐归档不全的会计资料。常态化开展银行账户清查工作，对终止存续的主体及时按规定办理账户注销及备案。完善财务内控机制，建立历史遗留事项台账，闭环处置存量问题，举一反三规避账户长期挂账、无依据代管等风险。</w:t>
      </w:r>
      <w:bookmarkEnd w:id="71"/>
    </w:p>
    <w:sectPr>
      <w:footerReference r:id="rId3" w:type="default"/>
      <w:pgSz w:w="11906" w:h="16838"/>
      <w:pgMar w:top="2041" w:right="1701" w:bottom="2041" w:left="1701" w:header="851" w:footer="1361" w:gutter="0"/>
      <w:pgNumType w:start="1"/>
      <w:cols w:space="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Arial">
    <w:panose1 w:val="020B0604020202020204"/>
    <w:charset w:val="00"/>
    <w:family w:val="swiss"/>
    <w:pitch w:val="default"/>
    <w:sig w:usb0="00007A87" w:usb1="80000000" w:usb2="00000008" w:usb3="00000000" w:csb0="400001FF" w:csb1="FFFF0000"/>
  </w:font>
  <w:font w:name="仿宋">
    <w:panose1 w:val="02010609060101010101"/>
    <w:charset w:val="86"/>
    <w:family w:val="modern"/>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Calibri Light">
    <w:panose1 w:val="020F0302020204030204"/>
    <w:charset w:val="00"/>
    <w:family w:val="swiss"/>
    <w:pitch w:val="default"/>
    <w:sig w:usb0="A00002EF" w:usb1="4000207B" w:usb2="00000000" w:usb3="00000000" w:csb0="2000019F" w:csb1="00000000"/>
  </w:font>
  <w:font w:name="方正小标宋_GBK">
    <w:panose1 w:val="02000000000000000000"/>
    <w:charset w:val="86"/>
    <w:family w:val="script"/>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487E2D">
    <w:pPr>
      <w:pStyle w:val="1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zFhYmZmMjllYTAzZGU4NDMxMzdkZWY3ZTYxY2M2ZjgifQ=="/>
  </w:docVars>
  <w:rsids>
    <w:rsidRoot w:val="008B0447"/>
    <w:rsid w:val="000019C8"/>
    <w:rsid w:val="00007FA7"/>
    <w:rsid w:val="0001114A"/>
    <w:rsid w:val="00015D84"/>
    <w:rsid w:val="0002024D"/>
    <w:rsid w:val="00022CD2"/>
    <w:rsid w:val="00023D2D"/>
    <w:rsid w:val="00036BFE"/>
    <w:rsid w:val="00043432"/>
    <w:rsid w:val="00045C2A"/>
    <w:rsid w:val="000513F4"/>
    <w:rsid w:val="00051F5B"/>
    <w:rsid w:val="00053A76"/>
    <w:rsid w:val="00075B02"/>
    <w:rsid w:val="00096B7E"/>
    <w:rsid w:val="0009759F"/>
    <w:rsid w:val="000A15FC"/>
    <w:rsid w:val="000A3085"/>
    <w:rsid w:val="000A3C9E"/>
    <w:rsid w:val="000B0C30"/>
    <w:rsid w:val="000B0FD5"/>
    <w:rsid w:val="000B49A1"/>
    <w:rsid w:val="000B4F6E"/>
    <w:rsid w:val="000B52BA"/>
    <w:rsid w:val="000C3683"/>
    <w:rsid w:val="000C6BFC"/>
    <w:rsid w:val="000E3C26"/>
    <w:rsid w:val="000E755A"/>
    <w:rsid w:val="000E793A"/>
    <w:rsid w:val="000F2864"/>
    <w:rsid w:val="000F5AE8"/>
    <w:rsid w:val="001241FD"/>
    <w:rsid w:val="00134F3F"/>
    <w:rsid w:val="001357BD"/>
    <w:rsid w:val="00144978"/>
    <w:rsid w:val="0015378B"/>
    <w:rsid w:val="00154229"/>
    <w:rsid w:val="00154C3C"/>
    <w:rsid w:val="00155345"/>
    <w:rsid w:val="00160E19"/>
    <w:rsid w:val="00170C59"/>
    <w:rsid w:val="00181C82"/>
    <w:rsid w:val="0018277B"/>
    <w:rsid w:val="0018324D"/>
    <w:rsid w:val="00191BEE"/>
    <w:rsid w:val="00192D21"/>
    <w:rsid w:val="001A1404"/>
    <w:rsid w:val="001A7A1B"/>
    <w:rsid w:val="001B2979"/>
    <w:rsid w:val="001B4BE1"/>
    <w:rsid w:val="001B4DC3"/>
    <w:rsid w:val="001B6080"/>
    <w:rsid w:val="001C67B4"/>
    <w:rsid w:val="001D49DB"/>
    <w:rsid w:val="001D6116"/>
    <w:rsid w:val="001D748E"/>
    <w:rsid w:val="001E7A39"/>
    <w:rsid w:val="001E7B7E"/>
    <w:rsid w:val="001F169A"/>
    <w:rsid w:val="00212D08"/>
    <w:rsid w:val="00235F91"/>
    <w:rsid w:val="00236EEA"/>
    <w:rsid w:val="00245AC8"/>
    <w:rsid w:val="00247269"/>
    <w:rsid w:val="00252691"/>
    <w:rsid w:val="00257F1A"/>
    <w:rsid w:val="00262B60"/>
    <w:rsid w:val="00273B65"/>
    <w:rsid w:val="002866BB"/>
    <w:rsid w:val="002A0F55"/>
    <w:rsid w:val="002A49CF"/>
    <w:rsid w:val="002C0AFB"/>
    <w:rsid w:val="002C4E9C"/>
    <w:rsid w:val="002C7FC4"/>
    <w:rsid w:val="002D08F8"/>
    <w:rsid w:val="002F396D"/>
    <w:rsid w:val="00304528"/>
    <w:rsid w:val="003056E7"/>
    <w:rsid w:val="00322257"/>
    <w:rsid w:val="003250C3"/>
    <w:rsid w:val="0032717E"/>
    <w:rsid w:val="00330434"/>
    <w:rsid w:val="003355FD"/>
    <w:rsid w:val="00335B31"/>
    <w:rsid w:val="00357D85"/>
    <w:rsid w:val="003667BD"/>
    <w:rsid w:val="00371E05"/>
    <w:rsid w:val="00376087"/>
    <w:rsid w:val="003911DB"/>
    <w:rsid w:val="00393B0A"/>
    <w:rsid w:val="00396BF5"/>
    <w:rsid w:val="00396DF8"/>
    <w:rsid w:val="003A31D4"/>
    <w:rsid w:val="003B04CB"/>
    <w:rsid w:val="003B7D91"/>
    <w:rsid w:val="003C09AB"/>
    <w:rsid w:val="003C53B3"/>
    <w:rsid w:val="003C5E77"/>
    <w:rsid w:val="003D049A"/>
    <w:rsid w:val="003D6624"/>
    <w:rsid w:val="003D6DAE"/>
    <w:rsid w:val="003D7AD1"/>
    <w:rsid w:val="003D7BC4"/>
    <w:rsid w:val="003E17AB"/>
    <w:rsid w:val="003E2C11"/>
    <w:rsid w:val="003E4923"/>
    <w:rsid w:val="003F5810"/>
    <w:rsid w:val="0041403A"/>
    <w:rsid w:val="004158BA"/>
    <w:rsid w:val="0042631C"/>
    <w:rsid w:val="00430A55"/>
    <w:rsid w:val="004474A6"/>
    <w:rsid w:val="00453F0F"/>
    <w:rsid w:val="004545A2"/>
    <w:rsid w:val="0045472D"/>
    <w:rsid w:val="0045529D"/>
    <w:rsid w:val="00457964"/>
    <w:rsid w:val="00466DA1"/>
    <w:rsid w:val="00483A61"/>
    <w:rsid w:val="00487AAE"/>
    <w:rsid w:val="00494A83"/>
    <w:rsid w:val="00495B4E"/>
    <w:rsid w:val="00496150"/>
    <w:rsid w:val="004B4ED2"/>
    <w:rsid w:val="004B78AE"/>
    <w:rsid w:val="004D2246"/>
    <w:rsid w:val="004D6724"/>
    <w:rsid w:val="004D67C2"/>
    <w:rsid w:val="004D69A8"/>
    <w:rsid w:val="004E4EBB"/>
    <w:rsid w:val="00505205"/>
    <w:rsid w:val="005071E5"/>
    <w:rsid w:val="00517051"/>
    <w:rsid w:val="00523504"/>
    <w:rsid w:val="00525813"/>
    <w:rsid w:val="00543831"/>
    <w:rsid w:val="00547722"/>
    <w:rsid w:val="0055088B"/>
    <w:rsid w:val="00553CAF"/>
    <w:rsid w:val="00555986"/>
    <w:rsid w:val="00556BFA"/>
    <w:rsid w:val="00563E41"/>
    <w:rsid w:val="005732F1"/>
    <w:rsid w:val="0059474E"/>
    <w:rsid w:val="00596D86"/>
    <w:rsid w:val="005B2F52"/>
    <w:rsid w:val="005B7D6F"/>
    <w:rsid w:val="005C4474"/>
    <w:rsid w:val="005C5F20"/>
    <w:rsid w:val="005F506C"/>
    <w:rsid w:val="005F6E5F"/>
    <w:rsid w:val="005F7591"/>
    <w:rsid w:val="00604642"/>
    <w:rsid w:val="00610D5E"/>
    <w:rsid w:val="0061418F"/>
    <w:rsid w:val="00615249"/>
    <w:rsid w:val="006168DA"/>
    <w:rsid w:val="006200FF"/>
    <w:rsid w:val="00622566"/>
    <w:rsid w:val="00642855"/>
    <w:rsid w:val="00645CD9"/>
    <w:rsid w:val="00657797"/>
    <w:rsid w:val="006703B5"/>
    <w:rsid w:val="00675152"/>
    <w:rsid w:val="006755EE"/>
    <w:rsid w:val="00684EBC"/>
    <w:rsid w:val="006902CA"/>
    <w:rsid w:val="00691DF1"/>
    <w:rsid w:val="006A17E0"/>
    <w:rsid w:val="006A1DC4"/>
    <w:rsid w:val="006A4B7F"/>
    <w:rsid w:val="006C451A"/>
    <w:rsid w:val="006C60E0"/>
    <w:rsid w:val="006D1568"/>
    <w:rsid w:val="006E56B8"/>
    <w:rsid w:val="006F43A2"/>
    <w:rsid w:val="00700F0C"/>
    <w:rsid w:val="00707631"/>
    <w:rsid w:val="007076E8"/>
    <w:rsid w:val="0071490B"/>
    <w:rsid w:val="0071684E"/>
    <w:rsid w:val="00720137"/>
    <w:rsid w:val="0072546F"/>
    <w:rsid w:val="00733EA6"/>
    <w:rsid w:val="007431AB"/>
    <w:rsid w:val="007511F4"/>
    <w:rsid w:val="00751D80"/>
    <w:rsid w:val="007572B7"/>
    <w:rsid w:val="0076061F"/>
    <w:rsid w:val="0078211C"/>
    <w:rsid w:val="0078560F"/>
    <w:rsid w:val="00793471"/>
    <w:rsid w:val="007977F5"/>
    <w:rsid w:val="007A5782"/>
    <w:rsid w:val="007B0788"/>
    <w:rsid w:val="007B084D"/>
    <w:rsid w:val="007B23F0"/>
    <w:rsid w:val="007C45FF"/>
    <w:rsid w:val="007C612D"/>
    <w:rsid w:val="007D24BA"/>
    <w:rsid w:val="007D2DEB"/>
    <w:rsid w:val="007D46E9"/>
    <w:rsid w:val="007E18FE"/>
    <w:rsid w:val="007E1BC6"/>
    <w:rsid w:val="007E40E8"/>
    <w:rsid w:val="007E48FE"/>
    <w:rsid w:val="0080194E"/>
    <w:rsid w:val="008042C3"/>
    <w:rsid w:val="0080773A"/>
    <w:rsid w:val="00813C74"/>
    <w:rsid w:val="008166A7"/>
    <w:rsid w:val="008222AA"/>
    <w:rsid w:val="00835877"/>
    <w:rsid w:val="00843619"/>
    <w:rsid w:val="00847E17"/>
    <w:rsid w:val="00850B4A"/>
    <w:rsid w:val="00856694"/>
    <w:rsid w:val="00856B80"/>
    <w:rsid w:val="00880F36"/>
    <w:rsid w:val="00881FFD"/>
    <w:rsid w:val="00895279"/>
    <w:rsid w:val="008A0CEB"/>
    <w:rsid w:val="008B0447"/>
    <w:rsid w:val="008B18C9"/>
    <w:rsid w:val="008C584A"/>
    <w:rsid w:val="008C6AFC"/>
    <w:rsid w:val="008D6803"/>
    <w:rsid w:val="008D7911"/>
    <w:rsid w:val="008E10EF"/>
    <w:rsid w:val="008E215E"/>
    <w:rsid w:val="008E53AB"/>
    <w:rsid w:val="008F6E9B"/>
    <w:rsid w:val="009015F6"/>
    <w:rsid w:val="0091562A"/>
    <w:rsid w:val="00923ED6"/>
    <w:rsid w:val="009340C4"/>
    <w:rsid w:val="00935741"/>
    <w:rsid w:val="009361BD"/>
    <w:rsid w:val="0094715C"/>
    <w:rsid w:val="009479AF"/>
    <w:rsid w:val="00954345"/>
    <w:rsid w:val="00962F04"/>
    <w:rsid w:val="0097629D"/>
    <w:rsid w:val="00982AE9"/>
    <w:rsid w:val="00987EBB"/>
    <w:rsid w:val="00992021"/>
    <w:rsid w:val="00995D5B"/>
    <w:rsid w:val="009965F8"/>
    <w:rsid w:val="0099797F"/>
    <w:rsid w:val="009A5CE7"/>
    <w:rsid w:val="009B4FAA"/>
    <w:rsid w:val="009B735A"/>
    <w:rsid w:val="009C2C39"/>
    <w:rsid w:val="009D7180"/>
    <w:rsid w:val="009E0F6F"/>
    <w:rsid w:val="009F221A"/>
    <w:rsid w:val="009F360B"/>
    <w:rsid w:val="009F56A8"/>
    <w:rsid w:val="009F65C1"/>
    <w:rsid w:val="00A05072"/>
    <w:rsid w:val="00A05409"/>
    <w:rsid w:val="00A10FA7"/>
    <w:rsid w:val="00A13428"/>
    <w:rsid w:val="00A13DC8"/>
    <w:rsid w:val="00A23F15"/>
    <w:rsid w:val="00A33F76"/>
    <w:rsid w:val="00A359AA"/>
    <w:rsid w:val="00A36582"/>
    <w:rsid w:val="00A466B4"/>
    <w:rsid w:val="00A804F5"/>
    <w:rsid w:val="00A84B32"/>
    <w:rsid w:val="00A95D08"/>
    <w:rsid w:val="00AA5ED5"/>
    <w:rsid w:val="00AB492E"/>
    <w:rsid w:val="00AC6543"/>
    <w:rsid w:val="00AD6955"/>
    <w:rsid w:val="00AE0BCA"/>
    <w:rsid w:val="00AE2526"/>
    <w:rsid w:val="00AF1CE8"/>
    <w:rsid w:val="00AF2DFA"/>
    <w:rsid w:val="00AF44B7"/>
    <w:rsid w:val="00AF6D64"/>
    <w:rsid w:val="00B0758B"/>
    <w:rsid w:val="00B11825"/>
    <w:rsid w:val="00B143E8"/>
    <w:rsid w:val="00B14ADF"/>
    <w:rsid w:val="00B174CE"/>
    <w:rsid w:val="00B22AAA"/>
    <w:rsid w:val="00B25725"/>
    <w:rsid w:val="00B32A96"/>
    <w:rsid w:val="00B3380A"/>
    <w:rsid w:val="00B346B0"/>
    <w:rsid w:val="00B463C2"/>
    <w:rsid w:val="00B474E1"/>
    <w:rsid w:val="00B47C5D"/>
    <w:rsid w:val="00B538CE"/>
    <w:rsid w:val="00B5602E"/>
    <w:rsid w:val="00B573DE"/>
    <w:rsid w:val="00B57756"/>
    <w:rsid w:val="00B7192C"/>
    <w:rsid w:val="00B7684C"/>
    <w:rsid w:val="00B8517E"/>
    <w:rsid w:val="00B9435C"/>
    <w:rsid w:val="00BA0D58"/>
    <w:rsid w:val="00BA5C03"/>
    <w:rsid w:val="00BC2454"/>
    <w:rsid w:val="00BC54E5"/>
    <w:rsid w:val="00BC58AD"/>
    <w:rsid w:val="00BC73C5"/>
    <w:rsid w:val="00BD2F42"/>
    <w:rsid w:val="00BE3A33"/>
    <w:rsid w:val="00BE7048"/>
    <w:rsid w:val="00BF1CDD"/>
    <w:rsid w:val="00BF6DAE"/>
    <w:rsid w:val="00C121CA"/>
    <w:rsid w:val="00C12357"/>
    <w:rsid w:val="00C137D6"/>
    <w:rsid w:val="00C177EF"/>
    <w:rsid w:val="00C343D1"/>
    <w:rsid w:val="00C45138"/>
    <w:rsid w:val="00C457B8"/>
    <w:rsid w:val="00C51ACA"/>
    <w:rsid w:val="00C64D5A"/>
    <w:rsid w:val="00C65369"/>
    <w:rsid w:val="00C715CE"/>
    <w:rsid w:val="00C71A0D"/>
    <w:rsid w:val="00C71E57"/>
    <w:rsid w:val="00C75F9B"/>
    <w:rsid w:val="00C76DED"/>
    <w:rsid w:val="00C77F42"/>
    <w:rsid w:val="00C92F5A"/>
    <w:rsid w:val="00C975F8"/>
    <w:rsid w:val="00CA08FC"/>
    <w:rsid w:val="00CA19E4"/>
    <w:rsid w:val="00CB5A91"/>
    <w:rsid w:val="00CC5FC6"/>
    <w:rsid w:val="00CC6B98"/>
    <w:rsid w:val="00CC75B4"/>
    <w:rsid w:val="00CD4A3D"/>
    <w:rsid w:val="00CE4640"/>
    <w:rsid w:val="00CF73A0"/>
    <w:rsid w:val="00D00278"/>
    <w:rsid w:val="00D07CD6"/>
    <w:rsid w:val="00D12D42"/>
    <w:rsid w:val="00D168D0"/>
    <w:rsid w:val="00D27341"/>
    <w:rsid w:val="00D27551"/>
    <w:rsid w:val="00D40E84"/>
    <w:rsid w:val="00D42540"/>
    <w:rsid w:val="00D43A66"/>
    <w:rsid w:val="00D50A56"/>
    <w:rsid w:val="00D50A89"/>
    <w:rsid w:val="00D751DA"/>
    <w:rsid w:val="00D80B9D"/>
    <w:rsid w:val="00D8571A"/>
    <w:rsid w:val="00D87083"/>
    <w:rsid w:val="00D90949"/>
    <w:rsid w:val="00DB1759"/>
    <w:rsid w:val="00DB6B61"/>
    <w:rsid w:val="00DC0706"/>
    <w:rsid w:val="00DC0CF2"/>
    <w:rsid w:val="00DC4B70"/>
    <w:rsid w:val="00DD18FD"/>
    <w:rsid w:val="00DF2A5A"/>
    <w:rsid w:val="00DF5379"/>
    <w:rsid w:val="00DF5543"/>
    <w:rsid w:val="00E012A2"/>
    <w:rsid w:val="00E050A3"/>
    <w:rsid w:val="00E05927"/>
    <w:rsid w:val="00E0631D"/>
    <w:rsid w:val="00E17661"/>
    <w:rsid w:val="00E20BD7"/>
    <w:rsid w:val="00E21613"/>
    <w:rsid w:val="00E35039"/>
    <w:rsid w:val="00E45731"/>
    <w:rsid w:val="00E4796C"/>
    <w:rsid w:val="00E54F4F"/>
    <w:rsid w:val="00E57A05"/>
    <w:rsid w:val="00E655DD"/>
    <w:rsid w:val="00E774D0"/>
    <w:rsid w:val="00E77DE1"/>
    <w:rsid w:val="00E80C7A"/>
    <w:rsid w:val="00E844B7"/>
    <w:rsid w:val="00E90D70"/>
    <w:rsid w:val="00E91DB2"/>
    <w:rsid w:val="00E96BD7"/>
    <w:rsid w:val="00EA1AA2"/>
    <w:rsid w:val="00EB019A"/>
    <w:rsid w:val="00EB68C8"/>
    <w:rsid w:val="00EB6E62"/>
    <w:rsid w:val="00EC44ED"/>
    <w:rsid w:val="00EC6C61"/>
    <w:rsid w:val="00ED16D5"/>
    <w:rsid w:val="00ED3044"/>
    <w:rsid w:val="00ED3AC4"/>
    <w:rsid w:val="00ED6110"/>
    <w:rsid w:val="00ED775E"/>
    <w:rsid w:val="00EE09B2"/>
    <w:rsid w:val="00EE30FE"/>
    <w:rsid w:val="00EE6040"/>
    <w:rsid w:val="00EF57CC"/>
    <w:rsid w:val="00EF6500"/>
    <w:rsid w:val="00F035DC"/>
    <w:rsid w:val="00F05455"/>
    <w:rsid w:val="00F1715E"/>
    <w:rsid w:val="00F173FB"/>
    <w:rsid w:val="00F1745D"/>
    <w:rsid w:val="00F22F53"/>
    <w:rsid w:val="00F32864"/>
    <w:rsid w:val="00F360C3"/>
    <w:rsid w:val="00F47D0D"/>
    <w:rsid w:val="00F62FD5"/>
    <w:rsid w:val="00F636B1"/>
    <w:rsid w:val="00F65276"/>
    <w:rsid w:val="00F65ADE"/>
    <w:rsid w:val="00F662FA"/>
    <w:rsid w:val="00F778C0"/>
    <w:rsid w:val="00F87F67"/>
    <w:rsid w:val="00F903C7"/>
    <w:rsid w:val="00F91A0B"/>
    <w:rsid w:val="00F96EEE"/>
    <w:rsid w:val="00FA3338"/>
    <w:rsid w:val="00FA54C0"/>
    <w:rsid w:val="00FB1B04"/>
    <w:rsid w:val="00FB263E"/>
    <w:rsid w:val="00FB3D86"/>
    <w:rsid w:val="00FC17CE"/>
    <w:rsid w:val="00FC5424"/>
    <w:rsid w:val="00FC5EC3"/>
    <w:rsid w:val="00FD2E79"/>
    <w:rsid w:val="00FD452E"/>
    <w:rsid w:val="019E7096"/>
    <w:rsid w:val="03690B19"/>
    <w:rsid w:val="03A83D63"/>
    <w:rsid w:val="06C13B3D"/>
    <w:rsid w:val="09B07E99"/>
    <w:rsid w:val="09BA7472"/>
    <w:rsid w:val="0D4B21E0"/>
    <w:rsid w:val="106A3C74"/>
    <w:rsid w:val="108138D5"/>
    <w:rsid w:val="12DE5CA2"/>
    <w:rsid w:val="14AB251F"/>
    <w:rsid w:val="14D46C4C"/>
    <w:rsid w:val="14ED1FA1"/>
    <w:rsid w:val="17B24D18"/>
    <w:rsid w:val="181F7418"/>
    <w:rsid w:val="183D6D9C"/>
    <w:rsid w:val="18FF5E67"/>
    <w:rsid w:val="19BD2937"/>
    <w:rsid w:val="1AA34517"/>
    <w:rsid w:val="1ACA5DB9"/>
    <w:rsid w:val="1BFFAE89"/>
    <w:rsid w:val="1C051C92"/>
    <w:rsid w:val="1D9853D9"/>
    <w:rsid w:val="1E0909D4"/>
    <w:rsid w:val="1E6F36C7"/>
    <w:rsid w:val="1EEF6609"/>
    <w:rsid w:val="1FBB4CB8"/>
    <w:rsid w:val="20DA05F8"/>
    <w:rsid w:val="2117772D"/>
    <w:rsid w:val="220303B2"/>
    <w:rsid w:val="235D367F"/>
    <w:rsid w:val="238916A4"/>
    <w:rsid w:val="258C6064"/>
    <w:rsid w:val="25E042FA"/>
    <w:rsid w:val="26F6725A"/>
    <w:rsid w:val="286B210C"/>
    <w:rsid w:val="29FD638B"/>
    <w:rsid w:val="2A9D6F7B"/>
    <w:rsid w:val="2ADC0696"/>
    <w:rsid w:val="2BB42A4E"/>
    <w:rsid w:val="2CE21007"/>
    <w:rsid w:val="2CF3B67F"/>
    <w:rsid w:val="2DC8748F"/>
    <w:rsid w:val="3041265D"/>
    <w:rsid w:val="309A2C73"/>
    <w:rsid w:val="309B2A2B"/>
    <w:rsid w:val="310962B6"/>
    <w:rsid w:val="3314002C"/>
    <w:rsid w:val="33F12DA4"/>
    <w:rsid w:val="34FE3CD8"/>
    <w:rsid w:val="355C24C3"/>
    <w:rsid w:val="374451AA"/>
    <w:rsid w:val="3776F46E"/>
    <w:rsid w:val="37F78997"/>
    <w:rsid w:val="386319C0"/>
    <w:rsid w:val="3865A1A4"/>
    <w:rsid w:val="397CE9A6"/>
    <w:rsid w:val="39BF35FB"/>
    <w:rsid w:val="39C6262D"/>
    <w:rsid w:val="39FCED62"/>
    <w:rsid w:val="3B7F4D83"/>
    <w:rsid w:val="3BEE215C"/>
    <w:rsid w:val="3BF50D46"/>
    <w:rsid w:val="3CF75132"/>
    <w:rsid w:val="3D0B1823"/>
    <w:rsid w:val="3D7312C8"/>
    <w:rsid w:val="3DB7756A"/>
    <w:rsid w:val="3DBF42CD"/>
    <w:rsid w:val="3EA94A41"/>
    <w:rsid w:val="3ECF1B4D"/>
    <w:rsid w:val="3EDFC44E"/>
    <w:rsid w:val="3F234FEF"/>
    <w:rsid w:val="3F5F9D70"/>
    <w:rsid w:val="3F77C186"/>
    <w:rsid w:val="3F7AC0C9"/>
    <w:rsid w:val="3FDECD79"/>
    <w:rsid w:val="3FFB276C"/>
    <w:rsid w:val="40C75EBF"/>
    <w:rsid w:val="40E85E9C"/>
    <w:rsid w:val="41EE64F6"/>
    <w:rsid w:val="42023F80"/>
    <w:rsid w:val="424C62EA"/>
    <w:rsid w:val="429D78C1"/>
    <w:rsid w:val="4338675A"/>
    <w:rsid w:val="4612161E"/>
    <w:rsid w:val="465F362C"/>
    <w:rsid w:val="48355812"/>
    <w:rsid w:val="48602BB4"/>
    <w:rsid w:val="491F7AD3"/>
    <w:rsid w:val="492547B4"/>
    <w:rsid w:val="4C59349D"/>
    <w:rsid w:val="4D3C195E"/>
    <w:rsid w:val="4D7361BD"/>
    <w:rsid w:val="4E5A09FF"/>
    <w:rsid w:val="50481100"/>
    <w:rsid w:val="51F44CED"/>
    <w:rsid w:val="5376CB00"/>
    <w:rsid w:val="53FF67FE"/>
    <w:rsid w:val="5551105C"/>
    <w:rsid w:val="556B68E0"/>
    <w:rsid w:val="56236D75"/>
    <w:rsid w:val="57B716E2"/>
    <w:rsid w:val="57BE99B1"/>
    <w:rsid w:val="57FF5F66"/>
    <w:rsid w:val="5AC461A2"/>
    <w:rsid w:val="5ACFB5DB"/>
    <w:rsid w:val="5BA056B8"/>
    <w:rsid w:val="5BE03D5D"/>
    <w:rsid w:val="5C84196A"/>
    <w:rsid w:val="5E635D67"/>
    <w:rsid w:val="5E7E713A"/>
    <w:rsid w:val="5E910824"/>
    <w:rsid w:val="5FEFF67E"/>
    <w:rsid w:val="5FFF5B13"/>
    <w:rsid w:val="61610FEB"/>
    <w:rsid w:val="63FA2213"/>
    <w:rsid w:val="6496B113"/>
    <w:rsid w:val="672B5ABE"/>
    <w:rsid w:val="67A25464"/>
    <w:rsid w:val="67DB771D"/>
    <w:rsid w:val="67ED4C95"/>
    <w:rsid w:val="68EFF9A4"/>
    <w:rsid w:val="6A251742"/>
    <w:rsid w:val="6AF91B89"/>
    <w:rsid w:val="6B303356"/>
    <w:rsid w:val="6B6FCE79"/>
    <w:rsid w:val="6C692C46"/>
    <w:rsid w:val="6CAB0FA6"/>
    <w:rsid w:val="6CBA6515"/>
    <w:rsid w:val="6DAF21DF"/>
    <w:rsid w:val="6DFB7E6D"/>
    <w:rsid w:val="6E5F047D"/>
    <w:rsid w:val="6E7BA18F"/>
    <w:rsid w:val="6EFF17CD"/>
    <w:rsid w:val="6FDE8095"/>
    <w:rsid w:val="716F1C7C"/>
    <w:rsid w:val="71C15C63"/>
    <w:rsid w:val="72FFE0E2"/>
    <w:rsid w:val="737F3F67"/>
    <w:rsid w:val="73B56F78"/>
    <w:rsid w:val="73DD9030"/>
    <w:rsid w:val="73F159F9"/>
    <w:rsid w:val="74132867"/>
    <w:rsid w:val="75C82A35"/>
    <w:rsid w:val="75CB5922"/>
    <w:rsid w:val="767734ED"/>
    <w:rsid w:val="76BD96D0"/>
    <w:rsid w:val="76CBE2B4"/>
    <w:rsid w:val="773F45DE"/>
    <w:rsid w:val="777F5966"/>
    <w:rsid w:val="77846CDF"/>
    <w:rsid w:val="788B74AC"/>
    <w:rsid w:val="7A960F64"/>
    <w:rsid w:val="7AFC859C"/>
    <w:rsid w:val="7B4F67AF"/>
    <w:rsid w:val="7BF6506E"/>
    <w:rsid w:val="7CFF1094"/>
    <w:rsid w:val="7D3F9DF9"/>
    <w:rsid w:val="7D983E8B"/>
    <w:rsid w:val="7DA7D437"/>
    <w:rsid w:val="7DCF8D61"/>
    <w:rsid w:val="7DDF50B5"/>
    <w:rsid w:val="7DFF45F0"/>
    <w:rsid w:val="7E7B5D6C"/>
    <w:rsid w:val="7E9DDAD1"/>
    <w:rsid w:val="7EEF08BF"/>
    <w:rsid w:val="7EF63618"/>
    <w:rsid w:val="7EFF6556"/>
    <w:rsid w:val="7F3AC593"/>
    <w:rsid w:val="7F4B1A08"/>
    <w:rsid w:val="7F5F12A4"/>
    <w:rsid w:val="7F6B7DA3"/>
    <w:rsid w:val="7F7F1694"/>
    <w:rsid w:val="7FA596AD"/>
    <w:rsid w:val="7FAB24C1"/>
    <w:rsid w:val="7FAF8132"/>
    <w:rsid w:val="7FBD52F4"/>
    <w:rsid w:val="7FCB3AE1"/>
    <w:rsid w:val="7FDA58BE"/>
    <w:rsid w:val="7FDFEDB5"/>
    <w:rsid w:val="7FEEE3BF"/>
    <w:rsid w:val="7FF58F94"/>
    <w:rsid w:val="97AF0D07"/>
    <w:rsid w:val="99FF2FF0"/>
    <w:rsid w:val="9F3B54BF"/>
    <w:rsid w:val="9FEBD2FB"/>
    <w:rsid w:val="A3AEA2A1"/>
    <w:rsid w:val="A7E69486"/>
    <w:rsid w:val="ACFCF4F9"/>
    <w:rsid w:val="AFC13A17"/>
    <w:rsid w:val="B7BE349C"/>
    <w:rsid w:val="B7DDF3AA"/>
    <w:rsid w:val="B7DE2ACE"/>
    <w:rsid w:val="BBEF5982"/>
    <w:rsid w:val="BBF6617E"/>
    <w:rsid w:val="BEAF6FE3"/>
    <w:rsid w:val="BEFD082E"/>
    <w:rsid w:val="BF5E3BA1"/>
    <w:rsid w:val="BFAB67CA"/>
    <w:rsid w:val="BFB58C06"/>
    <w:rsid w:val="BFF9B61D"/>
    <w:rsid w:val="BFFBAE1A"/>
    <w:rsid w:val="BFFC21D4"/>
    <w:rsid w:val="C07D7E31"/>
    <w:rsid w:val="CE5F5439"/>
    <w:rsid w:val="CFDF908A"/>
    <w:rsid w:val="D5A90F25"/>
    <w:rsid w:val="D5FF0CFB"/>
    <w:rsid w:val="D7F9BE65"/>
    <w:rsid w:val="DA7F0989"/>
    <w:rsid w:val="DB7C2505"/>
    <w:rsid w:val="DC9F20BE"/>
    <w:rsid w:val="DDF79968"/>
    <w:rsid w:val="DE9F543B"/>
    <w:rsid w:val="DF9C38CD"/>
    <w:rsid w:val="DFFF2A52"/>
    <w:rsid w:val="E7D566D2"/>
    <w:rsid w:val="EB6E2986"/>
    <w:rsid w:val="EBEF8FA3"/>
    <w:rsid w:val="EE77890D"/>
    <w:rsid w:val="EECF1EBE"/>
    <w:rsid w:val="EEFFFD29"/>
    <w:rsid w:val="EF868546"/>
    <w:rsid w:val="EFEF7655"/>
    <w:rsid w:val="EFF163D1"/>
    <w:rsid w:val="EFFBB7EA"/>
    <w:rsid w:val="EFFF0202"/>
    <w:rsid w:val="F356B9DF"/>
    <w:rsid w:val="F3B7EA4D"/>
    <w:rsid w:val="F5DFD58F"/>
    <w:rsid w:val="F65FECBB"/>
    <w:rsid w:val="F6AF8893"/>
    <w:rsid w:val="F6EB19E8"/>
    <w:rsid w:val="F6F3EA49"/>
    <w:rsid w:val="F6FF15CA"/>
    <w:rsid w:val="F74F984E"/>
    <w:rsid w:val="F7A6FA1E"/>
    <w:rsid w:val="F7A7882A"/>
    <w:rsid w:val="F7BC1B05"/>
    <w:rsid w:val="F7ED2F1A"/>
    <w:rsid w:val="FB5960ED"/>
    <w:rsid w:val="FB69C4A7"/>
    <w:rsid w:val="FBAFF996"/>
    <w:rsid w:val="FBD750FF"/>
    <w:rsid w:val="FBFF16B6"/>
    <w:rsid w:val="FBFFC122"/>
    <w:rsid w:val="FC7A4B9D"/>
    <w:rsid w:val="FD5F312C"/>
    <w:rsid w:val="FDB73E3D"/>
    <w:rsid w:val="FE7BB9F6"/>
    <w:rsid w:val="FEA592E3"/>
    <w:rsid w:val="FEBA637B"/>
    <w:rsid w:val="FEBCB007"/>
    <w:rsid w:val="FEEF26F0"/>
    <w:rsid w:val="FEFFB14E"/>
    <w:rsid w:val="FF5B69F4"/>
    <w:rsid w:val="FFA5FBAD"/>
    <w:rsid w:val="FFB62322"/>
    <w:rsid w:val="FFDF7978"/>
    <w:rsid w:val="FFFBB92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1" w:semiHidden="0" w:name="heading 2"/>
    <w:lsdException w:qFormat="1" w:uiPriority="2" w:semiHidden="0" w:name="heading 3"/>
    <w:lsdException w:qFormat="1" w:uiPriority="3" w:semiHidden="0" w:name="heading 4"/>
    <w:lsdException w:qFormat="1" w:uiPriority="9"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qFormat="1"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1"/>
    <w:basedOn w:val="1"/>
    <w:next w:val="1"/>
    <w:link w:val="24"/>
    <w:qFormat/>
    <w:uiPriority w:val="0"/>
    <w:pPr>
      <w:spacing w:line="600" w:lineRule="exact"/>
      <w:ind w:firstLine="640" w:firstLineChars="200"/>
      <w:outlineLvl w:val="0"/>
    </w:pPr>
    <w:rPr>
      <w:rFonts w:ascii="黑体" w:hAnsi="黑体" w:eastAsia="黑体" w:cs="黑体"/>
      <w:sz w:val="32"/>
      <w:szCs w:val="40"/>
    </w:rPr>
  </w:style>
  <w:style w:type="paragraph" w:styleId="5">
    <w:name w:val="heading 2"/>
    <w:basedOn w:val="1"/>
    <w:next w:val="1"/>
    <w:link w:val="29"/>
    <w:unhideWhenUsed/>
    <w:qFormat/>
    <w:uiPriority w:val="1"/>
    <w:pPr>
      <w:spacing w:line="600" w:lineRule="exact"/>
      <w:ind w:firstLine="640" w:firstLineChars="200"/>
      <w:outlineLvl w:val="1"/>
    </w:pPr>
    <w:rPr>
      <w:rFonts w:ascii="楷体_GB2312" w:hAnsi="楷体_GB2312" w:eastAsia="楷体_GB2312" w:cs="楷体_GB2312"/>
      <w:sz w:val="32"/>
      <w:szCs w:val="40"/>
    </w:rPr>
  </w:style>
  <w:style w:type="paragraph" w:styleId="6">
    <w:name w:val="heading 3"/>
    <w:basedOn w:val="1"/>
    <w:next w:val="1"/>
    <w:link w:val="32"/>
    <w:unhideWhenUsed/>
    <w:qFormat/>
    <w:uiPriority w:val="2"/>
    <w:pPr>
      <w:spacing w:line="600" w:lineRule="exact"/>
      <w:ind w:firstLine="640" w:firstLineChars="200"/>
      <w:outlineLvl w:val="2"/>
    </w:pPr>
    <w:rPr>
      <w:rFonts w:ascii="仿宋_GB2312" w:hAnsi="仿宋_GB2312" w:eastAsia="仿宋_GB2312" w:cs="仿宋_GB2312"/>
      <w:sz w:val="32"/>
      <w:szCs w:val="40"/>
    </w:rPr>
  </w:style>
  <w:style w:type="paragraph" w:styleId="7">
    <w:name w:val="heading 4"/>
    <w:basedOn w:val="1"/>
    <w:next w:val="1"/>
    <w:link w:val="37"/>
    <w:unhideWhenUsed/>
    <w:qFormat/>
    <w:uiPriority w:val="3"/>
    <w:pPr>
      <w:keepNext/>
      <w:keepLines/>
      <w:adjustRightInd w:val="0"/>
      <w:spacing w:before="120" w:after="60" w:line="500" w:lineRule="exact"/>
      <w:ind w:firstLine="200" w:firstLineChars="200"/>
      <w:outlineLvl w:val="3"/>
    </w:pPr>
    <w:rPr>
      <w:rFonts w:ascii="Times New Roman" w:hAnsi="Times New Roman" w:eastAsia="仿宋_GB2312" w:cstheme="majorBidi"/>
      <w:kern w:val="0"/>
      <w:sz w:val="28"/>
      <w:szCs w:val="28"/>
      <w:lang w:val="zh-CN"/>
    </w:rPr>
  </w:style>
  <w:style w:type="paragraph" w:styleId="8">
    <w:name w:val="heading 5"/>
    <w:basedOn w:val="1"/>
    <w:next w:val="1"/>
    <w:link w:val="38"/>
    <w:unhideWhenUsed/>
    <w:qFormat/>
    <w:uiPriority w:val="9"/>
    <w:pPr>
      <w:keepNext/>
      <w:keepLines/>
      <w:spacing w:before="120" w:after="60" w:line="500" w:lineRule="exact"/>
      <w:ind w:left="992"/>
      <w:outlineLvl w:val="4"/>
    </w:pPr>
    <w:rPr>
      <w:rFonts w:ascii="Times New Roman" w:hAnsi="Times New Roman" w:eastAsia="仿宋_GB2312" w:cs="Times New Roman"/>
      <w:kern w:val="0"/>
      <w:sz w:val="28"/>
      <w:szCs w:val="28"/>
      <w:lang w:val="zh-CN"/>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unhideWhenUsed/>
    <w:qFormat/>
    <w:uiPriority w:val="99"/>
    <w:pPr>
      <w:ind w:firstLine="420"/>
    </w:pPr>
  </w:style>
  <w:style w:type="paragraph" w:styleId="3">
    <w:name w:val="Body Text Indent"/>
    <w:basedOn w:val="1"/>
    <w:next w:val="1"/>
    <w:qFormat/>
    <w:uiPriority w:val="0"/>
    <w:pPr>
      <w:widowControl/>
      <w:spacing w:before="100" w:beforeAutospacing="1" w:after="100" w:afterAutospacing="1"/>
      <w:jc w:val="left"/>
    </w:pPr>
    <w:rPr>
      <w:rFonts w:ascii="宋体" w:hAnsi="宋体" w:eastAsia="宋体"/>
      <w:kern w:val="0"/>
      <w:sz w:val="24"/>
    </w:rPr>
  </w:style>
  <w:style w:type="paragraph" w:styleId="9">
    <w:name w:val="annotation text"/>
    <w:basedOn w:val="1"/>
    <w:link w:val="64"/>
    <w:qFormat/>
    <w:uiPriority w:val="0"/>
    <w:pPr>
      <w:jc w:val="left"/>
    </w:pPr>
  </w:style>
  <w:style w:type="paragraph" w:styleId="10">
    <w:name w:val="Body Text"/>
    <w:basedOn w:val="1"/>
    <w:unhideWhenUsed/>
    <w:qFormat/>
    <w:uiPriority w:val="99"/>
    <w:pPr>
      <w:tabs>
        <w:tab w:val="left" w:pos="0"/>
      </w:tabs>
    </w:pPr>
    <w:rPr>
      <w:rFonts w:ascii="宋体" w:hAnsi="宋体" w:eastAsia="仿宋_GB2312"/>
      <w:color w:val="000000"/>
      <w:sz w:val="24"/>
    </w:rPr>
  </w:style>
  <w:style w:type="paragraph" w:styleId="11">
    <w:name w:val="toc 3"/>
    <w:basedOn w:val="1"/>
    <w:next w:val="1"/>
    <w:unhideWhenUsed/>
    <w:qFormat/>
    <w:uiPriority w:val="39"/>
    <w:pPr>
      <w:widowControl/>
      <w:spacing w:after="100" w:line="259" w:lineRule="auto"/>
      <w:ind w:left="440"/>
      <w:jc w:val="left"/>
    </w:pPr>
    <w:rPr>
      <w:rFonts w:cs="Times New Roman"/>
      <w:kern w:val="0"/>
      <w:sz w:val="22"/>
      <w:szCs w:val="22"/>
    </w:rPr>
  </w:style>
  <w:style w:type="paragraph" w:styleId="12">
    <w:name w:val="Balloon Text"/>
    <w:basedOn w:val="1"/>
    <w:link w:val="63"/>
    <w:qFormat/>
    <w:uiPriority w:val="0"/>
    <w:rPr>
      <w:sz w:val="18"/>
      <w:szCs w:val="18"/>
    </w:rPr>
  </w:style>
  <w:style w:type="paragraph" w:styleId="13">
    <w:name w:val="footer"/>
    <w:basedOn w:val="1"/>
    <w:link w:val="59"/>
    <w:qFormat/>
    <w:uiPriority w:val="0"/>
    <w:pPr>
      <w:tabs>
        <w:tab w:val="center" w:pos="4153"/>
        <w:tab w:val="right" w:pos="8306"/>
      </w:tabs>
      <w:snapToGrid w:val="0"/>
      <w:jc w:val="left"/>
    </w:pPr>
    <w:rPr>
      <w:sz w:val="18"/>
    </w:rPr>
  </w:style>
  <w:style w:type="paragraph" w:styleId="1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5">
    <w:name w:val="toc 1"/>
    <w:basedOn w:val="1"/>
    <w:next w:val="1"/>
    <w:unhideWhenUsed/>
    <w:qFormat/>
    <w:uiPriority w:val="39"/>
    <w:pPr>
      <w:widowControl/>
      <w:tabs>
        <w:tab w:val="right" w:leader="dot" w:pos="8494"/>
      </w:tabs>
      <w:spacing w:line="560" w:lineRule="exact"/>
      <w:jc w:val="left"/>
    </w:pPr>
    <w:rPr>
      <w:rFonts w:ascii="黑体" w:hAnsi="黑体" w:eastAsia="黑体" w:cs="Times New Roman"/>
      <w:kern w:val="0"/>
      <w:sz w:val="32"/>
      <w:szCs w:val="32"/>
    </w:rPr>
  </w:style>
  <w:style w:type="paragraph" w:styleId="16">
    <w:name w:val="toc 2"/>
    <w:basedOn w:val="1"/>
    <w:next w:val="1"/>
    <w:unhideWhenUsed/>
    <w:qFormat/>
    <w:uiPriority w:val="39"/>
    <w:pPr>
      <w:widowControl/>
      <w:tabs>
        <w:tab w:val="right" w:leader="dot" w:pos="8494"/>
      </w:tabs>
      <w:spacing w:after="100" w:line="259" w:lineRule="auto"/>
      <w:ind w:left="220"/>
      <w:jc w:val="left"/>
    </w:pPr>
    <w:rPr>
      <w:rFonts w:ascii="楷体_GB2312" w:eastAsia="楷体_GB2312" w:cs="Times New Roman"/>
      <w:kern w:val="0"/>
      <w:sz w:val="32"/>
      <w:szCs w:val="32"/>
    </w:rPr>
  </w:style>
  <w:style w:type="paragraph" w:styleId="17">
    <w:name w:val="Title"/>
    <w:basedOn w:val="1"/>
    <w:next w:val="1"/>
    <w:qFormat/>
    <w:uiPriority w:val="0"/>
    <w:pPr>
      <w:adjustRightInd w:val="0"/>
      <w:snapToGrid w:val="0"/>
      <w:spacing w:line="360" w:lineRule="auto"/>
      <w:ind w:firstLine="800" w:firstLineChars="200"/>
      <w:jc w:val="left"/>
      <w:outlineLvl w:val="0"/>
    </w:pPr>
    <w:rPr>
      <w:rFonts w:ascii="Arial" w:hAnsi="Arial" w:eastAsia="仿宋"/>
      <w:sz w:val="32"/>
      <w:szCs w:val="32"/>
    </w:rPr>
  </w:style>
  <w:style w:type="paragraph" w:styleId="18">
    <w:name w:val="annotation subject"/>
    <w:basedOn w:val="9"/>
    <w:next w:val="9"/>
    <w:link w:val="65"/>
    <w:qFormat/>
    <w:uiPriority w:val="0"/>
    <w:rPr>
      <w:b/>
      <w:bCs/>
    </w:rPr>
  </w:style>
  <w:style w:type="table" w:styleId="20">
    <w:name w:val="Table Grid"/>
    <w:basedOn w:val="19"/>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2">
    <w:name w:val="Hyperlink"/>
    <w:basedOn w:val="21"/>
    <w:unhideWhenUsed/>
    <w:qFormat/>
    <w:uiPriority w:val="99"/>
    <w:rPr>
      <w:color w:val="0563C1" w:themeColor="hyperlink"/>
      <w:u w:val="single"/>
    </w:rPr>
  </w:style>
  <w:style w:type="character" w:styleId="23">
    <w:name w:val="annotation reference"/>
    <w:basedOn w:val="21"/>
    <w:qFormat/>
    <w:uiPriority w:val="0"/>
    <w:rPr>
      <w:sz w:val="21"/>
      <w:szCs w:val="21"/>
    </w:rPr>
  </w:style>
  <w:style w:type="character" w:customStyle="1" w:styleId="24">
    <w:name w:val="标题 1 Char"/>
    <w:basedOn w:val="21"/>
    <w:link w:val="4"/>
    <w:qFormat/>
    <w:uiPriority w:val="0"/>
    <w:rPr>
      <w:rFonts w:ascii="黑体" w:hAnsi="黑体" w:eastAsia="黑体" w:cs="黑体"/>
      <w:kern w:val="2"/>
      <w:sz w:val="32"/>
      <w:szCs w:val="40"/>
    </w:rPr>
  </w:style>
  <w:style w:type="paragraph" w:customStyle="1" w:styleId="25">
    <w:name w:val="_Style 3"/>
    <w:basedOn w:val="1"/>
    <w:next w:val="26"/>
    <w:unhideWhenUsed/>
    <w:qFormat/>
    <w:uiPriority w:val="99"/>
    <w:pPr>
      <w:spacing w:line="360" w:lineRule="auto"/>
      <w:ind w:firstLine="420" w:firstLineChars="200"/>
      <w:jc w:val="left"/>
    </w:pPr>
    <w:rPr>
      <w:rFonts w:ascii="Times New Roman" w:hAnsi="Times New Roman" w:eastAsia="仿宋"/>
      <w:sz w:val="32"/>
      <w:lang w:eastAsia="zh-TW"/>
    </w:rPr>
  </w:style>
  <w:style w:type="paragraph" w:customStyle="1" w:styleId="26">
    <w:name w:val="列出段落1"/>
    <w:basedOn w:val="1"/>
    <w:qFormat/>
    <w:uiPriority w:val="34"/>
    <w:pPr>
      <w:ind w:firstLine="420" w:firstLineChars="200"/>
    </w:pPr>
  </w:style>
  <w:style w:type="paragraph" w:customStyle="1" w:styleId="27">
    <w:name w:val="正文名称"/>
    <w:basedOn w:val="4"/>
    <w:link w:val="28"/>
    <w:qFormat/>
    <w:uiPriority w:val="0"/>
    <w:pPr>
      <w:jc w:val="center"/>
    </w:pPr>
    <w:rPr>
      <w:rFonts w:ascii="方正小标宋简体" w:hAnsi="方正小标宋简体" w:eastAsia="方正小标宋简体" w:cs="方正小标宋简体"/>
      <w:sz w:val="44"/>
      <w:szCs w:val="44"/>
    </w:rPr>
  </w:style>
  <w:style w:type="character" w:customStyle="1" w:styleId="28">
    <w:name w:val="正文名称 字符"/>
    <w:basedOn w:val="21"/>
    <w:link w:val="27"/>
    <w:qFormat/>
    <w:uiPriority w:val="0"/>
    <w:rPr>
      <w:rFonts w:ascii="方正小标宋简体" w:hAnsi="方正小标宋简体" w:eastAsia="方正小标宋简体" w:cs="方正小标宋简体"/>
      <w:kern w:val="2"/>
      <w:sz w:val="44"/>
      <w:szCs w:val="44"/>
    </w:rPr>
  </w:style>
  <w:style w:type="character" w:customStyle="1" w:styleId="29">
    <w:name w:val="标题 2 Char"/>
    <w:basedOn w:val="21"/>
    <w:link w:val="5"/>
    <w:qFormat/>
    <w:uiPriority w:val="0"/>
    <w:rPr>
      <w:rFonts w:ascii="楷体_GB2312" w:hAnsi="楷体_GB2312" w:eastAsia="楷体_GB2312" w:cs="楷体_GB2312"/>
      <w:kern w:val="2"/>
      <w:sz w:val="32"/>
      <w:szCs w:val="40"/>
    </w:rPr>
  </w:style>
  <w:style w:type="paragraph" w:customStyle="1" w:styleId="30">
    <w:name w:val="报告正文"/>
    <w:basedOn w:val="1"/>
    <w:link w:val="31"/>
    <w:qFormat/>
    <w:uiPriority w:val="0"/>
    <w:pPr>
      <w:spacing w:line="600" w:lineRule="exact"/>
      <w:ind w:firstLine="640" w:firstLineChars="200"/>
    </w:pPr>
    <w:rPr>
      <w:rFonts w:ascii="仿宋_GB2312" w:hAnsi="仿宋_GB2312" w:eastAsia="仿宋_GB2312" w:cs="仿宋_GB2312"/>
      <w:sz w:val="32"/>
      <w:szCs w:val="40"/>
    </w:rPr>
  </w:style>
  <w:style w:type="character" w:customStyle="1" w:styleId="31">
    <w:name w:val="报告正文 字符"/>
    <w:basedOn w:val="21"/>
    <w:link w:val="30"/>
    <w:qFormat/>
    <w:uiPriority w:val="0"/>
    <w:rPr>
      <w:rFonts w:ascii="仿宋_GB2312" w:hAnsi="仿宋_GB2312" w:eastAsia="仿宋_GB2312" w:cs="仿宋_GB2312"/>
      <w:kern w:val="2"/>
      <w:sz w:val="32"/>
      <w:szCs w:val="40"/>
    </w:rPr>
  </w:style>
  <w:style w:type="character" w:customStyle="1" w:styleId="32">
    <w:name w:val="标题 3 Char"/>
    <w:basedOn w:val="21"/>
    <w:link w:val="6"/>
    <w:qFormat/>
    <w:uiPriority w:val="0"/>
    <w:rPr>
      <w:rFonts w:ascii="仿宋_GB2312" w:hAnsi="仿宋_GB2312" w:eastAsia="仿宋_GB2312" w:cs="仿宋_GB2312"/>
      <w:kern w:val="2"/>
      <w:sz w:val="32"/>
      <w:szCs w:val="40"/>
    </w:rPr>
  </w:style>
  <w:style w:type="paragraph" w:customStyle="1" w:styleId="33">
    <w:name w:val="报告附件"/>
    <w:basedOn w:val="1"/>
    <w:link w:val="34"/>
    <w:qFormat/>
    <w:uiPriority w:val="0"/>
    <w:pPr>
      <w:spacing w:line="600" w:lineRule="exact"/>
      <w:ind w:firstLine="640" w:firstLineChars="200"/>
    </w:pPr>
    <w:rPr>
      <w:rFonts w:ascii="仿宋_GB2312" w:hAnsi="仿宋_GB2312" w:eastAsia="仿宋_GB2312" w:cs="仿宋_GB2312"/>
      <w:sz w:val="32"/>
      <w:szCs w:val="40"/>
    </w:rPr>
  </w:style>
  <w:style w:type="character" w:customStyle="1" w:styleId="34">
    <w:name w:val="报告附件 字符"/>
    <w:basedOn w:val="21"/>
    <w:link w:val="33"/>
    <w:qFormat/>
    <w:uiPriority w:val="0"/>
    <w:rPr>
      <w:rFonts w:ascii="仿宋_GB2312" w:hAnsi="仿宋_GB2312" w:eastAsia="仿宋_GB2312" w:cs="仿宋_GB2312"/>
      <w:kern w:val="2"/>
      <w:sz w:val="32"/>
      <w:szCs w:val="40"/>
    </w:rPr>
  </w:style>
  <w:style w:type="paragraph" w:customStyle="1" w:styleId="35">
    <w:name w:val="附件"/>
    <w:basedOn w:val="1"/>
    <w:link w:val="36"/>
    <w:qFormat/>
    <w:uiPriority w:val="0"/>
    <w:pPr>
      <w:spacing w:line="600" w:lineRule="exact"/>
    </w:pPr>
    <w:rPr>
      <w:rFonts w:ascii="黑体" w:hAnsi="黑体" w:eastAsia="黑体" w:cs="黑体"/>
      <w:sz w:val="32"/>
      <w:szCs w:val="40"/>
    </w:rPr>
  </w:style>
  <w:style w:type="character" w:customStyle="1" w:styleId="36">
    <w:name w:val="附件 字符"/>
    <w:basedOn w:val="21"/>
    <w:link w:val="35"/>
    <w:qFormat/>
    <w:uiPriority w:val="0"/>
    <w:rPr>
      <w:rFonts w:ascii="黑体" w:hAnsi="黑体" w:eastAsia="黑体" w:cs="黑体"/>
      <w:kern w:val="2"/>
      <w:sz w:val="32"/>
      <w:szCs w:val="40"/>
    </w:rPr>
  </w:style>
  <w:style w:type="character" w:customStyle="1" w:styleId="37">
    <w:name w:val="标题 4 Char"/>
    <w:basedOn w:val="21"/>
    <w:link w:val="7"/>
    <w:qFormat/>
    <w:uiPriority w:val="3"/>
    <w:rPr>
      <w:rFonts w:ascii="Times New Roman" w:hAnsi="Times New Roman" w:eastAsia="仿宋_GB2312" w:cstheme="majorBidi"/>
      <w:sz w:val="28"/>
      <w:szCs w:val="28"/>
      <w:lang w:val="zh-CN" w:eastAsia="zh-CN"/>
    </w:rPr>
  </w:style>
  <w:style w:type="character" w:customStyle="1" w:styleId="38">
    <w:name w:val="标题 5 Char"/>
    <w:basedOn w:val="21"/>
    <w:link w:val="8"/>
    <w:semiHidden/>
    <w:qFormat/>
    <w:uiPriority w:val="9"/>
    <w:rPr>
      <w:rFonts w:ascii="Times New Roman" w:hAnsi="Times New Roman" w:eastAsia="仿宋_GB2312" w:cs="Times New Roman"/>
      <w:sz w:val="28"/>
      <w:szCs w:val="28"/>
      <w:lang w:val="zh-CN" w:eastAsia="zh-CN"/>
    </w:rPr>
  </w:style>
  <w:style w:type="paragraph" w:customStyle="1" w:styleId="39">
    <w:name w:val="附件标题"/>
    <w:basedOn w:val="35"/>
    <w:qFormat/>
    <w:uiPriority w:val="6"/>
    <w:pPr>
      <w:outlineLvl w:val="0"/>
    </w:pPr>
  </w:style>
  <w:style w:type="paragraph" w:customStyle="1" w:styleId="40">
    <w:name w:val="标题2"/>
    <w:basedOn w:val="5"/>
    <w:link w:val="41"/>
    <w:qFormat/>
    <w:uiPriority w:val="0"/>
  </w:style>
  <w:style w:type="character" w:customStyle="1" w:styleId="41">
    <w:name w:val="标题2 字符"/>
    <w:basedOn w:val="29"/>
    <w:link w:val="40"/>
    <w:qFormat/>
    <w:uiPriority w:val="0"/>
    <w:rPr>
      <w:rFonts w:ascii="楷体_GB2312" w:hAnsi="楷体_GB2312" w:eastAsia="楷体_GB2312" w:cs="楷体_GB2312"/>
      <w:kern w:val="2"/>
      <w:sz w:val="32"/>
      <w:szCs w:val="40"/>
    </w:rPr>
  </w:style>
  <w:style w:type="paragraph" w:customStyle="1" w:styleId="42">
    <w:name w:val="标题3"/>
    <w:basedOn w:val="6"/>
    <w:link w:val="43"/>
    <w:qFormat/>
    <w:uiPriority w:val="0"/>
  </w:style>
  <w:style w:type="character" w:customStyle="1" w:styleId="43">
    <w:name w:val="标题3 字符"/>
    <w:basedOn w:val="29"/>
    <w:link w:val="42"/>
    <w:qFormat/>
    <w:uiPriority w:val="0"/>
    <w:rPr>
      <w:rFonts w:ascii="仿宋_GB2312" w:hAnsi="仿宋_GB2312" w:eastAsia="仿宋_GB2312" w:cs="仿宋_GB2312"/>
      <w:kern w:val="2"/>
      <w:sz w:val="32"/>
      <w:szCs w:val="40"/>
    </w:rPr>
  </w:style>
  <w:style w:type="paragraph" w:customStyle="1" w:styleId="44">
    <w:name w:val="图标名称"/>
    <w:basedOn w:val="1"/>
    <w:link w:val="45"/>
    <w:qFormat/>
    <w:uiPriority w:val="0"/>
    <w:pPr>
      <w:spacing w:line="600" w:lineRule="exact"/>
      <w:jc w:val="center"/>
    </w:pPr>
    <w:rPr>
      <w:rFonts w:ascii="黑体" w:hAnsi="黑体" w:eastAsia="黑体" w:cs="黑体"/>
      <w:sz w:val="28"/>
      <w:szCs w:val="28"/>
    </w:rPr>
  </w:style>
  <w:style w:type="character" w:customStyle="1" w:styleId="45">
    <w:name w:val="图标名称 字符"/>
    <w:basedOn w:val="21"/>
    <w:link w:val="44"/>
    <w:qFormat/>
    <w:uiPriority w:val="0"/>
    <w:rPr>
      <w:rFonts w:ascii="黑体" w:hAnsi="黑体" w:eastAsia="黑体" w:cs="黑体"/>
      <w:kern w:val="2"/>
      <w:sz w:val="28"/>
      <w:szCs w:val="28"/>
    </w:rPr>
  </w:style>
  <w:style w:type="paragraph" w:customStyle="1" w:styleId="46">
    <w:name w:val="标题4"/>
    <w:basedOn w:val="42"/>
    <w:link w:val="47"/>
    <w:qFormat/>
    <w:uiPriority w:val="0"/>
  </w:style>
  <w:style w:type="character" w:customStyle="1" w:styleId="47">
    <w:name w:val="标题4 字符"/>
    <w:basedOn w:val="37"/>
    <w:link w:val="46"/>
    <w:qFormat/>
    <w:uiPriority w:val="0"/>
    <w:rPr>
      <w:rFonts w:ascii="仿宋_GB2312" w:hAnsi="仿宋_GB2312" w:eastAsia="仿宋_GB2312" w:cs="仿宋_GB2312"/>
      <w:kern w:val="2"/>
      <w:sz w:val="32"/>
      <w:szCs w:val="40"/>
      <w:lang w:val="zh-CN" w:eastAsia="zh-CN"/>
    </w:rPr>
  </w:style>
  <w:style w:type="paragraph" w:customStyle="1" w:styleId="48">
    <w:name w:val="附件标题名称"/>
    <w:basedOn w:val="30"/>
    <w:link w:val="49"/>
    <w:qFormat/>
    <w:uiPriority w:val="0"/>
    <w:pPr>
      <w:ind w:firstLine="0" w:firstLineChars="0"/>
    </w:pPr>
    <w:rPr>
      <w:rFonts w:ascii="方正小标宋简体" w:eastAsia="方正小标宋简体"/>
      <w:sz w:val="44"/>
      <w:szCs w:val="44"/>
    </w:rPr>
  </w:style>
  <w:style w:type="character" w:customStyle="1" w:styleId="49">
    <w:name w:val="附件标题名称 字符"/>
    <w:basedOn w:val="31"/>
    <w:link w:val="48"/>
    <w:qFormat/>
    <w:uiPriority w:val="0"/>
    <w:rPr>
      <w:rFonts w:ascii="方正小标宋简体" w:hAnsi="仿宋_GB2312" w:eastAsia="方正小标宋简体" w:cs="仿宋_GB2312"/>
      <w:kern w:val="2"/>
      <w:sz w:val="44"/>
      <w:szCs w:val="44"/>
    </w:rPr>
  </w:style>
  <w:style w:type="paragraph" w:customStyle="1" w:styleId="50">
    <w:name w:val="附件标题1"/>
    <w:basedOn w:val="51"/>
    <w:link w:val="52"/>
    <w:qFormat/>
    <w:uiPriority w:val="0"/>
    <w:rPr>
      <w:rFonts w:ascii="黑体" w:hAnsi="黑体" w:eastAsia="黑体"/>
    </w:rPr>
  </w:style>
  <w:style w:type="paragraph" w:customStyle="1" w:styleId="51">
    <w:name w:val="附件正文"/>
    <w:basedOn w:val="30"/>
    <w:link w:val="55"/>
    <w:qFormat/>
    <w:uiPriority w:val="0"/>
  </w:style>
  <w:style w:type="character" w:customStyle="1" w:styleId="52">
    <w:name w:val="附件标题1 字符"/>
    <w:basedOn w:val="29"/>
    <w:link w:val="50"/>
    <w:qFormat/>
    <w:uiPriority w:val="0"/>
    <w:rPr>
      <w:rFonts w:ascii="黑体" w:hAnsi="黑体" w:eastAsia="黑体" w:cs="仿宋_GB2312"/>
      <w:kern w:val="2"/>
      <w:sz w:val="32"/>
      <w:szCs w:val="40"/>
    </w:rPr>
  </w:style>
  <w:style w:type="paragraph" w:customStyle="1" w:styleId="53">
    <w:name w:val="附件标题2"/>
    <w:basedOn w:val="51"/>
    <w:link w:val="54"/>
    <w:qFormat/>
    <w:uiPriority w:val="0"/>
    <w:rPr>
      <w:rFonts w:ascii="楷体_GB2312" w:eastAsia="楷体_GB2312"/>
    </w:rPr>
  </w:style>
  <w:style w:type="character" w:customStyle="1" w:styleId="54">
    <w:name w:val="附件标题2 字符"/>
    <w:basedOn w:val="43"/>
    <w:link w:val="53"/>
    <w:qFormat/>
    <w:uiPriority w:val="0"/>
    <w:rPr>
      <w:rFonts w:ascii="楷体_GB2312" w:hAnsi="仿宋_GB2312" w:eastAsia="楷体_GB2312" w:cs="仿宋_GB2312"/>
      <w:kern w:val="2"/>
      <w:sz w:val="32"/>
      <w:szCs w:val="40"/>
    </w:rPr>
  </w:style>
  <w:style w:type="character" w:customStyle="1" w:styleId="55">
    <w:name w:val="附件正文 字符"/>
    <w:basedOn w:val="31"/>
    <w:link w:val="51"/>
    <w:qFormat/>
    <w:uiPriority w:val="0"/>
    <w:rPr>
      <w:rFonts w:ascii="仿宋_GB2312" w:hAnsi="仿宋_GB2312" w:eastAsia="仿宋_GB2312" w:cs="仿宋_GB2312"/>
      <w:kern w:val="2"/>
      <w:sz w:val="32"/>
      <w:szCs w:val="40"/>
    </w:rPr>
  </w:style>
  <w:style w:type="paragraph" w:customStyle="1" w:styleId="56">
    <w:name w:val="p0"/>
    <w:basedOn w:val="1"/>
    <w:qFormat/>
    <w:uiPriority w:val="0"/>
    <w:pPr>
      <w:widowControl/>
    </w:pPr>
    <w:rPr>
      <w:kern w:val="0"/>
      <w:szCs w:val="21"/>
    </w:rPr>
  </w:style>
  <w:style w:type="character" w:customStyle="1" w:styleId="57">
    <w:name w:val="font61"/>
    <w:basedOn w:val="21"/>
    <w:qFormat/>
    <w:uiPriority w:val="0"/>
    <w:rPr>
      <w:rFonts w:hint="eastAsia" w:ascii="仿宋" w:hAnsi="仿宋" w:eastAsia="仿宋" w:cs="仿宋"/>
      <w:b/>
      <w:bCs/>
      <w:color w:val="000000"/>
      <w:sz w:val="21"/>
      <w:szCs w:val="21"/>
      <w:u w:val="none"/>
    </w:rPr>
  </w:style>
  <w:style w:type="character" w:customStyle="1" w:styleId="58">
    <w:name w:val="font71"/>
    <w:basedOn w:val="21"/>
    <w:qFormat/>
    <w:uiPriority w:val="0"/>
    <w:rPr>
      <w:rFonts w:hint="eastAsia" w:ascii="宋体" w:hAnsi="宋体" w:eastAsia="宋体" w:cs="宋体"/>
      <w:b/>
      <w:bCs/>
      <w:color w:val="000000"/>
      <w:sz w:val="21"/>
      <w:szCs w:val="21"/>
      <w:u w:val="none"/>
    </w:rPr>
  </w:style>
  <w:style w:type="character" w:customStyle="1" w:styleId="59">
    <w:name w:val="页脚 Char"/>
    <w:basedOn w:val="21"/>
    <w:link w:val="13"/>
    <w:qFormat/>
    <w:uiPriority w:val="0"/>
    <w:rPr>
      <w:kern w:val="2"/>
      <w:sz w:val="18"/>
      <w:szCs w:val="24"/>
    </w:rPr>
  </w:style>
  <w:style w:type="paragraph" w:customStyle="1" w:styleId="60">
    <w:name w:val="正文1"/>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61">
    <w:name w:val="List Paragraph"/>
    <w:basedOn w:val="1"/>
    <w:qFormat/>
    <w:uiPriority w:val="99"/>
    <w:pPr>
      <w:ind w:firstLine="420" w:firstLineChars="200"/>
    </w:pPr>
  </w:style>
  <w:style w:type="paragraph" w:customStyle="1" w:styleId="62">
    <w:name w:val="TOC 标题1"/>
    <w:basedOn w:val="4"/>
    <w:next w:val="1"/>
    <w:unhideWhenUsed/>
    <w:qFormat/>
    <w:uiPriority w:val="39"/>
    <w:pPr>
      <w:keepNext/>
      <w:keepLines/>
      <w:widowControl/>
      <w:spacing w:before="240" w:line="259" w:lineRule="auto"/>
      <w:ind w:firstLine="0" w:firstLineChars="0"/>
      <w:jc w:val="left"/>
      <w:outlineLvl w:val="9"/>
    </w:pPr>
    <w:rPr>
      <w:rFonts w:asciiTheme="majorHAnsi" w:hAnsiTheme="majorHAnsi" w:eastAsiaTheme="majorEastAsia" w:cstheme="majorBidi"/>
      <w:color w:val="2E75B5" w:themeColor="accent1" w:themeShade="BF"/>
      <w:kern w:val="0"/>
      <w:szCs w:val="32"/>
    </w:rPr>
  </w:style>
  <w:style w:type="character" w:customStyle="1" w:styleId="63">
    <w:name w:val="批注框文本 Char"/>
    <w:basedOn w:val="21"/>
    <w:link w:val="12"/>
    <w:qFormat/>
    <w:uiPriority w:val="0"/>
    <w:rPr>
      <w:kern w:val="2"/>
      <w:sz w:val="18"/>
      <w:szCs w:val="18"/>
    </w:rPr>
  </w:style>
  <w:style w:type="character" w:customStyle="1" w:styleId="64">
    <w:name w:val="批注文字 Char"/>
    <w:basedOn w:val="21"/>
    <w:link w:val="9"/>
    <w:qFormat/>
    <w:uiPriority w:val="0"/>
    <w:rPr>
      <w:kern w:val="2"/>
      <w:sz w:val="21"/>
      <w:szCs w:val="24"/>
    </w:rPr>
  </w:style>
  <w:style w:type="character" w:customStyle="1" w:styleId="65">
    <w:name w:val="批注主题 Char"/>
    <w:basedOn w:val="64"/>
    <w:link w:val="18"/>
    <w:qFormat/>
    <w:uiPriority w:val="0"/>
    <w:rPr>
      <w:b/>
      <w:bCs/>
      <w:kern w:val="2"/>
      <w:sz w:val="21"/>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SixthEditionOfficeOnline.xsl" Version="6" StyleName="APA"/>
</file>

<file path=customXml/itemProps1.xml><?xml version="1.0" encoding="utf-8"?>
<ds:datastoreItem xmlns:ds="http://schemas.openxmlformats.org/officeDocument/2006/customXml" ds:itemID="{25FF3EDB-6B21-4602-852C-8F15674CB638}">
  <ds:schemaRefs/>
</ds:datastoreItem>
</file>

<file path=docProps/app.xml><?xml version="1.0" encoding="utf-8"?>
<Properties xmlns="http://schemas.openxmlformats.org/officeDocument/2006/extended-properties" xmlns:vt="http://schemas.openxmlformats.org/officeDocument/2006/docPropsVTypes">
  <Template>Normal.dotm</Template>
  <Pages>19</Pages>
  <Words>1453</Words>
  <Characters>8283</Characters>
  <Lines>69</Lines>
  <Paragraphs>19</Paragraphs>
  <TotalTime>20</TotalTime>
  <ScaleCrop>false</ScaleCrop>
  <LinksUpToDate>false</LinksUpToDate>
  <CharactersWithSpaces>9717</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2026-08-12T17:53:00Z</dcterms:created>
  <dc:creator>lenovo</dc:creator>
  <cp:lastModifiedBy>suma</cp:lastModifiedBy>
  <cp:lastPrinted>2026-09-07T10:26:00Z</cp:lastPrinted>
  <dcterms:modified xsi:type="dcterms:W3CDTF">2026-09-11T16:10:53Z</dcterms:modified>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DC469AC94E84411AB495262F36301336_13</vt:lpwstr>
  </property>
  <property fmtid="{D5CDD505-2E9C-101B-9397-08002B2CF9AE}" pid="4" name="KSOTemplateDocerSaveRecord">
    <vt:lpwstr>eyJoZGlkIjoiYzBmZjQ1ZTRhMWQ3NTU4NTE4ZTc2YzI3ZTY4ZTgwMTkiLCJ1c2VySWQiOiIxMTQ0NDA0Mjk3In0=</vt:lpwstr>
  </property>
</Properties>
</file>