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rPr>
        <w:id w:val="147475862"/>
        <w:showingPlcHdr/>
        <w15:color w:val="DBDBDB"/>
        <w:docPartObj>
          <w:docPartGallery w:val="Table of Contents"/>
          <w:docPartUnique/>
        </w:docPartObj>
      </w:sdtPr>
      <w:sdtEndPr>
        <w:rPr>
          <w:rFonts w:ascii="宋体" w:hAnsi="宋体" w:eastAsia="宋体"/>
        </w:rPr>
      </w:sdtEndPr>
      <w:sdtContent>
        <w:p>
          <w:pPr>
            <w:tabs>
              <w:tab w:val="right" w:leader="dot" w:pos="8504"/>
            </w:tabs>
            <w:spacing w:line="100" w:lineRule="exact"/>
          </w:pPr>
          <w:r>
            <w:rPr>
              <w:rFonts w:hint="eastAsia" w:ascii="宋体" w:hAnsi="宋体" w:eastAsia="宋体"/>
              <w:lang w:eastAsia="zh-CN"/>
            </w:rPr>
            <w:t xml:space="preserve">     </w:t>
          </w:r>
        </w:p>
      </w:sdtContent>
    </w:sdt>
    <w:p>
      <w:pPr>
        <w:spacing w:line="600" w:lineRule="exact"/>
        <w:jc w:val="center"/>
        <w:rPr>
          <w:rFonts w:hint="eastAsia" w:ascii="方正小标宋_GBK" w:hAnsi="方正小标宋_GBK" w:eastAsia="方正小标宋_GBK" w:cs="方正小标宋_GBK"/>
          <w:sz w:val="44"/>
          <w:szCs w:val="44"/>
        </w:rPr>
      </w:pPr>
      <w:bookmarkStart w:id="83" w:name="_GoBack"/>
      <w:r>
        <w:rPr>
          <w:rFonts w:hint="eastAsia" w:ascii="方正小标宋_GBK" w:hAnsi="方正小标宋_GBK" w:eastAsia="方正小标宋_GBK" w:cs="方正小标宋_GBK"/>
          <w:sz w:val="44"/>
          <w:szCs w:val="44"/>
        </w:rPr>
        <w:t>2025年渗沥液二期运行资金项目</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_GBK" w:hAnsi="方正小标宋_GBK" w:eastAsia="方正小标宋_GBK" w:cs="方正小标宋_GBK"/>
          <w:sz w:val="44"/>
          <w:szCs w:val="44"/>
        </w:rPr>
        <w:t>绩效评价报告</w:t>
      </w:r>
    </w:p>
    <w:bookmarkEnd w:id="83"/>
    <w:p>
      <w:pPr>
        <w:spacing w:line="600" w:lineRule="exact"/>
        <w:rPr>
          <w:rFonts w:hint="eastAsia" w:ascii="楷体_GB2312" w:hAnsi="楷体_GB2312" w:eastAsia="楷体_GB2312" w:cs="楷体_GB2312"/>
          <w:sz w:val="32"/>
          <w:szCs w:val="40"/>
        </w:rPr>
      </w:pPr>
    </w:p>
    <w:p>
      <w:pPr>
        <w:spacing w:line="560" w:lineRule="exact"/>
        <w:ind w:firstLine="640" w:firstLineChars="200"/>
        <w:outlineLvl w:val="0"/>
        <w:rPr>
          <w:rFonts w:hint="eastAsia" w:ascii="黑体" w:hAnsi="黑体" w:eastAsia="黑体" w:cs="黑体"/>
          <w:sz w:val="32"/>
          <w:szCs w:val="40"/>
        </w:rPr>
      </w:pPr>
      <w:bookmarkStart w:id="0" w:name="_Toc18957"/>
      <w:r>
        <w:rPr>
          <w:rFonts w:hint="eastAsia" w:ascii="黑体" w:hAnsi="黑体" w:eastAsia="黑体" w:cs="黑体"/>
          <w:sz w:val="32"/>
          <w:szCs w:val="40"/>
        </w:rPr>
        <w:t>一、项目基本情况</w:t>
      </w:r>
      <w:bookmarkEnd w:id="0"/>
    </w:p>
    <w:p>
      <w:pPr>
        <w:spacing w:line="560" w:lineRule="exact"/>
        <w:ind w:firstLine="640" w:firstLineChars="200"/>
        <w:outlineLvl w:val="1"/>
        <w:rPr>
          <w:rFonts w:hint="eastAsia" w:ascii="楷体_GB2312" w:hAnsi="楷体_GB2312" w:eastAsia="楷体_GB2312" w:cs="楷体_GB2312"/>
          <w:sz w:val="32"/>
          <w:szCs w:val="40"/>
        </w:rPr>
      </w:pPr>
      <w:bookmarkStart w:id="1" w:name="_Toc13331"/>
      <w:r>
        <w:rPr>
          <w:rFonts w:hint="eastAsia" w:ascii="楷体_GB2312" w:hAnsi="楷体_GB2312" w:eastAsia="楷体_GB2312" w:cs="楷体_GB2312"/>
          <w:sz w:val="32"/>
          <w:szCs w:val="40"/>
        </w:rPr>
        <w:t>（一）项目概况</w:t>
      </w:r>
      <w:bookmarkEnd w:id="1"/>
    </w:p>
    <w:p>
      <w:pPr>
        <w:spacing w:line="560" w:lineRule="exact"/>
        <w:ind w:firstLine="640" w:firstLineChars="200"/>
        <w:outlineLvl w:val="2"/>
        <w:rPr>
          <w:rFonts w:hint="eastAsia" w:ascii="仿宋_GB2312" w:hAnsi="仿宋_GB2312" w:eastAsia="仿宋_GB2312" w:cs="仿宋_GB2312"/>
          <w:sz w:val="32"/>
          <w:szCs w:val="40"/>
        </w:rPr>
      </w:pPr>
      <w:bookmarkStart w:id="2" w:name="_Toc24309"/>
      <w:bookmarkStart w:id="3" w:name="_Toc23280"/>
      <w:bookmarkStart w:id="4" w:name="_Toc777"/>
      <w:bookmarkStart w:id="5" w:name="_Toc6672"/>
      <w:r>
        <w:rPr>
          <w:rFonts w:hint="eastAsia" w:ascii="仿宋_GB2312" w:hAnsi="仿宋_GB2312" w:eastAsia="仿宋_GB2312" w:cs="仿宋_GB2312"/>
          <w:sz w:val="32"/>
          <w:szCs w:val="40"/>
        </w:rPr>
        <w:t>1.项目背景</w:t>
      </w:r>
      <w:bookmarkEnd w:id="2"/>
      <w:bookmarkEnd w:id="3"/>
      <w:bookmarkEnd w:id="4"/>
      <w:bookmarkEnd w:id="5"/>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青岛市小涧西生活垃圾综合处置园区承担着市区生活垃圾的处置任务。园区内生活垃圾处置主要采用卫生填埋、生化堆肥、焚烧发电三种方式。渗沥液二期项目建成投用前园区日处置生活垃圾4700余吨，日均产生渗沥液1600吨以上，渗沥液一期处理厂设计处理能力为700吨/日（最大超负荷900吨/日），仍有至少700吨/日无法处理。随着园区内渗沥液产生量的增加，渗沥液处理设施如果不扩大规模，必将面临渗沥液无法消纳和处理的局面，存在重大的环境安全隐患。</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为从根本上解决园区渗沥液处理能力严重不足的问题，根据青岛市城市管理局《关于启动青岛市小涧西生活垃圾渗滤液处理二期工程项目建设的批复》（青城管〔2015〕190号），2015年11月由青岛市固体废弃物处置有限责任公司与青岛水务集团有限公司合作成立合资公司青岛洁源环境有限公司，启动建设渗沥液二期工程项目。</w:t>
      </w:r>
    </w:p>
    <w:p>
      <w:pPr>
        <w:spacing w:line="560" w:lineRule="exact"/>
        <w:ind w:firstLine="640" w:firstLineChars="200"/>
        <w:outlineLvl w:val="2"/>
        <w:rPr>
          <w:rFonts w:hint="eastAsia" w:ascii="仿宋_GB2312" w:hAnsi="仿宋_GB2312" w:eastAsia="仿宋_GB2312" w:cs="仿宋_GB2312"/>
          <w:sz w:val="32"/>
          <w:szCs w:val="40"/>
        </w:rPr>
      </w:pPr>
      <w:bookmarkStart w:id="6" w:name="_Toc5108"/>
      <w:bookmarkStart w:id="7" w:name="_Toc1934"/>
      <w:bookmarkStart w:id="8" w:name="_Toc18336"/>
      <w:bookmarkStart w:id="9" w:name="_Toc9853"/>
      <w:r>
        <w:rPr>
          <w:rFonts w:hint="eastAsia" w:ascii="仿宋_GB2312" w:hAnsi="仿宋_GB2312" w:eastAsia="仿宋_GB2312" w:cs="仿宋_GB2312"/>
          <w:sz w:val="32"/>
          <w:szCs w:val="40"/>
        </w:rPr>
        <w:t>2.项目主要内容</w:t>
      </w:r>
      <w:bookmarkEnd w:id="6"/>
      <w:bookmarkEnd w:id="7"/>
      <w:bookmarkEnd w:id="8"/>
      <w:bookmarkEnd w:id="9"/>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渗沥液二期运行资金项目由渗沥液处理和浓缩液处理组成，承担着青岛市市南、市北、李沧三个主城区以及崂山区、城阳区部分生活垃圾运至小涧西垃圾处理园区所产生渗沥液和浓缩液的处理任务。渗沥液项目采用“厌氧+膜生物反应器（MBR）+碟管式反渗透(DTRO)”处理工艺，日处理能力1000吨；浓缩液项目采用“深度絮凝+碳化硅膜软化+MVR蒸发+干化减量+焚烧协同”工艺，日处理能力500吨。</w:t>
      </w:r>
    </w:p>
    <w:p>
      <w:pPr>
        <w:spacing w:line="560" w:lineRule="exact"/>
        <w:ind w:firstLine="640" w:firstLineChars="200"/>
        <w:outlineLvl w:val="2"/>
        <w:rPr>
          <w:rFonts w:hint="eastAsia" w:ascii="仿宋_GB2312" w:hAnsi="仿宋_GB2312" w:eastAsia="仿宋_GB2312" w:cs="仿宋_GB2312"/>
          <w:sz w:val="32"/>
          <w:szCs w:val="40"/>
        </w:rPr>
      </w:pPr>
      <w:bookmarkStart w:id="10" w:name="_Toc30365"/>
      <w:bookmarkStart w:id="11" w:name="_Toc25160"/>
      <w:bookmarkStart w:id="12" w:name="_Toc17524"/>
      <w:bookmarkStart w:id="13" w:name="_Toc432"/>
      <w:r>
        <w:rPr>
          <w:rFonts w:hint="eastAsia" w:ascii="仿宋_GB2312" w:hAnsi="仿宋_GB2312" w:eastAsia="仿宋_GB2312" w:cs="仿宋_GB2312"/>
          <w:sz w:val="32"/>
          <w:szCs w:val="40"/>
        </w:rPr>
        <w:t>3.项目实施情况</w:t>
      </w:r>
      <w:bookmarkEnd w:id="10"/>
      <w:bookmarkEnd w:id="11"/>
      <w:bookmarkEnd w:id="12"/>
      <w:bookmarkEnd w:id="13"/>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2025年渗沥液二期运行资金项目主管部门为青岛市城市管理局，项目实施单位为青岛洁源环境有限公司。依据青岛市城市管理局印发的《青岛洁源环境有限公司生活垃圾渗沥液处理项目运营考核评分标准》（青城管〔2018〕184号）、《青岛市城市管理局企业年度社会效益考核实施办法》（青城管〔2022〕76号）两项制度，现行同步执行上述两项制度文件，项目建立了“监管考核—水量确认—资金申请—季度拨付”的组织管理流程，具体如下：</w:t>
      </w:r>
    </w:p>
    <w:p>
      <w:pPr>
        <w:spacing w:line="56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一是</w:t>
      </w:r>
      <w:r>
        <w:rPr>
          <w:rFonts w:hint="eastAsia" w:ascii="仿宋_GB2312" w:hAnsi="仿宋_GB2312" w:eastAsia="仿宋_GB2312" w:cs="仿宋_GB2312"/>
          <w:sz w:val="32"/>
          <w:szCs w:val="40"/>
        </w:rPr>
        <w:t>监管考核环节。青岛市环境卫生发展中心（以下简称“环卫中心”）负责日常运营监管及月度处理量核准；渗沥液二期的考核周期为1个月，月度考核成绩采取百分制，环卫中心每月检查1次,对检查情况进行打分。同时，通过在线监控、资料报送以及其他方式发现问题依据评分标准进行累计扣分。月度考核成绩与处理费拨付挂钩：95分及以上全额拨付；94-80分每分扣减3000元；79-65分每分扣减5000元；低于65分时，64分扣减当月处理费的10%，每多扣1分加扣1%，最高扣20%。</w:t>
      </w:r>
    </w:p>
    <w:p>
      <w:pPr>
        <w:spacing w:line="56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二是</w:t>
      </w:r>
      <w:r>
        <w:rPr>
          <w:rFonts w:hint="eastAsia" w:ascii="仿宋_GB2312" w:hAnsi="仿宋_GB2312" w:eastAsia="仿宋_GB2312" w:cs="仿宋_GB2312"/>
          <w:sz w:val="32"/>
          <w:szCs w:val="40"/>
        </w:rPr>
        <w:t>水量确认环节。每月月初，环卫中心对上月进水水表数据进行核对确认，并经环卫中心和青岛洁源环境有限公司共同盖章后出具水量处理量确认单。</w:t>
      </w:r>
    </w:p>
    <w:p>
      <w:pPr>
        <w:spacing w:line="56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三是</w:t>
      </w:r>
      <w:r>
        <w:rPr>
          <w:rFonts w:hint="eastAsia" w:ascii="仿宋_GB2312" w:hAnsi="仿宋_GB2312" w:eastAsia="仿宋_GB2312" w:cs="仿宋_GB2312"/>
          <w:sz w:val="32"/>
          <w:szCs w:val="40"/>
        </w:rPr>
        <w:t>资金申请环节。青岛洁源环境有限公司依据审定水量编制资金拨付申请表，将水量确认单、资金拨付申请表加盖企业公章及环卫中心公章后报送青岛市城市管理局审批。</w:t>
      </w:r>
    </w:p>
    <w:p>
      <w:pPr>
        <w:spacing w:line="56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四是</w:t>
      </w:r>
      <w:r>
        <w:rPr>
          <w:rFonts w:hint="eastAsia" w:ascii="仿宋_GB2312" w:hAnsi="仿宋_GB2312" w:eastAsia="仿宋_GB2312" w:cs="仿宋_GB2312"/>
          <w:sz w:val="32"/>
          <w:szCs w:val="40"/>
        </w:rPr>
        <w:t>季度拨付环节。青岛市城市管理局对相关资料审核确认无误后，按季度汇总相关材料统一报送市财政部门，由财政部门按流程办理资金拨付手续。</w:t>
      </w:r>
    </w:p>
    <w:p>
      <w:pPr>
        <w:spacing w:line="560" w:lineRule="exact"/>
        <w:ind w:firstLine="640" w:firstLineChars="200"/>
        <w:outlineLvl w:val="2"/>
        <w:rPr>
          <w:rFonts w:hint="eastAsia" w:ascii="仿宋_GB2312" w:hAnsi="仿宋_GB2312" w:eastAsia="仿宋_GB2312" w:cs="仿宋_GB2312"/>
          <w:sz w:val="32"/>
          <w:szCs w:val="40"/>
        </w:rPr>
      </w:pPr>
      <w:bookmarkStart w:id="14" w:name="_Toc30513"/>
      <w:bookmarkStart w:id="15" w:name="_Toc25567"/>
      <w:bookmarkStart w:id="16" w:name="_Toc21592"/>
      <w:bookmarkStart w:id="17" w:name="_Toc25083"/>
      <w:r>
        <w:rPr>
          <w:rFonts w:hint="eastAsia" w:ascii="仿宋_GB2312" w:hAnsi="仿宋_GB2312" w:eastAsia="仿宋_GB2312" w:cs="仿宋_GB2312"/>
          <w:sz w:val="32"/>
          <w:szCs w:val="40"/>
        </w:rPr>
        <w:t>4.资金投入及使用情况</w:t>
      </w:r>
      <w:bookmarkEnd w:id="14"/>
      <w:bookmarkEnd w:id="15"/>
      <w:bookmarkEnd w:id="16"/>
      <w:bookmarkEnd w:id="17"/>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渗沥液二期运行资金项目2025年初预算5,981.00万元，全年实际执行5,607.28万元，预算执行率为93.75%。</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关于调整小涧西渗沥液处理一期、二期项目处理服务费标准的通知》（青城管〔2021〕122号），渗沥液处理服务费执行单价为99.58元/吨，浓缩液处理服务费执行单价为128.53元/吨。渗沥液二期项目设计处理能力为渗沥液1000吨/日、浓缩液500吨/日。预算编制时预计处理量按照满负荷计算，渗沥液年度费用为：1000吨/日×99.58元/吨×365天= 3,635.00万元；浓缩液年度费用为：500吨/日×128.53元/吨×365天=2,346.00万元，两项合计5,981.00万元。</w:t>
      </w:r>
    </w:p>
    <w:p>
      <w:pPr>
        <w:spacing w:line="560" w:lineRule="exact"/>
        <w:ind w:firstLine="640" w:firstLineChars="200"/>
        <w:outlineLvl w:val="1"/>
        <w:rPr>
          <w:rFonts w:hint="eastAsia" w:ascii="楷体_GB2312" w:hAnsi="楷体_GB2312" w:eastAsia="楷体_GB2312" w:cs="楷体_GB2312"/>
          <w:sz w:val="32"/>
          <w:szCs w:val="40"/>
        </w:rPr>
      </w:pPr>
      <w:bookmarkStart w:id="18" w:name="_Toc23940"/>
      <w:r>
        <w:rPr>
          <w:rFonts w:hint="eastAsia" w:ascii="楷体_GB2312" w:hAnsi="楷体_GB2312" w:eastAsia="楷体_GB2312" w:cs="楷体_GB2312"/>
          <w:sz w:val="32"/>
          <w:szCs w:val="40"/>
        </w:rPr>
        <w:t>（二）项目绩效目标</w:t>
      </w:r>
      <w:bookmarkEnd w:id="18"/>
    </w:p>
    <w:p>
      <w:pPr>
        <w:spacing w:line="560" w:lineRule="exact"/>
        <w:ind w:firstLine="640" w:firstLineChars="200"/>
        <w:outlineLvl w:val="2"/>
        <w:rPr>
          <w:rFonts w:hint="eastAsia" w:ascii="仿宋_GB2312" w:hAnsi="仿宋_GB2312" w:eastAsia="仿宋_GB2312" w:cs="仿宋_GB2312"/>
          <w:sz w:val="32"/>
          <w:szCs w:val="40"/>
        </w:rPr>
      </w:pPr>
      <w:bookmarkStart w:id="19" w:name="_Toc20659"/>
      <w:bookmarkStart w:id="20" w:name="_Toc7185"/>
      <w:bookmarkStart w:id="21" w:name="_Toc20718"/>
      <w:bookmarkStart w:id="22" w:name="_Toc29910"/>
      <w:r>
        <w:rPr>
          <w:rFonts w:hint="eastAsia" w:ascii="仿宋_GB2312" w:hAnsi="仿宋_GB2312" w:eastAsia="仿宋_GB2312" w:cs="仿宋_GB2312"/>
          <w:sz w:val="32"/>
          <w:szCs w:val="40"/>
        </w:rPr>
        <w:t>1.总体目标</w:t>
      </w:r>
      <w:bookmarkEnd w:id="19"/>
      <w:bookmarkEnd w:id="20"/>
      <w:bookmarkEnd w:id="21"/>
      <w:bookmarkEnd w:id="22"/>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市城市管理局2025年度渗沥液二期运行资金项目绩效目标申报表，集中处理渗沥液和浓缩液，出水达到《山东省半岛流域水污染综合排放标准》（DB37/676-2007）一级标准，同时满足《生活垃圾填埋污染控制标准》（GB16889-2008）一般地区水污染控制要求。</w:t>
      </w:r>
    </w:p>
    <w:p>
      <w:pPr>
        <w:spacing w:line="560" w:lineRule="exact"/>
        <w:ind w:firstLine="640" w:firstLineChars="200"/>
        <w:outlineLvl w:val="2"/>
        <w:rPr>
          <w:rFonts w:hint="eastAsia" w:ascii="仿宋_GB2312" w:hAnsi="仿宋_GB2312" w:eastAsia="仿宋_GB2312" w:cs="仿宋_GB2312"/>
          <w:sz w:val="32"/>
          <w:szCs w:val="40"/>
        </w:rPr>
      </w:pPr>
      <w:bookmarkStart w:id="23" w:name="_Toc2188"/>
      <w:bookmarkStart w:id="24" w:name="_Toc18667"/>
      <w:bookmarkStart w:id="25" w:name="_Toc20891"/>
      <w:bookmarkStart w:id="26" w:name="_Toc30766"/>
      <w:r>
        <w:rPr>
          <w:rFonts w:hint="eastAsia" w:ascii="仿宋_GB2312" w:hAnsi="仿宋_GB2312" w:eastAsia="仿宋_GB2312" w:cs="仿宋_GB2312"/>
          <w:sz w:val="32"/>
          <w:szCs w:val="40"/>
        </w:rPr>
        <w:t>2.年度目标</w:t>
      </w:r>
      <w:bookmarkEnd w:id="23"/>
      <w:bookmarkEnd w:id="24"/>
      <w:bookmarkEnd w:id="25"/>
      <w:bookmarkEnd w:id="26"/>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市城市管理局2025年度渗沥液二期运行资金项目绩效目标申报表，2025年度渗沥液处理量≥25.55万吨；浓缩液处理量≥14万吨；渗沥液、浓缩液处理合格率达到100%；出水水质达标率达到100%；污染物排放达标率100%；居民满意度≥95%。</w:t>
      </w:r>
    </w:p>
    <w:p>
      <w:pPr>
        <w:spacing w:line="560" w:lineRule="exact"/>
        <w:ind w:firstLine="640" w:firstLineChars="200"/>
        <w:outlineLvl w:val="0"/>
        <w:rPr>
          <w:rFonts w:hint="eastAsia" w:ascii="黑体" w:hAnsi="黑体" w:eastAsia="黑体" w:cs="黑体"/>
          <w:sz w:val="32"/>
          <w:szCs w:val="40"/>
        </w:rPr>
      </w:pPr>
      <w:bookmarkStart w:id="27" w:name="_Toc10711"/>
      <w:r>
        <w:rPr>
          <w:rFonts w:hint="eastAsia" w:ascii="黑体" w:hAnsi="黑体" w:eastAsia="黑体" w:cs="黑体"/>
          <w:sz w:val="32"/>
          <w:szCs w:val="40"/>
        </w:rPr>
        <w:t>二、绩效评价工作开展情况</w:t>
      </w:r>
      <w:bookmarkEnd w:id="27"/>
    </w:p>
    <w:p>
      <w:pPr>
        <w:spacing w:line="560" w:lineRule="exact"/>
        <w:ind w:firstLine="640" w:firstLineChars="200"/>
        <w:outlineLvl w:val="1"/>
        <w:rPr>
          <w:rFonts w:hint="eastAsia" w:ascii="楷体_GB2312" w:hAnsi="楷体_GB2312" w:eastAsia="楷体_GB2312" w:cs="楷体_GB2312"/>
          <w:sz w:val="32"/>
          <w:szCs w:val="40"/>
        </w:rPr>
      </w:pPr>
      <w:bookmarkStart w:id="28" w:name="_Toc13406"/>
      <w:r>
        <w:rPr>
          <w:rFonts w:hint="eastAsia" w:ascii="楷体_GB2312" w:hAnsi="楷体_GB2312" w:eastAsia="楷体_GB2312" w:cs="楷体_GB2312"/>
          <w:sz w:val="32"/>
          <w:szCs w:val="40"/>
        </w:rPr>
        <w:t>（一）评价目的、评价对象和范围</w:t>
      </w:r>
      <w:bookmarkEnd w:id="28"/>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评价组根据2025年渗沥液二期运行资金项目的过程、产出、效益等方面，对2025年度预算数5,981.00万元开展绩效评价，全面评价项目的完成及效益情况，并针对评价过程发现的问题，提出优化建议，强化财政资金使用效益。</w:t>
      </w:r>
    </w:p>
    <w:p>
      <w:pPr>
        <w:spacing w:line="560" w:lineRule="exact"/>
        <w:ind w:firstLine="640" w:firstLineChars="200"/>
        <w:outlineLvl w:val="1"/>
        <w:rPr>
          <w:rFonts w:hint="eastAsia" w:ascii="楷体_GB2312" w:hAnsi="楷体_GB2312" w:eastAsia="楷体_GB2312" w:cs="楷体_GB2312"/>
          <w:sz w:val="32"/>
          <w:szCs w:val="40"/>
        </w:rPr>
      </w:pPr>
      <w:bookmarkStart w:id="29" w:name="_Toc32384"/>
      <w:r>
        <w:rPr>
          <w:rFonts w:hint="eastAsia" w:ascii="楷体_GB2312" w:hAnsi="楷体_GB2312" w:eastAsia="楷体_GB2312" w:cs="楷体_GB2312"/>
          <w:sz w:val="32"/>
          <w:szCs w:val="40"/>
        </w:rPr>
        <w:t>（二）评价思路、评价重点、评价指标体系和评价标准</w:t>
      </w:r>
      <w:bookmarkEnd w:id="29"/>
    </w:p>
    <w:p>
      <w:pPr>
        <w:spacing w:line="560" w:lineRule="exact"/>
        <w:ind w:firstLine="640" w:firstLineChars="200"/>
        <w:outlineLvl w:val="2"/>
        <w:rPr>
          <w:rFonts w:hint="eastAsia" w:ascii="仿宋_GB2312" w:hAnsi="仿宋_GB2312" w:eastAsia="仿宋_GB2312" w:cs="仿宋_GB2312"/>
          <w:sz w:val="32"/>
          <w:szCs w:val="32"/>
        </w:rPr>
      </w:pPr>
      <w:bookmarkStart w:id="30" w:name="_Toc12984"/>
      <w:bookmarkStart w:id="31" w:name="_Toc4622"/>
      <w:bookmarkStart w:id="32" w:name="_Toc14940"/>
      <w:bookmarkStart w:id="33" w:name="_Toc1064"/>
      <w:r>
        <w:rPr>
          <w:rFonts w:hint="eastAsia" w:ascii="仿宋_GB2312" w:hAnsi="仿宋_GB2312" w:eastAsia="仿宋_GB2312" w:cs="仿宋_GB2312"/>
          <w:sz w:val="32"/>
          <w:szCs w:val="32"/>
        </w:rPr>
        <w:t>1.评价思路</w:t>
      </w:r>
      <w:bookmarkEnd w:id="30"/>
      <w:bookmarkEnd w:id="31"/>
      <w:bookmarkEnd w:id="32"/>
      <w:bookmarkEnd w:id="33"/>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本次评价坚持绩效导向、客观公正、操作可行、主体分明的</w:t>
      </w:r>
      <w:r>
        <w:rPr>
          <w:rFonts w:hint="eastAsia" w:ascii="Times New Roman" w:hAnsi="Times New Roman" w:eastAsia="仿宋_GB2312" w:cs="Times New Roman"/>
          <w:sz w:val="32"/>
          <w:szCs w:val="32"/>
        </w:rPr>
        <w:t>思路</w:t>
      </w:r>
      <w:r>
        <w:rPr>
          <w:rFonts w:ascii="Times New Roman" w:hAnsi="Times New Roman" w:eastAsia="仿宋_GB2312" w:cs="Times New Roman"/>
          <w:sz w:val="32"/>
          <w:szCs w:val="32"/>
        </w:rPr>
        <w:t>，</w:t>
      </w:r>
      <w:r>
        <w:rPr>
          <w:rFonts w:hint="eastAsia" w:ascii="仿宋_GB2312" w:hAnsi="仿宋_GB2312" w:eastAsia="仿宋_GB2312" w:cs="仿宋_GB2312"/>
          <w:sz w:val="32"/>
          <w:szCs w:val="40"/>
        </w:rPr>
        <w:t>结合项目特点，制定绩效评价指标体系和具体评价方案，从资金使用、项目完成、效益实现情况等方面进行综合分析，</w:t>
      </w:r>
      <w:r>
        <w:rPr>
          <w:rFonts w:ascii="Times New Roman" w:hAnsi="Times New Roman" w:eastAsia="仿宋_GB2312" w:cs="Times New Roman"/>
          <w:sz w:val="32"/>
          <w:szCs w:val="32"/>
        </w:rPr>
        <w:t>发现项目</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中存在的问题，并</w:t>
      </w:r>
      <w:r>
        <w:rPr>
          <w:rFonts w:hint="eastAsia" w:ascii="仿宋_GB2312" w:hAnsi="仿宋_GB2312" w:eastAsia="仿宋_GB2312" w:cs="仿宋_GB2312"/>
          <w:sz w:val="32"/>
          <w:szCs w:val="40"/>
        </w:rPr>
        <w:t>有</w:t>
      </w:r>
      <w:r>
        <w:rPr>
          <w:rFonts w:ascii="Times New Roman" w:hAnsi="Times New Roman" w:eastAsia="仿宋_GB2312" w:cs="Times New Roman"/>
          <w:sz w:val="32"/>
          <w:szCs w:val="32"/>
        </w:rPr>
        <w:t>针对性地提出</w:t>
      </w:r>
      <w:r>
        <w:rPr>
          <w:rFonts w:hint="eastAsia" w:ascii="Times New Roman" w:hAnsi="Times New Roman" w:eastAsia="仿宋_GB2312" w:cs="Times New Roman"/>
          <w:sz w:val="32"/>
          <w:szCs w:val="32"/>
        </w:rPr>
        <w:t>预算调整、改进管理等</w:t>
      </w:r>
      <w:r>
        <w:rPr>
          <w:rFonts w:ascii="Times New Roman" w:hAnsi="Times New Roman" w:eastAsia="仿宋_GB2312" w:cs="Times New Roman"/>
          <w:sz w:val="32"/>
          <w:szCs w:val="32"/>
        </w:rPr>
        <w:t>合理化建议。</w:t>
      </w:r>
    </w:p>
    <w:p>
      <w:pPr>
        <w:spacing w:line="560" w:lineRule="exact"/>
        <w:ind w:firstLine="640" w:firstLineChars="200"/>
        <w:outlineLvl w:val="2"/>
        <w:rPr>
          <w:rFonts w:hint="eastAsia" w:ascii="仿宋_GB2312" w:hAnsi="仿宋_GB2312" w:eastAsia="仿宋_GB2312" w:cs="仿宋_GB2312"/>
          <w:sz w:val="32"/>
          <w:szCs w:val="32"/>
        </w:rPr>
      </w:pPr>
      <w:bookmarkStart w:id="34" w:name="_Toc3292"/>
      <w:bookmarkStart w:id="35" w:name="_Toc6186"/>
      <w:bookmarkStart w:id="36" w:name="_Toc9083"/>
      <w:bookmarkStart w:id="37" w:name="_Toc28729"/>
      <w:r>
        <w:rPr>
          <w:rFonts w:hint="eastAsia" w:ascii="仿宋_GB2312" w:hAnsi="仿宋_GB2312" w:eastAsia="仿宋_GB2312" w:cs="仿宋_GB2312"/>
          <w:sz w:val="32"/>
          <w:szCs w:val="32"/>
        </w:rPr>
        <w:t>2.评价重点</w:t>
      </w:r>
      <w:bookmarkEnd w:id="34"/>
      <w:bookmarkEnd w:id="35"/>
      <w:bookmarkEnd w:id="36"/>
      <w:bookmarkEnd w:id="37"/>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资金管理规范性，重点核查财政资金使用合规性，确保资金专款专用、高效配置；二是项目实施质效，围绕渗沥液、浓缩液处理量完成率、渗沥液、浓缩液处理合格率等指标，评价目标任务完成情况；三是综合效益实现，重点评价中水回用量、提升城区环境卫生质量社会效益指标以及污染物排放量下降率、渗沥液产水率与浓缩液净水回收率等核心生态效益；四是可持续发展能力，关注资源化产出量完成率、降耗达标率等指标，研判渗沥液二期项目运营及长期发展潜力。</w:t>
      </w:r>
    </w:p>
    <w:p>
      <w:pPr>
        <w:spacing w:line="560" w:lineRule="exact"/>
        <w:ind w:firstLine="640" w:firstLineChars="200"/>
        <w:outlineLvl w:val="2"/>
        <w:rPr>
          <w:rFonts w:hint="eastAsia" w:ascii="仿宋_GB2312" w:hAnsi="仿宋_GB2312" w:eastAsia="仿宋_GB2312" w:cs="仿宋_GB2312"/>
          <w:sz w:val="32"/>
          <w:szCs w:val="32"/>
        </w:rPr>
      </w:pPr>
      <w:bookmarkStart w:id="38" w:name="_Toc28773"/>
      <w:bookmarkStart w:id="39" w:name="_Toc12233"/>
      <w:bookmarkStart w:id="40" w:name="_Toc7487"/>
      <w:bookmarkStart w:id="41" w:name="_Toc24400"/>
      <w:r>
        <w:rPr>
          <w:rFonts w:hint="eastAsia" w:ascii="仿宋_GB2312" w:hAnsi="仿宋_GB2312" w:eastAsia="仿宋_GB2312" w:cs="仿宋_GB2312"/>
          <w:sz w:val="32"/>
          <w:szCs w:val="32"/>
        </w:rPr>
        <w:t>3.评价指标体系</w:t>
      </w:r>
      <w:bookmarkEnd w:id="38"/>
      <w:bookmarkEnd w:id="39"/>
      <w:bookmarkEnd w:id="40"/>
      <w:bookmarkEnd w:id="41"/>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40"/>
        </w:rPr>
        <w:t>根据《青岛市市级项目支出绩效财政评价和部门评价工作规程》（青财绩〔2025〕6号）等相关规定，</w:t>
      </w:r>
      <w:r>
        <w:rPr>
          <w:rFonts w:hint="eastAsia" w:ascii="仿宋_GB2312" w:hAnsi="仿宋_GB2312" w:eastAsia="仿宋_GB2312" w:cs="仿宋_GB2312"/>
          <w:sz w:val="32"/>
          <w:szCs w:val="32"/>
        </w:rPr>
        <w:t>本次评价从过程、产出、效益3个方面设置绩效评价指标体系，总分为100分。其中，过程指标20分，包括预算执行率、资金使用合规性、管理制度健全性及执行有效性；产出指标20分，包括2025年度渗沥液、浓缩液处理量完成率数量指标，以及2025年度渗沥液、浓缩液处理合格率质量指标；效益指标60分，包括中水回用量、提升城区环境卫生质量社会效益，污染物排放量下降率、产能利用率、渗沥液产水率与浓缩液净水回收率等生态效益，资源化产出量完成率、降耗达标率、项目发展机制可持续性等可持续影响指标。</w:t>
      </w:r>
    </w:p>
    <w:p>
      <w:pPr>
        <w:spacing w:line="560" w:lineRule="exact"/>
        <w:ind w:firstLine="640" w:firstLineChars="200"/>
        <w:outlineLvl w:val="2"/>
        <w:rPr>
          <w:rFonts w:hint="eastAsia" w:ascii="仿宋_GB2312" w:hAnsi="仿宋_GB2312" w:eastAsia="仿宋_GB2312" w:cs="仿宋_GB2312"/>
          <w:sz w:val="32"/>
          <w:szCs w:val="32"/>
        </w:rPr>
      </w:pPr>
      <w:bookmarkStart w:id="42" w:name="_Toc31381"/>
      <w:bookmarkStart w:id="43" w:name="_Toc19692"/>
      <w:bookmarkStart w:id="44" w:name="_Toc7264"/>
      <w:bookmarkStart w:id="45" w:name="_Toc7763"/>
      <w:r>
        <w:rPr>
          <w:rFonts w:hint="eastAsia" w:ascii="仿宋_GB2312" w:hAnsi="仿宋_GB2312" w:eastAsia="仿宋_GB2312" w:cs="仿宋_GB2312"/>
          <w:sz w:val="32"/>
          <w:szCs w:val="32"/>
        </w:rPr>
        <w:t>4.评价标准</w:t>
      </w:r>
      <w:bookmarkEnd w:id="42"/>
      <w:bookmarkEnd w:id="43"/>
      <w:bookmarkEnd w:id="44"/>
      <w:bookmarkEnd w:id="45"/>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32"/>
        </w:rPr>
        <w:t>评价分为4个等级：90（含）-100分为优；80（含）-90分为良；60（含）-80分为中；60分以下为差。</w:t>
      </w:r>
    </w:p>
    <w:p>
      <w:pPr>
        <w:spacing w:line="560" w:lineRule="exact"/>
        <w:ind w:firstLine="640" w:firstLineChars="200"/>
        <w:outlineLvl w:val="1"/>
        <w:rPr>
          <w:rFonts w:hint="eastAsia" w:ascii="楷体_GB2312" w:hAnsi="楷体_GB2312" w:eastAsia="楷体_GB2312" w:cs="楷体_GB2312"/>
          <w:sz w:val="32"/>
          <w:szCs w:val="40"/>
        </w:rPr>
      </w:pPr>
      <w:bookmarkStart w:id="46" w:name="_Toc2548"/>
      <w:r>
        <w:rPr>
          <w:rFonts w:hint="eastAsia" w:ascii="楷体_GB2312" w:hAnsi="楷体_GB2312" w:eastAsia="楷体_GB2312" w:cs="楷体_GB2312"/>
          <w:sz w:val="32"/>
          <w:szCs w:val="40"/>
        </w:rPr>
        <w:t>（三）评价组织实施与评价方法</w:t>
      </w:r>
      <w:bookmarkEnd w:id="46"/>
    </w:p>
    <w:p>
      <w:pPr>
        <w:spacing w:line="560" w:lineRule="exact"/>
        <w:ind w:firstLine="640" w:firstLineChars="200"/>
        <w:outlineLvl w:val="2"/>
        <w:rPr>
          <w:rFonts w:hint="eastAsia" w:ascii="仿宋_GB2312" w:hAnsi="仿宋_GB2312" w:eastAsia="仿宋_GB2312" w:cs="仿宋_GB2312"/>
          <w:sz w:val="32"/>
          <w:szCs w:val="32"/>
        </w:rPr>
      </w:pPr>
      <w:bookmarkStart w:id="47" w:name="_Toc16424"/>
      <w:bookmarkStart w:id="48" w:name="_Toc27634"/>
      <w:bookmarkStart w:id="49" w:name="_Toc3275"/>
      <w:bookmarkStart w:id="50" w:name="_Toc3204"/>
      <w:r>
        <w:rPr>
          <w:rFonts w:hint="eastAsia" w:ascii="仿宋_GB2312" w:hAnsi="仿宋_GB2312" w:eastAsia="仿宋_GB2312" w:cs="仿宋_GB2312"/>
          <w:sz w:val="32"/>
          <w:szCs w:val="32"/>
        </w:rPr>
        <w:t>1.评价组织实施</w:t>
      </w:r>
      <w:bookmarkEnd w:id="47"/>
      <w:bookmarkEnd w:id="48"/>
      <w:bookmarkEnd w:id="49"/>
      <w:bookmarkEnd w:id="50"/>
    </w:p>
    <w:p>
      <w:pPr>
        <w:pStyle w:val="18"/>
        <w:wordWrap/>
        <w:adjustRightInd w:val="0"/>
        <w:snapToGrid w:val="0"/>
        <w:spacing w:line="560" w:lineRule="exact"/>
        <w:ind w:firstLine="640" w:firstLineChars="200"/>
        <w:rPr>
          <w:rFonts w:ascii="仿宋_GB2312" w:eastAsia="仿宋_GB2312"/>
          <w:sz w:val="32"/>
          <w:szCs w:val="32"/>
        </w:rPr>
      </w:pPr>
      <w:bookmarkStart w:id="51" w:name="_Toc7178040"/>
      <w:r>
        <w:rPr>
          <w:rFonts w:hint="eastAsia" w:ascii="仿宋_GB2312" w:eastAsia="仿宋_GB2312"/>
          <w:sz w:val="32"/>
          <w:szCs w:val="32"/>
        </w:rPr>
        <w:t>（1）前期准备阶段。成立评价工作组，</w:t>
      </w:r>
      <w:r>
        <w:rPr>
          <w:rFonts w:hint="eastAsia" w:ascii="仿宋_GB2312" w:hAnsi="Times New Roman" w:eastAsia="仿宋_GB2312" w:cs="Times New Roman"/>
          <w:kern w:val="0"/>
          <w:sz w:val="32"/>
          <w:szCs w:val="32"/>
          <w:u w:color="000000"/>
        </w:rPr>
        <w:t>收集绩效评价政策信息资料，</w:t>
      </w:r>
      <w:r>
        <w:rPr>
          <w:rFonts w:hint="eastAsia" w:ascii="仿宋_GB2312" w:eastAsia="仿宋_GB2312"/>
          <w:sz w:val="32"/>
          <w:szCs w:val="32"/>
        </w:rPr>
        <w:t>制定绩效评价工作方案及评价指标体系。</w:t>
      </w:r>
    </w:p>
    <w:p>
      <w:pPr>
        <w:pStyle w:val="18"/>
        <w:wordWrap/>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（2）组织实施阶段。开展现场评价，对收集的评价资料分类整理、汇总分析，参照行业优秀绩效评价案例进行评分，</w:t>
      </w:r>
      <w:r>
        <w:rPr>
          <w:rFonts w:hint="eastAsia" w:ascii="仿宋_GB2312" w:hAnsi="Times New Roman" w:eastAsia="仿宋_GB2312" w:cs="Times New Roman"/>
          <w:sz w:val="32"/>
          <w:szCs w:val="32"/>
        </w:rPr>
        <w:t>形成初步评价意见。</w:t>
      </w:r>
    </w:p>
    <w:p>
      <w:pPr>
        <w:pStyle w:val="18"/>
        <w:wordWrap/>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（3）报告形成阶段。组织撰写报告，</w:t>
      </w:r>
      <w:r>
        <w:rPr>
          <w:rFonts w:hint="eastAsia" w:ascii="仿宋_GB2312" w:hAnsi="Times New Roman" w:eastAsia="仿宋_GB2312" w:cs="Times New Roman"/>
          <w:kern w:val="0"/>
          <w:sz w:val="32"/>
          <w:szCs w:val="32"/>
          <w:u w:color="000000"/>
        </w:rPr>
        <w:t>征求青岛市城市管理局等部门意见并进一步修改完善，正式提交报告。</w:t>
      </w:r>
    </w:p>
    <w:bookmarkEnd w:id="51"/>
    <w:p>
      <w:pPr>
        <w:spacing w:line="560" w:lineRule="exact"/>
        <w:ind w:firstLine="640" w:firstLineChars="200"/>
        <w:outlineLvl w:val="2"/>
        <w:rPr>
          <w:rFonts w:hint="eastAsia" w:ascii="仿宋_GB2312" w:hAnsi="仿宋_GB2312" w:eastAsia="仿宋_GB2312" w:cs="仿宋_GB2312"/>
          <w:sz w:val="32"/>
          <w:szCs w:val="32"/>
        </w:rPr>
      </w:pPr>
      <w:bookmarkStart w:id="52" w:name="_Toc27744"/>
      <w:bookmarkStart w:id="53" w:name="_Toc10468"/>
      <w:bookmarkStart w:id="54" w:name="_Toc28758"/>
      <w:bookmarkStart w:id="55" w:name="_Toc13863"/>
      <w:r>
        <w:rPr>
          <w:rFonts w:hint="eastAsia" w:ascii="仿宋_GB2312" w:hAnsi="仿宋_GB2312" w:eastAsia="仿宋_GB2312" w:cs="仿宋_GB2312"/>
          <w:sz w:val="32"/>
          <w:szCs w:val="32"/>
        </w:rPr>
        <w:t>2.评价方法</w:t>
      </w:r>
      <w:bookmarkEnd w:id="52"/>
      <w:bookmarkEnd w:id="53"/>
      <w:bookmarkEnd w:id="54"/>
      <w:bookmarkEnd w:id="55"/>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（1）比较法。对照项目各年度绩效目标、行业标准规范及设计指标，客观量化评价项目实施成效与存在问题。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（2）文件研究法。系统研读相关政策文件、年度总结报告等资料，梳理项目立项背景、实施流程。</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32"/>
        </w:rPr>
        <w:t>（3）数据核查法。对预算执行数据，渗沥液、浓缩液处理量完成率等指标，对照财务台账、运行报表等材料逐项核验，确保数据真实准确。</w:t>
      </w:r>
    </w:p>
    <w:p>
      <w:pPr>
        <w:spacing w:line="560" w:lineRule="exact"/>
        <w:ind w:firstLine="640" w:firstLineChars="200"/>
        <w:outlineLvl w:val="0"/>
        <w:rPr>
          <w:rFonts w:hint="eastAsia" w:ascii="黑体" w:hAnsi="黑体" w:eastAsia="黑体" w:cs="黑体"/>
          <w:sz w:val="32"/>
          <w:szCs w:val="40"/>
        </w:rPr>
      </w:pPr>
      <w:bookmarkStart w:id="56" w:name="_Toc24633"/>
      <w:r>
        <w:rPr>
          <w:rFonts w:hint="eastAsia" w:ascii="黑体" w:hAnsi="黑体" w:eastAsia="黑体" w:cs="黑体"/>
          <w:sz w:val="32"/>
          <w:szCs w:val="40"/>
        </w:rPr>
        <w:t>三、评价结论及分析</w:t>
      </w:r>
      <w:bookmarkEnd w:id="56"/>
    </w:p>
    <w:p>
      <w:pPr>
        <w:spacing w:line="560" w:lineRule="exact"/>
        <w:ind w:firstLine="640" w:firstLineChars="200"/>
        <w:outlineLvl w:val="1"/>
        <w:rPr>
          <w:rFonts w:hint="eastAsia" w:ascii="楷体_GB2312" w:hAnsi="楷体_GB2312" w:eastAsia="楷体_GB2312" w:cs="楷体_GB2312"/>
          <w:sz w:val="32"/>
          <w:szCs w:val="40"/>
        </w:rPr>
      </w:pPr>
      <w:bookmarkStart w:id="57" w:name="_Toc31811"/>
      <w:r>
        <w:rPr>
          <w:rFonts w:hint="eastAsia" w:ascii="楷体_GB2312" w:hAnsi="楷体_GB2312" w:eastAsia="楷体_GB2312" w:cs="楷体_GB2312"/>
          <w:sz w:val="32"/>
          <w:szCs w:val="40"/>
        </w:rPr>
        <w:t>（一）综合评价结论</w:t>
      </w:r>
      <w:bookmarkEnd w:id="57"/>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该项目绩效评价得分87.04分，评价结果为“良”。具体情况如下：</w:t>
      </w:r>
    </w:p>
    <w:p>
      <w:pPr>
        <w:spacing w:line="600" w:lineRule="exact"/>
        <w:jc w:val="center"/>
        <w:rPr>
          <w:rFonts w:hint="eastAsia" w:ascii="黑体" w:hAnsi="黑体" w:eastAsia="黑体" w:cs="黑体"/>
          <w:sz w:val="28"/>
          <w:szCs w:val="28"/>
        </w:rPr>
      </w:pPr>
      <w:r>
        <w:rPr>
          <w:rFonts w:hint="eastAsia" w:ascii="黑体" w:hAnsi="黑体" w:eastAsia="黑体" w:cs="黑体"/>
          <w:sz w:val="28"/>
          <w:szCs w:val="28"/>
        </w:rPr>
        <w:t>表3-1  2025年渗沥液二期运行资金项目绩效评价得分情况表</w:t>
      </w:r>
    </w:p>
    <w:tbl>
      <w:tblPr>
        <w:tblStyle w:val="14"/>
        <w:tblW w:w="0" w:type="auto"/>
        <w:tblInd w:w="2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7"/>
        <w:gridCol w:w="2087"/>
        <w:gridCol w:w="2087"/>
        <w:gridCol w:w="2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2087"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一级指标</w:t>
            </w:r>
          </w:p>
        </w:tc>
        <w:tc>
          <w:tcPr>
            <w:tcW w:w="2087"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指标分值</w:t>
            </w:r>
          </w:p>
        </w:tc>
        <w:tc>
          <w:tcPr>
            <w:tcW w:w="2087"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得分</w:t>
            </w:r>
          </w:p>
        </w:tc>
        <w:tc>
          <w:tcPr>
            <w:tcW w:w="2088"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2087"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过程</w:t>
            </w:r>
          </w:p>
        </w:tc>
        <w:tc>
          <w:tcPr>
            <w:tcW w:w="2087" w:type="dxa"/>
            <w:vAlign w:val="center"/>
          </w:tcPr>
          <w:p>
            <w:pPr>
              <w:widowControl/>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20</w:t>
            </w:r>
          </w:p>
        </w:tc>
        <w:tc>
          <w:tcPr>
            <w:tcW w:w="2087" w:type="dxa"/>
            <w:vAlign w:val="center"/>
          </w:tcPr>
          <w:p>
            <w:pPr>
              <w:widowControl/>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17.25</w:t>
            </w:r>
          </w:p>
        </w:tc>
        <w:tc>
          <w:tcPr>
            <w:tcW w:w="2088" w:type="dxa"/>
            <w:vAlign w:val="center"/>
          </w:tcPr>
          <w:p>
            <w:pPr>
              <w:widowControl/>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86.25%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87"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产出</w:t>
            </w:r>
          </w:p>
        </w:tc>
        <w:tc>
          <w:tcPr>
            <w:tcW w:w="2087"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20</w:t>
            </w:r>
          </w:p>
        </w:tc>
        <w:tc>
          <w:tcPr>
            <w:tcW w:w="2087"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19.46</w:t>
            </w:r>
          </w:p>
        </w:tc>
        <w:tc>
          <w:tcPr>
            <w:tcW w:w="2088"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97.30%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87"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效益</w:t>
            </w:r>
          </w:p>
        </w:tc>
        <w:tc>
          <w:tcPr>
            <w:tcW w:w="2087"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60</w:t>
            </w:r>
          </w:p>
        </w:tc>
        <w:tc>
          <w:tcPr>
            <w:tcW w:w="2087"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50.33</w:t>
            </w:r>
          </w:p>
        </w:tc>
        <w:tc>
          <w:tcPr>
            <w:tcW w:w="2088" w:type="dxa"/>
            <w:vAlign w:val="center"/>
          </w:tcPr>
          <w:p>
            <w:pPr>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83.88%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87" w:type="dxa"/>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合计</w:t>
            </w:r>
          </w:p>
        </w:tc>
        <w:tc>
          <w:tcPr>
            <w:tcW w:w="2087" w:type="dxa"/>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100</w:t>
            </w:r>
          </w:p>
        </w:tc>
        <w:tc>
          <w:tcPr>
            <w:tcW w:w="2087" w:type="dxa"/>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87.04</w:t>
            </w:r>
          </w:p>
        </w:tc>
        <w:tc>
          <w:tcPr>
            <w:tcW w:w="2088" w:type="dxa"/>
            <w:vAlign w:val="center"/>
          </w:tcPr>
          <w:p>
            <w:pPr>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87.04%</w:t>
            </w:r>
          </w:p>
        </w:tc>
      </w:tr>
    </w:tbl>
    <w:p>
      <w:pPr>
        <w:spacing w:line="560" w:lineRule="exact"/>
        <w:ind w:firstLine="640" w:firstLineChars="200"/>
        <w:outlineLvl w:val="1"/>
        <w:rPr>
          <w:rFonts w:hint="eastAsia" w:ascii="楷体_GB2312" w:hAnsi="楷体_GB2312" w:eastAsia="楷体_GB2312" w:cs="楷体_GB2312"/>
          <w:sz w:val="32"/>
          <w:szCs w:val="40"/>
        </w:rPr>
      </w:pPr>
      <w:bookmarkStart w:id="58" w:name="_Toc27599"/>
      <w:r>
        <w:rPr>
          <w:rFonts w:hint="eastAsia" w:ascii="楷体_GB2312" w:hAnsi="楷体_GB2312" w:eastAsia="楷体_GB2312" w:cs="楷体_GB2312"/>
          <w:sz w:val="32"/>
          <w:szCs w:val="40"/>
        </w:rPr>
        <w:t>（二）指标分析</w:t>
      </w:r>
      <w:bookmarkEnd w:id="58"/>
    </w:p>
    <w:p>
      <w:pPr>
        <w:spacing w:line="560" w:lineRule="exact"/>
        <w:ind w:firstLine="643" w:firstLineChars="200"/>
        <w:outlineLvl w:val="2"/>
        <w:rPr>
          <w:rFonts w:hint="eastAsia" w:ascii="仿宋_GB2312" w:hAnsi="仿宋_GB2312" w:eastAsia="仿宋_GB2312" w:cs="仿宋_GB2312"/>
          <w:b/>
          <w:bCs/>
          <w:sz w:val="32"/>
          <w:szCs w:val="40"/>
        </w:rPr>
      </w:pPr>
      <w:bookmarkStart w:id="59" w:name="_Toc23260"/>
      <w:bookmarkStart w:id="60" w:name="_Toc5298"/>
      <w:bookmarkStart w:id="61" w:name="_Toc26414"/>
      <w:bookmarkStart w:id="62" w:name="_Toc2946"/>
      <w:r>
        <w:rPr>
          <w:rFonts w:hint="eastAsia" w:ascii="仿宋_GB2312" w:hAnsi="仿宋_GB2312" w:eastAsia="仿宋_GB2312" w:cs="仿宋_GB2312"/>
          <w:b/>
          <w:bCs/>
          <w:sz w:val="32"/>
          <w:szCs w:val="40"/>
        </w:rPr>
        <w:t>1.过程指标分析</w:t>
      </w:r>
      <w:bookmarkEnd w:id="59"/>
      <w:bookmarkEnd w:id="60"/>
      <w:bookmarkEnd w:id="61"/>
      <w:bookmarkEnd w:id="62"/>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过程指标分值20分，得17.25分，得分率为86.25%。</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（1）预算执行及资金使用合规性</w:t>
      </w:r>
    </w:p>
    <w:p>
      <w:pPr>
        <w:spacing w:line="560" w:lineRule="exact"/>
        <w:ind w:firstLine="640" w:firstLineChars="200"/>
        <w:outlineLvl w:val="4"/>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2025年项目预算金额5,981.00万元，实际执行资金5,607.28万元，预算执行率为93.75%。资金使用符合国家财经法规、财务管理制度的规定，资金的拨付有完整的审批程序和手续，符合项目预算批复或合同规定的用途，未发现截留、挤占、挪用、虚列支出等情况。</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（2）管理制度健全性及执行有效性</w:t>
      </w:r>
    </w:p>
    <w:p>
      <w:pPr>
        <w:spacing w:line="560" w:lineRule="exact"/>
        <w:ind w:firstLine="640" w:firstLineChars="200"/>
        <w:outlineLvl w:val="4"/>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青岛市城市管理局印发了《青岛市城市生活垃圾专项资金管理办法》（青财建〔2018〕111号）财务管理制度以及《青岛洁源环境有限公司生活垃圾渗沥液处理项目运营考核评分标准》（青城管〔2018〕184号）、《青岛市城市管理局企业年度社会效益考核实施办法》（青城管〔2022〕76号）业务管理制度，项目财务管理制度和业务管理制度齐全。但评价中发现：针对环卫中心月度检查发现情况，青岛洁源环境有限公司出具了复函，但是否整改到位未见复核环节相关资料，无法落实整改的实际成效。</w:t>
      </w:r>
    </w:p>
    <w:p>
      <w:pPr>
        <w:spacing w:line="560" w:lineRule="exact"/>
        <w:ind w:firstLine="643" w:firstLineChars="200"/>
        <w:outlineLvl w:val="2"/>
        <w:rPr>
          <w:rFonts w:hint="eastAsia" w:ascii="仿宋_GB2312" w:hAnsi="仿宋_GB2312" w:eastAsia="仿宋_GB2312" w:cs="仿宋_GB2312"/>
          <w:b/>
          <w:bCs/>
          <w:sz w:val="32"/>
          <w:szCs w:val="40"/>
        </w:rPr>
      </w:pPr>
      <w:bookmarkStart w:id="63" w:name="_Toc16081"/>
      <w:bookmarkStart w:id="64" w:name="_Toc19281"/>
      <w:bookmarkStart w:id="65" w:name="_Toc31379"/>
      <w:bookmarkStart w:id="66" w:name="_Toc20062"/>
      <w:r>
        <w:rPr>
          <w:rFonts w:hint="eastAsia" w:ascii="仿宋_GB2312" w:hAnsi="仿宋_GB2312" w:eastAsia="仿宋_GB2312" w:cs="仿宋_GB2312"/>
          <w:b/>
          <w:bCs/>
          <w:sz w:val="32"/>
          <w:szCs w:val="40"/>
        </w:rPr>
        <w:t>2.产出指标分析</w:t>
      </w:r>
      <w:bookmarkEnd w:id="63"/>
      <w:bookmarkEnd w:id="64"/>
      <w:bookmarkEnd w:id="65"/>
      <w:bookmarkEnd w:id="66"/>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产出指标分值20分，得19.46分，得分率97.30%。</w:t>
      </w:r>
    </w:p>
    <w:p>
      <w:pPr>
        <w:spacing w:line="560" w:lineRule="exact"/>
        <w:ind w:firstLine="643" w:firstLineChars="200"/>
        <w:outlineLvl w:val="3"/>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（1）产出数量情况</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根据青岛洁源环境有限公司2025年水量确认单，2025年度渗沥液处理量23.68万吨，完成率为92.68%；浓缩液处理量13.50万吨，完成率为96.43%。</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（2）产出质量情况</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根据青岛洁源环境有限公司2025年1-12月出水水质检测报告，渗沥液、浓缩液处理合格率为100%。</w:t>
      </w:r>
    </w:p>
    <w:p>
      <w:pPr>
        <w:spacing w:line="560" w:lineRule="exact"/>
        <w:ind w:firstLine="643" w:firstLineChars="200"/>
        <w:outlineLvl w:val="2"/>
        <w:rPr>
          <w:rFonts w:hint="eastAsia" w:ascii="仿宋_GB2312" w:hAnsi="仿宋_GB2312" w:eastAsia="仿宋_GB2312" w:cs="仿宋_GB2312"/>
          <w:b/>
          <w:bCs/>
          <w:sz w:val="32"/>
          <w:szCs w:val="40"/>
        </w:rPr>
      </w:pPr>
      <w:bookmarkStart w:id="67" w:name="_Toc25455"/>
      <w:bookmarkStart w:id="68" w:name="_Toc5504"/>
      <w:bookmarkStart w:id="69" w:name="_Toc8966"/>
      <w:bookmarkStart w:id="70" w:name="_Toc5011"/>
      <w:r>
        <w:rPr>
          <w:rFonts w:hint="eastAsia" w:ascii="仿宋_GB2312" w:hAnsi="仿宋_GB2312" w:eastAsia="仿宋_GB2312" w:cs="仿宋_GB2312"/>
          <w:b/>
          <w:bCs/>
          <w:sz w:val="32"/>
          <w:szCs w:val="40"/>
        </w:rPr>
        <w:t>3.效益指标分析</w:t>
      </w:r>
      <w:bookmarkEnd w:id="67"/>
      <w:bookmarkEnd w:id="68"/>
      <w:bookmarkEnd w:id="69"/>
      <w:bookmarkEnd w:id="70"/>
    </w:p>
    <w:p>
      <w:pPr>
        <w:spacing w:line="560" w:lineRule="exact"/>
        <w:ind w:firstLine="640" w:firstLineChars="200"/>
        <w:outlineLvl w:val="3"/>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指标值60分，得50.33分，得分率83.88%。</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（1）中水回用量</w:t>
      </w:r>
    </w:p>
    <w:p>
      <w:pPr>
        <w:spacing w:line="560" w:lineRule="exact"/>
        <w:ind w:firstLine="640" w:firstLineChars="200"/>
        <w:outlineLvl w:val="4"/>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根据青岛洁源环境有限公司运营情况月度统计报表，2025年节约新鲜用水量69205立方米，中水回用量达成目标。</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（2）提升城区环境卫生质量</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海洋大学师生和青岛农大师生研学之旅照片，接待了两次参观群众；根据2025年沼气发电月度统计表，公司内部厌氧沼气产生量150.45万立方米，已全部收集并用来沼气发电，沼气安全处置率为100%；根据季度噪声检测报告，噪声达标率100%；根据季度废气检测报告，臭气浓度＜20。</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（3）产能利用率</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洁源环境有限公司2025年水量确认单，渗沥液产能利用率为67.66%（日处理规模1000吨，年运行时间350天，年处理规模35万吨，实际年处理规模23.68万吨），完成率约为67.66%。浓缩液产能利用率为77.14%（日处理规模500吨，年运行时间350天，年处理规模17.5万吨，实际年处理规模13.5万吨），完成率为77.14%，渗沥液、浓缩液产能利用率均未达到设计预期水平。</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（4）污染物排放量下降率</w:t>
      </w:r>
    </w:p>
    <w:p>
      <w:pPr>
        <w:spacing w:line="560" w:lineRule="exact"/>
        <w:ind w:firstLine="640"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sz w:val="32"/>
          <w:szCs w:val="40"/>
        </w:rPr>
        <w:t>根据青岛洁源环境有限公司出水检测报告，出水污染物中化学需氧量（COD）排放量2025年度为2.72吨，2024年度为5.24吨，下降比例为48.09%；出水污染物中氨氮排放量2025年度为0.54吨，2024年度为0.51吨，较上年未下降，主要原因为药剂使用量的增加。</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（5）渗沥液产水率与浓缩液净水回收率</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洁源环境有限公司水量确认单，2025年度渗沥液处理量23.68万吨，出水量为18.19万吨，渗沥液产水率为76.82%；浓缩液处理量13.5万吨，出水水量8.15万吨，浓缩液净水回收率为60.37%，浓缩液处理系统运行效能未达到设计标准。</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（6）资源化产出量完成率</w:t>
      </w:r>
    </w:p>
    <w:p>
      <w:pPr>
        <w:spacing w:line="560" w:lineRule="exact"/>
        <w:ind w:firstLine="640" w:firstLineChars="200"/>
        <w:rPr>
          <w:rFonts w:hint="eastAsia" w:ascii="仿宋_GB2312" w:hAnsi="仿宋_GB2312" w:eastAsia="仿宋_GB2312" w:cs="仿宋_GB2312"/>
          <w:b/>
          <w:bCs/>
          <w:sz w:val="32"/>
          <w:szCs w:val="40"/>
        </w:rPr>
      </w:pPr>
      <w:r>
        <w:rPr>
          <w:rFonts w:hint="eastAsia" w:ascii="仿宋_GB2312" w:hAnsi="仿宋_GB2312" w:eastAsia="仿宋_GB2312" w:cs="仿宋_GB2312"/>
          <w:sz w:val="32"/>
          <w:szCs w:val="40"/>
        </w:rPr>
        <w:t>根据青岛洁源环境有限公司2025年沼气发电统计表，渗沥液二期沼气收集量150.45万立方米，完成沼气收集量目标128.97万立方米。2025年沼气发电项目发电量935.21万度，未完成沼气发电项目发电量1014万度。</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（7）降耗达标率</w:t>
      </w:r>
    </w:p>
    <w:p>
      <w:pPr>
        <w:spacing w:line="560" w:lineRule="exact"/>
        <w:ind w:firstLine="640" w:firstLineChars="200"/>
        <w:rPr>
          <w:rFonts w:hint="eastAsia" w:ascii="仿宋_GB2312" w:hAnsi="仿宋_GB2312" w:eastAsia="仿宋_GB2312" w:cs="仿宋_GB2312"/>
          <w:b/>
          <w:bCs/>
          <w:sz w:val="32"/>
          <w:szCs w:val="40"/>
        </w:rPr>
      </w:pPr>
      <w:r>
        <w:rPr>
          <w:rFonts w:hint="eastAsia" w:ascii="仿宋_GB2312" w:hAnsi="仿宋_GB2312" w:eastAsia="仿宋_GB2312" w:cs="仿宋_GB2312"/>
          <w:sz w:val="32"/>
          <w:szCs w:val="40"/>
        </w:rPr>
        <w:t>渗沥液药剂2025年使用386.68吨，2024年使用365.81吨，较上年上涨；浓缩液药剂2025年使用5992.44吨，2024年使用5379.20吨，较上年上涨；渗沥液电单耗2025年33.09度/吨水，2024年使用33.17度/吨水，较上年下降0.24%；浓缩液电单耗2025年88.23</w:t>
      </w:r>
      <w:r>
        <w:rPr>
          <w:rFonts w:hint="eastAsia" w:ascii="仿宋_GB2312" w:hAnsi="仿宋_GB2312" w:eastAsia="仿宋_GB2312" w:cs="仿宋_GB2312"/>
          <w:sz w:val="32"/>
          <w:szCs w:val="40"/>
          <w:lang w:eastAsia="zh-CN"/>
        </w:rPr>
        <w:t>度</w:t>
      </w:r>
      <w:r>
        <w:rPr>
          <w:rFonts w:hint="eastAsia" w:ascii="仿宋_GB2312" w:hAnsi="仿宋_GB2312" w:eastAsia="仿宋_GB2312" w:cs="仿宋_GB2312"/>
          <w:sz w:val="32"/>
          <w:szCs w:val="40"/>
        </w:rPr>
        <w:t>/吨水，2024年使用92.28度/吨水，较上年下降4.39%。</w:t>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（8）项目发展可持续性</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项目年运行时间365天；调节池液位始终保持安全低水位，制定了突发事件应急预案；设备设施无闲置；根据统计2021年至2025年渗沥液处理量数据，2021-2025年渗沥液处理量的标准差为1.85万吨，平均值22.85万吨，年波动幅度在15%以内，稳定运行年数5年及以上，可持续性持续增强。处理量折线图如下：</w:t>
      </w:r>
    </w:p>
    <w:p>
      <w:pPr>
        <w:pStyle w:val="2"/>
        <w:ind w:firstLine="640"/>
      </w:pPr>
      <w:r>
        <w:rPr>
          <w:rFonts w:hint="eastAsia" w:ascii="仿宋_GB2312" w:hAnsi="仿宋_GB2312" w:eastAsia="仿宋_GB2312" w:cs="仿宋_GB2312"/>
          <w:szCs w:val="40"/>
        </w:rPr>
        <w:t xml:space="preserve"> </w:t>
      </w:r>
      <w:r>
        <w:rPr>
          <w:rFonts w:hint="eastAsia" w:ascii="仿宋_GB2312" w:hAnsi="仿宋_GB2312" w:eastAsia="仿宋_GB2312" w:cs="仿宋_GB2312"/>
          <w:szCs w:val="40"/>
        </w:rPr>
        <w:drawing>
          <wp:inline distT="0" distB="0" distL="114300" distR="114300">
            <wp:extent cx="4740910" cy="2519680"/>
            <wp:effectExtent l="0" t="0" r="2540" b="4445"/>
            <wp:docPr id="1" name="图片 1" descr="2ee07906eec2c414826fe4d216b8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ee07906eec2c414826fe4d216b83781"/>
                    <pic:cNvPicPr>
                      <a:picLocks noChangeAspect="1"/>
                    </pic:cNvPicPr>
                  </pic:nvPicPr>
                  <pic:blipFill>
                    <a:blip r:embed="rId5"/>
                    <a:stretch>
                      <a:fillRect/>
                    </a:stretch>
                  </pic:blipFill>
                  <pic:spPr>
                    <a:xfrm>
                      <a:off x="0" y="0"/>
                      <a:ext cx="4740910" cy="2519680"/>
                    </a:xfrm>
                    <a:prstGeom prst="rect">
                      <a:avLst/>
                    </a:prstGeom>
                  </pic:spPr>
                </pic:pic>
              </a:graphicData>
            </a:graphic>
          </wp:inline>
        </w:drawing>
      </w:r>
    </w:p>
    <w:p>
      <w:pPr>
        <w:spacing w:line="560" w:lineRule="exact"/>
        <w:ind w:firstLine="643" w:firstLineChars="200"/>
        <w:outlineLvl w:val="3"/>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 xml:space="preserve">（9）满意度指标分析   </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根据调查问卷，周边居民满意度为65.79%；未收到投诉事项。</w:t>
      </w:r>
    </w:p>
    <w:p>
      <w:pPr>
        <w:spacing w:line="560" w:lineRule="exact"/>
        <w:ind w:firstLine="640" w:firstLineChars="200"/>
        <w:outlineLvl w:val="0"/>
        <w:rPr>
          <w:rFonts w:hint="eastAsia" w:ascii="黑体" w:hAnsi="黑体" w:eastAsia="黑体" w:cs="黑体"/>
          <w:sz w:val="32"/>
          <w:szCs w:val="40"/>
        </w:rPr>
      </w:pPr>
      <w:bookmarkStart w:id="71" w:name="_Toc26712"/>
      <w:r>
        <w:rPr>
          <w:rFonts w:hint="eastAsia" w:ascii="黑体" w:hAnsi="黑体" w:eastAsia="黑体" w:cs="黑体"/>
          <w:sz w:val="32"/>
          <w:szCs w:val="40"/>
        </w:rPr>
        <w:t>四、项目实施成效</w:t>
      </w:r>
      <w:bookmarkEnd w:id="71"/>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渗沥液二期项目2025年度实现安全稳定运行，全年处理渗沥液23.68万吨，浓缩液13.50万吨。项目在工艺运行和技术创新方面取得积极进展，沼气发电节能技改项目2024年底并网发电后2025年5月完成环保验收，有效替代国网用电、降低运营成本并杜绝沼气外溢风险；浓缩液全量化处置工艺（深度絮凝+化学软化+碳化硅膜+MVR蒸发+干化减量+焚烧协同）持续推进技术报奖，已通过青岛市科技进步奖网络评审。</w:t>
      </w:r>
    </w:p>
    <w:p>
      <w:pPr>
        <w:spacing w:line="560" w:lineRule="exact"/>
        <w:ind w:firstLine="640" w:firstLineChars="200"/>
        <w:outlineLvl w:val="0"/>
        <w:rPr>
          <w:rFonts w:hint="eastAsia" w:ascii="黑体" w:hAnsi="黑体" w:eastAsia="黑体" w:cs="黑体"/>
          <w:sz w:val="32"/>
          <w:szCs w:val="40"/>
        </w:rPr>
      </w:pPr>
      <w:bookmarkStart w:id="72" w:name="_Toc7183"/>
      <w:r>
        <w:rPr>
          <w:rFonts w:hint="eastAsia" w:ascii="黑体" w:hAnsi="黑体" w:eastAsia="黑体" w:cs="黑体"/>
          <w:sz w:val="32"/>
          <w:szCs w:val="40"/>
        </w:rPr>
        <w:t>五、发现的问题及原因分析</w:t>
      </w:r>
      <w:bookmarkEnd w:id="72"/>
    </w:p>
    <w:p>
      <w:pPr>
        <w:pStyle w:val="3"/>
        <w:widowControl w:val="0"/>
        <w:spacing w:before="0" w:after="0" w:line="560" w:lineRule="exact"/>
        <w:ind w:firstLine="640"/>
        <w:jc w:val="both"/>
        <w:rPr>
          <w:rFonts w:eastAsia="楷体_GB2312"/>
          <w:bCs w:val="0"/>
          <w:color w:val="auto"/>
          <w:sz w:val="32"/>
          <w:szCs w:val="40"/>
          <w:lang w:val="en-US"/>
        </w:rPr>
      </w:pPr>
      <w:bookmarkStart w:id="73" w:name="_Toc30424"/>
      <w:r>
        <w:rPr>
          <w:rFonts w:hint="eastAsia" w:eastAsia="楷体_GB2312"/>
          <w:bCs w:val="0"/>
          <w:color w:val="auto"/>
          <w:sz w:val="32"/>
          <w:szCs w:val="40"/>
          <w:lang w:val="en-US"/>
        </w:rPr>
        <w:t>（一）预算执行率不达标，产能利用率未达预期目标</w:t>
      </w:r>
      <w:bookmarkEnd w:id="73"/>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方面根据青岛市城市管理局2025年度部门预算，项目按照渗沥液1000吨/日、浓缩液500吨/日满负荷处理规模申报预算资金5,981.00万元，但全年预算执行率为93.75%，未能实现全额支出。另一方面根据项目立项报告，渗沥液二期工程2025年度产能仍在满负荷运行年限之内,但根据青岛洁源环境有限公司2025年水量确认单，2025年度渗沥液实际处理量23.68万吨，浓缩液实际处理量13.50万吨，渗沥液、浓缩液产能利用率均未达到设计预期水平。</w:t>
      </w:r>
    </w:p>
    <w:p>
      <w:pPr>
        <w:pStyle w:val="3"/>
        <w:widowControl w:val="0"/>
        <w:spacing w:before="0" w:after="0" w:line="560" w:lineRule="exact"/>
        <w:ind w:firstLine="640"/>
        <w:jc w:val="both"/>
        <w:rPr>
          <w:rFonts w:hint="eastAsia" w:ascii="仿宋_GB2312" w:hAnsi="仿宋_GB2312" w:eastAsia="楷体_GB2312" w:cs="仿宋_GB2312"/>
          <w:sz w:val="32"/>
          <w:szCs w:val="40"/>
          <w:lang w:val="en-US"/>
        </w:rPr>
      </w:pPr>
      <w:bookmarkStart w:id="74" w:name="_Toc16867"/>
      <w:r>
        <w:rPr>
          <w:rFonts w:hint="eastAsia" w:eastAsia="楷体_GB2312"/>
          <w:bCs w:val="0"/>
          <w:color w:val="auto"/>
          <w:sz w:val="32"/>
          <w:szCs w:val="40"/>
          <w:lang w:val="en-US"/>
        </w:rPr>
        <w:t>（二）监管流程重复，复核环节</w:t>
      </w:r>
      <w:bookmarkEnd w:id="74"/>
      <w:r>
        <w:rPr>
          <w:rFonts w:hint="eastAsia" w:eastAsia="楷体_GB2312"/>
          <w:bCs w:val="0"/>
          <w:color w:val="auto"/>
          <w:sz w:val="32"/>
          <w:szCs w:val="40"/>
          <w:lang w:val="en-US"/>
        </w:rPr>
        <w:t>缺少佐证材料</w:t>
      </w:r>
    </w:p>
    <w:p>
      <w:pPr>
        <w:spacing w:line="560" w:lineRule="exact"/>
        <w:ind w:firstLine="640" w:firstLineChars="200"/>
      </w:pPr>
      <w:r>
        <w:rPr>
          <w:rFonts w:hint="eastAsia" w:ascii="仿宋_GB2312" w:hAnsi="仿宋_GB2312" w:eastAsia="仿宋_GB2312" w:cs="仿宋_GB2312"/>
          <w:sz w:val="32"/>
          <w:szCs w:val="40"/>
        </w:rPr>
        <w:t>现行同步执行两项制度文件，分别为《青岛洁源环境有限公司生活垃圾渗沥液处理项目运营考核评分标准》（青城管〔2018〕184号）、《青岛市城市管理局企业年度社会效益考核实施办法》（青城管〔2022〕76号）</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监管流程重复、奖惩标准不统一。同时环卫中心完成月度检查并收到青岛洁源环境有限公司整改复函后，</w:t>
      </w:r>
      <w:r>
        <w:rPr>
          <w:rFonts w:hint="eastAsia" w:ascii="仿宋_GB2312" w:hAnsi="仿宋_GB2312" w:eastAsia="仿宋_GB2312" w:cs="仿宋_GB2312"/>
          <w:sz w:val="32"/>
          <w:szCs w:val="40"/>
          <w:lang w:val="en-US" w:eastAsia="zh-CN"/>
        </w:rPr>
        <w:t>缺少</w:t>
      </w:r>
      <w:r>
        <w:rPr>
          <w:rFonts w:hint="eastAsia" w:ascii="仿宋_GB2312" w:hAnsi="仿宋_GB2312" w:eastAsia="仿宋_GB2312" w:cs="仿宋_GB2312"/>
          <w:sz w:val="32"/>
          <w:szCs w:val="40"/>
        </w:rPr>
        <w:t>整改验收的确认资料，无佐证材料核实企业整改措施落地实效。</w:t>
      </w:r>
    </w:p>
    <w:p>
      <w:pPr>
        <w:pStyle w:val="3"/>
        <w:widowControl w:val="0"/>
        <w:spacing w:before="0" w:after="0" w:line="560" w:lineRule="exact"/>
        <w:ind w:firstLine="640"/>
        <w:jc w:val="both"/>
        <w:rPr>
          <w:rFonts w:eastAsia="楷体_GB2312"/>
          <w:bCs w:val="0"/>
          <w:color w:val="auto"/>
          <w:sz w:val="32"/>
          <w:szCs w:val="40"/>
          <w:lang w:val="en-US"/>
        </w:rPr>
      </w:pPr>
      <w:bookmarkStart w:id="75" w:name="_Toc22269"/>
      <w:r>
        <w:rPr>
          <w:rFonts w:hint="eastAsia" w:eastAsia="楷体_GB2312"/>
          <w:bCs w:val="0"/>
          <w:color w:val="auto"/>
          <w:sz w:val="32"/>
          <w:szCs w:val="40"/>
          <w:lang w:val="en-US"/>
        </w:rPr>
        <w:t>（三）污染物减排、浓缩液处理效能未达标，居民满意度偏低</w:t>
      </w:r>
      <w:bookmarkEnd w:id="75"/>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根据“十四五规划”总体减排目标中氨氮排放降幅为8%，根据青岛洁源环境有限公司出水检测报告数据，项目2024年氨氮排放量0.51吨，2025年氨氮排放量0.54吨，排放量同比上升，未能完成污染物持续减排任务。</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项目立项报告，浓缩液净水回收率需达到90%及以上，根据青岛洁源环境有限公司2025年水量确认单核算，实际浓缩液净水回收率仅60.37%，浓缩液处理系统运行效能未达到设计标准。另2025年度周边居民满意度调查问卷显示项目综合满意度为65.79%，整体评价偏低，走访反馈主要问题为刮北风时厂区周边存在异味。</w:t>
      </w:r>
    </w:p>
    <w:p>
      <w:pPr>
        <w:pStyle w:val="3"/>
        <w:widowControl w:val="0"/>
        <w:spacing w:before="0" w:after="0" w:line="560" w:lineRule="exact"/>
        <w:ind w:firstLine="640"/>
        <w:jc w:val="both"/>
        <w:rPr>
          <w:rFonts w:eastAsia="楷体_GB2312"/>
          <w:bCs w:val="0"/>
          <w:color w:val="auto"/>
          <w:sz w:val="32"/>
          <w:szCs w:val="40"/>
          <w:lang w:val="en-US"/>
        </w:rPr>
      </w:pPr>
      <w:bookmarkStart w:id="76" w:name="_Toc23472"/>
      <w:r>
        <w:rPr>
          <w:rFonts w:hint="eastAsia" w:eastAsia="楷体_GB2312"/>
          <w:bCs w:val="0"/>
          <w:color w:val="auto"/>
          <w:sz w:val="32"/>
          <w:szCs w:val="40"/>
          <w:lang w:val="en-US"/>
        </w:rPr>
        <w:t>（四）</w:t>
      </w:r>
      <w:bookmarkEnd w:id="76"/>
      <w:r>
        <w:rPr>
          <w:rFonts w:hint="eastAsia" w:eastAsia="楷体_GB2312"/>
          <w:bCs w:val="0"/>
          <w:color w:val="auto"/>
          <w:sz w:val="32"/>
          <w:szCs w:val="40"/>
          <w:lang w:val="en-US"/>
        </w:rPr>
        <w:t xml:space="preserve">药剂使用量有所增加，未实现下降目标                                            </w:t>
      </w:r>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洁源环境有限公司2025年度运营数据：渗沥液药剂和浓缩液药剂使用量均未实现下降目标，且浓缩液药剂使用量增幅较大。渗沥液药剂2025年使用386.68吨，2024年使用365.81吨，较上年上涨。浓缩液药剂2025年使用5992.44吨，2024年使用5379.20吨，较上年上涨。药剂使用量增加不仅直接推高项目运营成本，还可能造成出水水质波动。</w:t>
      </w:r>
    </w:p>
    <w:p>
      <w:pPr>
        <w:spacing w:line="560" w:lineRule="exact"/>
        <w:ind w:firstLine="640" w:firstLineChars="200"/>
        <w:outlineLvl w:val="0"/>
        <w:rPr>
          <w:rFonts w:ascii="Times New Roman" w:hAnsi="Times New Roman" w:eastAsia="楷体_GB2312" w:cs="Times New Roman"/>
          <w:sz w:val="32"/>
          <w:szCs w:val="40"/>
        </w:rPr>
      </w:pPr>
      <w:bookmarkStart w:id="77" w:name="_Toc19839"/>
      <w:r>
        <w:rPr>
          <w:rFonts w:hint="eastAsia" w:ascii="黑体" w:hAnsi="黑体" w:eastAsia="黑体" w:cs="黑体"/>
          <w:sz w:val="32"/>
          <w:szCs w:val="40"/>
        </w:rPr>
        <w:t>六、相关建议</w:t>
      </w:r>
      <w:bookmarkEnd w:id="77"/>
    </w:p>
    <w:p>
      <w:pPr>
        <w:pStyle w:val="3"/>
        <w:spacing w:before="0" w:after="0" w:line="560" w:lineRule="exact"/>
        <w:ind w:firstLine="640"/>
        <w:rPr>
          <w:rFonts w:eastAsia="楷体_GB2312"/>
          <w:bCs w:val="0"/>
          <w:color w:val="auto"/>
          <w:sz w:val="32"/>
          <w:szCs w:val="40"/>
          <w:lang w:val="en-US"/>
        </w:rPr>
      </w:pPr>
      <w:bookmarkStart w:id="78" w:name="_Toc21639"/>
      <w:r>
        <w:rPr>
          <w:rFonts w:hint="eastAsia" w:eastAsia="楷体_GB2312"/>
          <w:bCs w:val="0"/>
          <w:color w:val="auto"/>
          <w:sz w:val="32"/>
          <w:szCs w:val="40"/>
          <w:lang w:val="en-US"/>
        </w:rPr>
        <w:t>（一）提高预算执行率，提升产能利用率</w:t>
      </w:r>
      <w:bookmarkEnd w:id="78"/>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是提高预算执行率，动态跟踪预算执行数据并及时预警执行偏差，多措并举持续提升整体预算执行效率；二是结合项目尚在满负荷运行年限的现状，梳理制约产能释放的各类因素，合理优化生产调度、设备运维等工作，建立月度水量跟踪机制，逐步提高渗沥液、浓缩液产能利用率，缩小实际处理量与设计负荷之间的差距。</w:t>
      </w:r>
    </w:p>
    <w:p>
      <w:pPr>
        <w:pStyle w:val="3"/>
        <w:spacing w:before="0" w:after="0" w:line="560" w:lineRule="exact"/>
        <w:ind w:firstLine="640"/>
        <w:rPr>
          <w:rFonts w:eastAsia="楷体_GB2312"/>
          <w:bCs w:val="0"/>
          <w:color w:val="auto"/>
          <w:sz w:val="32"/>
          <w:szCs w:val="40"/>
          <w:lang w:val="en-US"/>
        </w:rPr>
      </w:pPr>
      <w:bookmarkStart w:id="79" w:name="_Toc21893"/>
      <w:r>
        <w:rPr>
          <w:rFonts w:hint="eastAsia" w:eastAsia="楷体_GB2312"/>
          <w:bCs w:val="0"/>
          <w:color w:val="auto"/>
          <w:sz w:val="32"/>
          <w:szCs w:val="40"/>
          <w:lang w:val="en-US"/>
        </w:rPr>
        <w:t>（二）理顺制度执行标准，完善问题整改复核环节</w:t>
      </w:r>
      <w:bookmarkEnd w:id="79"/>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一是梳理青城管〔2018〕184号、青城管〔2022〕76 号两项并行制度，明确两类考核的适用场景、考核频次、资料归档要求与结果运用规则，理顺制度衔接逻辑，避免制度交叉混用、执行标准模糊。二是建立标准化整改复核流程，针对月度、季度检查排查出的问题，在企业提交整改说明后开展现场复核验收，同步归档整改佐证、验收资料，确保问题整改真实落地。</w:t>
      </w:r>
    </w:p>
    <w:p>
      <w:pPr>
        <w:pStyle w:val="3"/>
        <w:spacing w:before="0" w:after="0" w:line="560" w:lineRule="exact"/>
        <w:ind w:firstLine="640"/>
        <w:rPr>
          <w:rFonts w:eastAsia="楷体_GB2312"/>
          <w:bCs w:val="0"/>
          <w:color w:val="auto"/>
          <w:sz w:val="32"/>
          <w:szCs w:val="40"/>
          <w:lang w:val="en-US"/>
        </w:rPr>
      </w:pPr>
      <w:bookmarkStart w:id="80" w:name="_Toc19968"/>
      <w:r>
        <w:rPr>
          <w:rFonts w:hint="eastAsia" w:eastAsia="楷体_GB2312"/>
          <w:bCs w:val="0"/>
          <w:color w:val="auto"/>
          <w:sz w:val="32"/>
          <w:szCs w:val="40"/>
          <w:lang w:val="en-US"/>
        </w:rPr>
        <w:t>（三）优化水处理工艺指标，长效治理厂区异味提升群众满意度</w:t>
      </w:r>
      <w:bookmarkEnd w:id="80"/>
    </w:p>
    <w:p>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是对标“十四五”氨氮排放下降8%的减排任务，常态化开展出水水质检测，根据氨氮排放数据动态调整水处理工艺，扭转排放量上升的情况；二是全面排查浓缩液处理设备运行工况，优化系统运行参数，持续提升浓缩液净水回收率至标准以上；三是升级厂区异味收集、喷淋除臭设施，在北风等异味易扩散时段加大处置力度，定期开展周边居民走访调研，及时收集群众诉求并落实整改，稳步提升居民综合满意度。</w:t>
      </w:r>
    </w:p>
    <w:p>
      <w:pPr>
        <w:pStyle w:val="3"/>
        <w:spacing w:before="0" w:after="0" w:line="560" w:lineRule="exact"/>
        <w:ind w:firstLine="640"/>
        <w:rPr>
          <w:rFonts w:eastAsia="楷体_GB2312"/>
          <w:bCs w:val="0"/>
          <w:color w:val="auto"/>
          <w:sz w:val="32"/>
          <w:szCs w:val="40"/>
          <w:lang w:val="en-US"/>
        </w:rPr>
      </w:pPr>
      <w:bookmarkStart w:id="81" w:name="_Toc31008"/>
      <w:r>
        <w:rPr>
          <w:rFonts w:hint="eastAsia" w:eastAsia="楷体_GB2312"/>
          <w:bCs w:val="0"/>
          <w:color w:val="auto"/>
          <w:sz w:val="32"/>
          <w:szCs w:val="40"/>
          <w:lang w:val="en-US"/>
        </w:rPr>
        <w:t>（四）精细化管控药剂投加流程，降低药剂消耗稳定出水水质</w:t>
      </w:r>
      <w:bookmarkEnd w:id="81"/>
    </w:p>
    <w:p>
      <w:pPr>
        <w:pStyle w:val="2"/>
        <w:spacing w:line="560" w:lineRule="exact"/>
        <w:ind w:firstLine="640"/>
        <w:rPr>
          <w:rFonts w:hint="eastAsia" w:ascii="仿宋_GB2312" w:hAnsi="仿宋_GB2312" w:eastAsia="仿宋_GB2312" w:cs="仿宋_GB2312"/>
          <w:szCs w:val="40"/>
        </w:rPr>
      </w:pPr>
      <w:bookmarkStart w:id="82" w:name="_Toc25916"/>
      <w:r>
        <w:rPr>
          <w:rFonts w:hint="eastAsia" w:ascii="仿宋_GB2312" w:hAnsi="仿宋_GB2312" w:eastAsia="仿宋_GB2312" w:cs="仿宋_GB2312"/>
          <w:szCs w:val="40"/>
        </w:rPr>
        <w:t>一是建立药剂使用动态管控机制，根据每日进水水质波动灵活调整药剂投加比例，持续对比历年同期药剂消耗数据，分析用量上涨的核心诱因；二是定期检修、校准加药设备，杜绝药剂过量投加情况，常态化评估药剂使用效率；三是在稳定出水水质的基础上优化药剂使用方案，有效控制药剂消耗总量，减轻项目运营成本压力，降低水质波动风险。</w:t>
      </w:r>
      <w:bookmarkEnd w:id="82"/>
    </w:p>
    <w:p>
      <w:pPr>
        <w:rPr>
          <w:rFonts w:hint="eastAsia" w:ascii="楷体_GB2312" w:hAnsi="楷体_GB2312" w:eastAsia="楷体_GB2312" w:cs="楷体_GB2312"/>
          <w:sz w:val="32"/>
          <w:szCs w:val="32"/>
        </w:rPr>
      </w:pPr>
    </w:p>
    <w:sectPr>
      <w:footerReference r:id="rId3" w:type="default"/>
      <w:pgSz w:w="11906" w:h="16838"/>
      <w:pgMar w:top="2041" w:right="1701" w:bottom="2041" w:left="1701" w:header="851" w:footer="1361"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汉仪粗宋简">
    <w:panose1 w:val="02010609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  \* MERGEFORMAT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2</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HupMyU4AgAAbwQAAA4AAAAAAAAA&#10;AQAgAAAANQEAAGRycy9lMm9Eb2MueG1sUEsFBgAAAAAGAAYAWQEAAN8FAAAAAA==&#10;">
              <v:fill on="f" focussize="0,0"/>
              <v:stroke on="f" weight="0.5pt"/>
              <v:imagedata o:title=""/>
              <o:lock v:ext="edit" aspectratio="f"/>
              <v:textbox inset="0mm,0mm,0mm,0mm" style="mso-fit-shape-to-text:t;">
                <w:txbxContent>
                  <w:p>
                    <w:pPr>
                      <w:pStyle w:val="7"/>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rPr>
                      <w:fldChar w:fldCharType="begin"/>
                    </w:r>
                    <w:r>
                      <w:rPr>
                        <w:rFonts w:hint="eastAsia" w:asciiTheme="majorEastAsia" w:hAnsiTheme="majorEastAsia" w:eastAsiaTheme="majorEastAsia" w:cstheme="majorEastAsia"/>
                        <w:sz w:val="24"/>
                      </w:rPr>
                      <w:instrText xml:space="preserve"> PAGE  \* MERGEFORMAT </w:instrText>
                    </w:r>
                    <w:r>
                      <w:rPr>
                        <w:rFonts w:hint="eastAsia" w:asciiTheme="majorEastAsia" w:hAnsiTheme="majorEastAsia" w:eastAsiaTheme="majorEastAsia" w:cstheme="majorEastAsia"/>
                        <w:sz w:val="24"/>
                      </w:rPr>
                      <w:fldChar w:fldCharType="separate"/>
                    </w:r>
                    <w:r>
                      <w:rPr>
                        <w:rFonts w:asciiTheme="majorEastAsia" w:hAnsiTheme="majorEastAsia" w:eastAsiaTheme="majorEastAsia" w:cstheme="majorEastAsia"/>
                        <w:sz w:val="24"/>
                      </w:rPr>
                      <w:t>2</w:t>
                    </w:r>
                    <w:r>
                      <w:rPr>
                        <w:rFonts w:hint="eastAsia" w:asciiTheme="majorEastAsia" w:hAnsiTheme="majorEastAsia" w:eastAsiaTheme="majorEastAsia" w:cstheme="majorEastAsia"/>
                        <w:sz w:val="24"/>
                      </w:rPr>
                      <w:fldChar w:fldCharType="end"/>
                    </w:r>
                    <w:r>
                      <w:rPr>
                        <w:rFonts w:hint="eastAsia" w:asciiTheme="majorEastAsia" w:hAnsiTheme="majorEastAsia" w:eastAsiaTheme="majorEastAsia" w:cstheme="majorEastAsia"/>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2E"/>
    <w:rsid w:val="001F183A"/>
    <w:rsid w:val="0021272E"/>
    <w:rsid w:val="00243C1C"/>
    <w:rsid w:val="0033342C"/>
    <w:rsid w:val="00376CED"/>
    <w:rsid w:val="00377452"/>
    <w:rsid w:val="003E3DE3"/>
    <w:rsid w:val="00534D41"/>
    <w:rsid w:val="005E6A6D"/>
    <w:rsid w:val="00736F80"/>
    <w:rsid w:val="008F3D17"/>
    <w:rsid w:val="009B68E6"/>
    <w:rsid w:val="009C4B5F"/>
    <w:rsid w:val="009E3B17"/>
    <w:rsid w:val="00A01F8F"/>
    <w:rsid w:val="00BD28E4"/>
    <w:rsid w:val="00C339C4"/>
    <w:rsid w:val="00C7128C"/>
    <w:rsid w:val="00C83C15"/>
    <w:rsid w:val="00D632BC"/>
    <w:rsid w:val="00E25538"/>
    <w:rsid w:val="00EC7C8A"/>
    <w:rsid w:val="00FA599C"/>
    <w:rsid w:val="010D562B"/>
    <w:rsid w:val="01280595"/>
    <w:rsid w:val="017D7C14"/>
    <w:rsid w:val="01813937"/>
    <w:rsid w:val="01A02D48"/>
    <w:rsid w:val="01FE5845"/>
    <w:rsid w:val="02761B33"/>
    <w:rsid w:val="028B2836"/>
    <w:rsid w:val="035A11F3"/>
    <w:rsid w:val="0404169B"/>
    <w:rsid w:val="04B31D50"/>
    <w:rsid w:val="04D82B04"/>
    <w:rsid w:val="054C7DEB"/>
    <w:rsid w:val="059D3A62"/>
    <w:rsid w:val="05BA3978"/>
    <w:rsid w:val="06F81435"/>
    <w:rsid w:val="071D0383"/>
    <w:rsid w:val="07757A5F"/>
    <w:rsid w:val="087B5F6E"/>
    <w:rsid w:val="08D71D8F"/>
    <w:rsid w:val="08F7794C"/>
    <w:rsid w:val="092829B2"/>
    <w:rsid w:val="0AD32091"/>
    <w:rsid w:val="0B454C16"/>
    <w:rsid w:val="0BA07177"/>
    <w:rsid w:val="0C2911DC"/>
    <w:rsid w:val="0C6D3C6B"/>
    <w:rsid w:val="0CAF323C"/>
    <w:rsid w:val="0CCC32AC"/>
    <w:rsid w:val="0D1D4AF5"/>
    <w:rsid w:val="0D373690"/>
    <w:rsid w:val="0DB42C7A"/>
    <w:rsid w:val="0E6D148C"/>
    <w:rsid w:val="0EA34762"/>
    <w:rsid w:val="0EBB3E5B"/>
    <w:rsid w:val="0ED21C9F"/>
    <w:rsid w:val="0F136F00"/>
    <w:rsid w:val="0F170FA3"/>
    <w:rsid w:val="0F223B12"/>
    <w:rsid w:val="101C734D"/>
    <w:rsid w:val="106A3C74"/>
    <w:rsid w:val="10AA5E51"/>
    <w:rsid w:val="10B80D27"/>
    <w:rsid w:val="115A476D"/>
    <w:rsid w:val="11EE380A"/>
    <w:rsid w:val="12387EDC"/>
    <w:rsid w:val="12690231"/>
    <w:rsid w:val="14602E31"/>
    <w:rsid w:val="159714F3"/>
    <w:rsid w:val="160637DC"/>
    <w:rsid w:val="16110B28"/>
    <w:rsid w:val="1654353F"/>
    <w:rsid w:val="17AE5F48"/>
    <w:rsid w:val="17C302A8"/>
    <w:rsid w:val="17F34A89"/>
    <w:rsid w:val="180C2FE6"/>
    <w:rsid w:val="180D6AA4"/>
    <w:rsid w:val="181F7418"/>
    <w:rsid w:val="18372F6E"/>
    <w:rsid w:val="18CB084B"/>
    <w:rsid w:val="190B38FC"/>
    <w:rsid w:val="19FF16EF"/>
    <w:rsid w:val="1ADD7D05"/>
    <w:rsid w:val="1B2B1EBD"/>
    <w:rsid w:val="1B4C3001"/>
    <w:rsid w:val="1B98698B"/>
    <w:rsid w:val="1E7E20DF"/>
    <w:rsid w:val="1FA70719"/>
    <w:rsid w:val="20A41DCD"/>
    <w:rsid w:val="213A031C"/>
    <w:rsid w:val="21BD2128"/>
    <w:rsid w:val="22376C8E"/>
    <w:rsid w:val="22B37394"/>
    <w:rsid w:val="22CE60A4"/>
    <w:rsid w:val="22F771C9"/>
    <w:rsid w:val="22FD5AA5"/>
    <w:rsid w:val="23170CA0"/>
    <w:rsid w:val="231A0AA9"/>
    <w:rsid w:val="23340B99"/>
    <w:rsid w:val="237C5E4C"/>
    <w:rsid w:val="238916A4"/>
    <w:rsid w:val="23985B66"/>
    <w:rsid w:val="24B42C94"/>
    <w:rsid w:val="24EA3E14"/>
    <w:rsid w:val="253149A3"/>
    <w:rsid w:val="255B0802"/>
    <w:rsid w:val="256031F9"/>
    <w:rsid w:val="256E2C8A"/>
    <w:rsid w:val="260604AF"/>
    <w:rsid w:val="2638410E"/>
    <w:rsid w:val="265D4680"/>
    <w:rsid w:val="27CE7A10"/>
    <w:rsid w:val="281731DB"/>
    <w:rsid w:val="2842481C"/>
    <w:rsid w:val="286B210C"/>
    <w:rsid w:val="286D4E05"/>
    <w:rsid w:val="28A10E28"/>
    <w:rsid w:val="292F0644"/>
    <w:rsid w:val="29A87862"/>
    <w:rsid w:val="2A571F3F"/>
    <w:rsid w:val="2B1D1B2A"/>
    <w:rsid w:val="2B24076C"/>
    <w:rsid w:val="2BA50411"/>
    <w:rsid w:val="2CE35D0C"/>
    <w:rsid w:val="2CF07C47"/>
    <w:rsid w:val="2D42082B"/>
    <w:rsid w:val="2DC8748F"/>
    <w:rsid w:val="2E232575"/>
    <w:rsid w:val="2E304F81"/>
    <w:rsid w:val="2F3D0350"/>
    <w:rsid w:val="2F8F217B"/>
    <w:rsid w:val="2FF56483"/>
    <w:rsid w:val="3041265D"/>
    <w:rsid w:val="307F4548"/>
    <w:rsid w:val="30B05ABF"/>
    <w:rsid w:val="30E312C9"/>
    <w:rsid w:val="310962B6"/>
    <w:rsid w:val="31373CFD"/>
    <w:rsid w:val="319D6E9C"/>
    <w:rsid w:val="31C573BD"/>
    <w:rsid w:val="32520110"/>
    <w:rsid w:val="328F70D5"/>
    <w:rsid w:val="32F65382"/>
    <w:rsid w:val="331C2ED5"/>
    <w:rsid w:val="335D7778"/>
    <w:rsid w:val="33FA65BD"/>
    <w:rsid w:val="34893149"/>
    <w:rsid w:val="34B544CF"/>
    <w:rsid w:val="34FE3CD8"/>
    <w:rsid w:val="35063D18"/>
    <w:rsid w:val="35420216"/>
    <w:rsid w:val="3653532C"/>
    <w:rsid w:val="370B1042"/>
    <w:rsid w:val="372D3CF9"/>
    <w:rsid w:val="37A752C7"/>
    <w:rsid w:val="3838037A"/>
    <w:rsid w:val="38574682"/>
    <w:rsid w:val="392D0FA9"/>
    <w:rsid w:val="39426AFA"/>
    <w:rsid w:val="3A0E5111"/>
    <w:rsid w:val="3A304026"/>
    <w:rsid w:val="3A901E18"/>
    <w:rsid w:val="3AE000AF"/>
    <w:rsid w:val="3B233419"/>
    <w:rsid w:val="3B327F34"/>
    <w:rsid w:val="3B3D5BB0"/>
    <w:rsid w:val="3B455D93"/>
    <w:rsid w:val="3BBC14F8"/>
    <w:rsid w:val="3BBD1E1E"/>
    <w:rsid w:val="3BBF4E9C"/>
    <w:rsid w:val="3C5A3656"/>
    <w:rsid w:val="3C862FA3"/>
    <w:rsid w:val="3C9C68B0"/>
    <w:rsid w:val="3CB91750"/>
    <w:rsid w:val="3CC50F8A"/>
    <w:rsid w:val="3D8B7E7C"/>
    <w:rsid w:val="3DB8138F"/>
    <w:rsid w:val="3E250212"/>
    <w:rsid w:val="3E3C2055"/>
    <w:rsid w:val="3EA958BA"/>
    <w:rsid w:val="3ED9573E"/>
    <w:rsid w:val="3F6F1FDE"/>
    <w:rsid w:val="3F97EEE8"/>
    <w:rsid w:val="40896772"/>
    <w:rsid w:val="40FF607C"/>
    <w:rsid w:val="410B6EA2"/>
    <w:rsid w:val="429D6505"/>
    <w:rsid w:val="42EC0DB2"/>
    <w:rsid w:val="448A74C9"/>
    <w:rsid w:val="44EF38D4"/>
    <w:rsid w:val="459B4152"/>
    <w:rsid w:val="4612161E"/>
    <w:rsid w:val="462A58F1"/>
    <w:rsid w:val="466A3AA6"/>
    <w:rsid w:val="46B12F19"/>
    <w:rsid w:val="46E06A98"/>
    <w:rsid w:val="46F21CBA"/>
    <w:rsid w:val="473A17EB"/>
    <w:rsid w:val="47424E30"/>
    <w:rsid w:val="47633429"/>
    <w:rsid w:val="47940162"/>
    <w:rsid w:val="47E932A6"/>
    <w:rsid w:val="47FB214E"/>
    <w:rsid w:val="48A03117"/>
    <w:rsid w:val="48C447EC"/>
    <w:rsid w:val="48F91E1E"/>
    <w:rsid w:val="48FD2229"/>
    <w:rsid w:val="49862A9D"/>
    <w:rsid w:val="49A167D8"/>
    <w:rsid w:val="4A1F015C"/>
    <w:rsid w:val="4A1F0FC9"/>
    <w:rsid w:val="4A306976"/>
    <w:rsid w:val="4B0206AA"/>
    <w:rsid w:val="4B5A4708"/>
    <w:rsid w:val="4D8D513A"/>
    <w:rsid w:val="4DCA5E75"/>
    <w:rsid w:val="4DD60536"/>
    <w:rsid w:val="4E64534A"/>
    <w:rsid w:val="4E995186"/>
    <w:rsid w:val="4F8712E1"/>
    <w:rsid w:val="4FB776F8"/>
    <w:rsid w:val="50900F87"/>
    <w:rsid w:val="51286134"/>
    <w:rsid w:val="513E7602"/>
    <w:rsid w:val="520D71B6"/>
    <w:rsid w:val="52680E5E"/>
    <w:rsid w:val="53603844"/>
    <w:rsid w:val="53E82F2D"/>
    <w:rsid w:val="54240834"/>
    <w:rsid w:val="54D82B74"/>
    <w:rsid w:val="551F7B45"/>
    <w:rsid w:val="556B68E0"/>
    <w:rsid w:val="55905249"/>
    <w:rsid w:val="55A73151"/>
    <w:rsid w:val="55FD4C24"/>
    <w:rsid w:val="56236D75"/>
    <w:rsid w:val="56B06848"/>
    <w:rsid w:val="56F66F90"/>
    <w:rsid w:val="57900964"/>
    <w:rsid w:val="579A0915"/>
    <w:rsid w:val="58A81A34"/>
    <w:rsid w:val="59CA3F02"/>
    <w:rsid w:val="59D67F90"/>
    <w:rsid w:val="59F315AC"/>
    <w:rsid w:val="5A1A7775"/>
    <w:rsid w:val="5AAC4FE2"/>
    <w:rsid w:val="5AC461A2"/>
    <w:rsid w:val="5B6A5170"/>
    <w:rsid w:val="5B9E6631"/>
    <w:rsid w:val="5D617E75"/>
    <w:rsid w:val="5E25235F"/>
    <w:rsid w:val="5E73557B"/>
    <w:rsid w:val="5EF9748B"/>
    <w:rsid w:val="5FA3083A"/>
    <w:rsid w:val="60443049"/>
    <w:rsid w:val="60D73C0F"/>
    <w:rsid w:val="610E08A2"/>
    <w:rsid w:val="61114019"/>
    <w:rsid w:val="613025C6"/>
    <w:rsid w:val="61610FEB"/>
    <w:rsid w:val="620A6351"/>
    <w:rsid w:val="62A76BA4"/>
    <w:rsid w:val="62AE304C"/>
    <w:rsid w:val="641126C6"/>
    <w:rsid w:val="64F01D43"/>
    <w:rsid w:val="65531EF2"/>
    <w:rsid w:val="657540A9"/>
    <w:rsid w:val="657908EB"/>
    <w:rsid w:val="664865E4"/>
    <w:rsid w:val="66AD10E9"/>
    <w:rsid w:val="670A48C3"/>
    <w:rsid w:val="672F2654"/>
    <w:rsid w:val="673E626B"/>
    <w:rsid w:val="67CB4E4F"/>
    <w:rsid w:val="683E557D"/>
    <w:rsid w:val="68573CFC"/>
    <w:rsid w:val="686C6A6A"/>
    <w:rsid w:val="687C6065"/>
    <w:rsid w:val="696015BA"/>
    <w:rsid w:val="6A422DEE"/>
    <w:rsid w:val="6AA416EB"/>
    <w:rsid w:val="6B303356"/>
    <w:rsid w:val="6B767CDC"/>
    <w:rsid w:val="6BA6156F"/>
    <w:rsid w:val="6BDD7E45"/>
    <w:rsid w:val="6C5A2DBB"/>
    <w:rsid w:val="6C6908EA"/>
    <w:rsid w:val="6C692C46"/>
    <w:rsid w:val="6CA714A4"/>
    <w:rsid w:val="6CE32BE3"/>
    <w:rsid w:val="6CF752B3"/>
    <w:rsid w:val="6DF3789F"/>
    <w:rsid w:val="6F1A3475"/>
    <w:rsid w:val="6FEA072C"/>
    <w:rsid w:val="6FF258F0"/>
    <w:rsid w:val="7035095D"/>
    <w:rsid w:val="70883DFE"/>
    <w:rsid w:val="72717BCC"/>
    <w:rsid w:val="72E476B5"/>
    <w:rsid w:val="73743190"/>
    <w:rsid w:val="74736E46"/>
    <w:rsid w:val="74B24737"/>
    <w:rsid w:val="753645C7"/>
    <w:rsid w:val="75A650F5"/>
    <w:rsid w:val="767E2494"/>
    <w:rsid w:val="76CA4795"/>
    <w:rsid w:val="76D4359C"/>
    <w:rsid w:val="7722654C"/>
    <w:rsid w:val="77470518"/>
    <w:rsid w:val="77FD7313"/>
    <w:rsid w:val="78086D6A"/>
    <w:rsid w:val="78640248"/>
    <w:rsid w:val="78903110"/>
    <w:rsid w:val="79397CCF"/>
    <w:rsid w:val="79CB27CA"/>
    <w:rsid w:val="7A3C3932"/>
    <w:rsid w:val="7A707A80"/>
    <w:rsid w:val="7A85352B"/>
    <w:rsid w:val="7ADF1DA9"/>
    <w:rsid w:val="7B494137"/>
    <w:rsid w:val="7BAB2EE2"/>
    <w:rsid w:val="7BB15EA8"/>
    <w:rsid w:val="7DCF7803"/>
    <w:rsid w:val="7F051631"/>
    <w:rsid w:val="7F57F2B6"/>
    <w:rsid w:val="7F7577F0"/>
    <w:rsid w:val="7F9132B7"/>
    <w:rsid w:val="7F9F60B6"/>
    <w:rsid w:val="7FA23E3E"/>
    <w:rsid w:val="7FD33176"/>
    <w:rsid w:val="7FD63ECA"/>
    <w:rsid w:val="7FFBBEA4"/>
    <w:rsid w:val="7FFD89E6"/>
    <w:rsid w:val="AEFF5DFA"/>
    <w:rsid w:val="BFFC27F0"/>
    <w:rsid w:val="DFF70FF1"/>
    <w:rsid w:val="F2BB8087"/>
    <w:rsid w:val="FEDF53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widowControl/>
      <w:spacing w:before="120" w:after="60" w:line="500" w:lineRule="exact"/>
      <w:ind w:firstLine="800" w:firstLineChars="200"/>
      <w:jc w:val="left"/>
      <w:outlineLvl w:val="1"/>
    </w:pPr>
    <w:rPr>
      <w:rFonts w:ascii="Times New Roman" w:hAnsi="Times New Roman" w:eastAsia="楷体" w:cs="Times New Roman"/>
      <w:bCs/>
      <w:color w:val="000000"/>
      <w:kern w:val="0"/>
      <w:sz w:val="28"/>
      <w:szCs w:val="26"/>
      <w:lang w:val="zh-C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adjustRightInd w:val="0"/>
      <w:snapToGrid w:val="0"/>
      <w:spacing w:line="360" w:lineRule="auto"/>
      <w:ind w:firstLine="800" w:firstLineChars="200"/>
      <w:jc w:val="left"/>
      <w:outlineLvl w:val="0"/>
    </w:pPr>
    <w:rPr>
      <w:rFonts w:ascii="Arial" w:hAnsi="Arial" w:eastAsia="仿宋"/>
      <w:sz w:val="32"/>
      <w:szCs w:val="32"/>
    </w:rPr>
  </w:style>
  <w:style w:type="paragraph" w:styleId="4">
    <w:name w:val="Body Text Indent"/>
    <w:basedOn w:val="1"/>
    <w:next w:val="1"/>
    <w:qFormat/>
    <w:uiPriority w:val="0"/>
    <w:pPr>
      <w:widowControl/>
      <w:spacing w:before="100" w:beforeAutospacing="1" w:after="100" w:afterAutospacing="1"/>
      <w:jc w:val="left"/>
    </w:pPr>
    <w:rPr>
      <w:rFonts w:ascii="宋体" w:hAnsi="宋体" w:eastAsia="宋体"/>
      <w:kern w:val="0"/>
      <w:sz w:val="24"/>
    </w:rPr>
  </w:style>
  <w:style w:type="paragraph" w:styleId="5">
    <w:name w:val="toc 3"/>
    <w:basedOn w:val="1"/>
    <w:next w:val="1"/>
    <w:qFormat/>
    <w:uiPriority w:val="0"/>
    <w:pPr>
      <w:ind w:left="840" w:leftChars="400"/>
    </w:pPr>
  </w:style>
  <w:style w:type="paragraph" w:styleId="6">
    <w:name w:val="Body Text Indent 2"/>
    <w:basedOn w:val="1"/>
    <w:qFormat/>
    <w:uiPriority w:val="0"/>
    <w:pPr>
      <w:widowControl/>
      <w:spacing w:line="330" w:lineRule="atLeast"/>
      <w:ind w:firstLine="420"/>
      <w:jc w:val="left"/>
    </w:pPr>
    <w:rPr>
      <w:rFonts w:ascii="宋体" w:hAnsi="宋体"/>
      <w:color w:val="000000"/>
      <w:kern w:val="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rPr>
      <w:sz w:val="24"/>
    </w:rPr>
  </w:style>
  <w:style w:type="paragraph" w:styleId="12">
    <w:name w:val="Body Text First Indent 2"/>
    <w:basedOn w:val="4"/>
    <w:unhideWhenUsed/>
    <w:qFormat/>
    <w:uiPriority w:val="99"/>
    <w:pPr>
      <w:ind w:firstLine="42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_Style 3"/>
    <w:basedOn w:val="1"/>
    <w:next w:val="17"/>
    <w:unhideWhenUsed/>
    <w:qFormat/>
    <w:uiPriority w:val="99"/>
    <w:pPr>
      <w:spacing w:line="360" w:lineRule="auto"/>
      <w:ind w:firstLine="420" w:firstLineChars="200"/>
      <w:jc w:val="left"/>
    </w:pPr>
    <w:rPr>
      <w:rFonts w:ascii="Times New Roman" w:hAnsi="Times New Roman" w:eastAsia="仿宋"/>
      <w:sz w:val="32"/>
      <w:lang w:eastAsia="zh-TW"/>
    </w:rPr>
  </w:style>
  <w:style w:type="paragraph" w:styleId="17">
    <w:name w:val="List Paragraph"/>
    <w:basedOn w:val="1"/>
    <w:qFormat/>
    <w:uiPriority w:val="34"/>
    <w:pPr>
      <w:ind w:firstLine="420" w:firstLineChars="200"/>
    </w:pPr>
  </w:style>
  <w:style w:type="paragraph" w:customStyle="1" w:styleId="18">
    <w:name w:val="p0"/>
    <w:basedOn w:val="1"/>
    <w:qFormat/>
    <w:uiPriority w:val="0"/>
    <w:pPr>
      <w:wordWrap w:val="0"/>
    </w:pPr>
    <w:rPr>
      <w:rFonts w:ascii="Calibri" w:hAnsi="Calibri" w:eastAsia="仿宋"/>
    </w:rPr>
  </w:style>
  <w:style w:type="paragraph" w:customStyle="1" w:styleId="19">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WRGHO.COM</Company>
  <Pages>14</Pages>
  <Words>3712</Words>
  <Characters>4145</Characters>
  <Lines>293</Lines>
  <Paragraphs>245</Paragraphs>
  <TotalTime>21</TotalTime>
  <ScaleCrop>false</ScaleCrop>
  <LinksUpToDate>false</LinksUpToDate>
  <CharactersWithSpaces>4179</CharactersWithSpaces>
  <Application>WPS Office_11.8.2.1123_F1E327BC-269C-435d-A152-05C5408002CA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2023-09-17T01:07:00Z</dcterms:created>
  <dc:creator>lenovo</dc:creator>
  <cp:lastModifiedBy>suma</cp:lastModifiedBy>
  <cp:lastPrinted>2026-07-17T17:41:00Z</cp:lastPrinted>
  <dcterms:modified xsi:type="dcterms:W3CDTF">2026-09-17T14:36:39Z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2052-11.8.2.1123</vt:lpwstr>
  </property>
  <property fmtid="{D5CDD505-2E9C-101B-9397-08002B2CF9AE}" pid="3" name="ICV">
    <vt:lpwstr>86F6AFF104FB4E62778AAB6A14F14584</vt:lpwstr>
  </property>
  <property fmtid="{D5CDD505-2E9C-101B-9397-08002B2CF9AE}" pid="4" name="KSOTemplateDocerSaveRecord">
    <vt:lpwstr>eyJoZGlkIjoiOWQ2ZWExMDIwMTAyNTlkY2I3MDQ0MGE2NzkwYzQ5NGQiLCJ1c2VySWQiOiI2NjUyNjQ3NDkifQ==</vt:lpwstr>
  </property>
</Properties>
</file>