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lang w:eastAsia="zh-CN"/>
        </w:rPr>
        <w:t>2025年度青岛市高标准农田建设补助资金</w:t>
      </w:r>
      <w:r>
        <w:rPr>
          <w:rFonts w:hint="eastAsia" w:ascii="方正小标宋_GBK" w:hAnsi="方正小标宋_GBK" w:eastAsia="方正小标宋_GBK" w:cs="方正小标宋_GBK"/>
          <w:color w:val="auto"/>
          <w:sz w:val="44"/>
          <w:szCs w:val="44"/>
          <w:highlight w:val="none"/>
        </w:rPr>
        <w:t>绩效评价报告</w:t>
      </w:r>
      <w:bookmarkStart w:id="15" w:name="_GoBack"/>
      <w:bookmarkEnd w:id="15"/>
    </w:p>
    <w:p>
      <w:pPr>
        <w:keepNext w:val="0"/>
        <w:keepLines w:val="0"/>
        <w:pageBreakBefore w:val="0"/>
        <w:widowControl w:val="0"/>
        <w:kinsoku/>
        <w:wordWrap/>
        <w:overflowPunct/>
        <w:topLinePunct w:val="0"/>
        <w:autoSpaceDE/>
        <w:autoSpaceDN/>
        <w:bidi w:val="0"/>
        <w:spacing w:line="560" w:lineRule="exact"/>
        <w:rPr>
          <w:color w:val="auto"/>
          <w:highlight w:val="none"/>
        </w:rPr>
      </w:pPr>
    </w:p>
    <w:p>
      <w:pPr>
        <w:pStyle w:val="2"/>
        <w:keepNext w:val="0"/>
        <w:keepLines w:val="0"/>
        <w:pageBreakBefore w:val="0"/>
        <w:widowControl w:val="0"/>
        <w:kinsoku/>
        <w:wordWrap/>
        <w:overflowPunct/>
        <w:topLinePunct w:val="0"/>
        <w:autoSpaceDE/>
        <w:autoSpaceDN/>
        <w:bidi w:val="0"/>
        <w:spacing w:before="0" w:after="0" w:line="560" w:lineRule="exact"/>
        <w:ind w:firstLine="640"/>
        <w:jc w:val="both"/>
        <w:rPr>
          <w:bCs w:val="0"/>
          <w:color w:val="auto"/>
          <w:kern w:val="2"/>
          <w:sz w:val="32"/>
          <w:szCs w:val="32"/>
          <w:highlight w:val="none"/>
          <w:lang w:val="en-US"/>
        </w:rPr>
      </w:pPr>
      <w:bookmarkStart w:id="0" w:name="_Toc16159"/>
      <w:r>
        <w:rPr>
          <w:rFonts w:hint="eastAsia"/>
          <w:bCs w:val="0"/>
          <w:color w:val="auto"/>
          <w:kern w:val="2"/>
          <w:sz w:val="32"/>
          <w:szCs w:val="32"/>
          <w:highlight w:val="none"/>
          <w:lang w:val="en-US"/>
        </w:rPr>
        <w:t>一、项目基本情况</w:t>
      </w:r>
      <w:bookmarkEnd w:id="0"/>
    </w:p>
    <w:p>
      <w:pPr>
        <w:pStyle w:val="3"/>
        <w:keepNext w:val="0"/>
        <w:keepLines w:val="0"/>
        <w:pageBreakBefore w:val="0"/>
        <w:widowControl w:val="0"/>
        <w:kinsoku/>
        <w:wordWrap/>
        <w:overflowPunct/>
        <w:topLinePunct w:val="0"/>
        <w:autoSpaceDE/>
        <w:autoSpaceDN/>
        <w:bidi w:val="0"/>
        <w:spacing w:before="0" w:after="0" w:line="560" w:lineRule="exact"/>
        <w:ind w:firstLine="640"/>
        <w:jc w:val="both"/>
        <w:rPr>
          <w:rFonts w:eastAsia="楷体_GB2312"/>
          <w:bCs w:val="0"/>
          <w:color w:val="auto"/>
          <w:sz w:val="32"/>
          <w:szCs w:val="40"/>
          <w:highlight w:val="none"/>
          <w:lang w:val="en-US"/>
        </w:rPr>
      </w:pPr>
      <w:bookmarkStart w:id="1" w:name="_Toc14056"/>
      <w:r>
        <w:rPr>
          <w:rFonts w:hint="eastAsia" w:eastAsia="楷体_GB2312"/>
          <w:bCs w:val="0"/>
          <w:color w:val="auto"/>
          <w:sz w:val="32"/>
          <w:szCs w:val="40"/>
          <w:highlight w:val="none"/>
          <w:lang w:val="en-US"/>
        </w:rPr>
        <w:t>（一）项目概况</w:t>
      </w:r>
      <w:bookmarkEnd w:id="1"/>
    </w:p>
    <w:p>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1.项目背景</w:t>
      </w:r>
    </w:p>
    <w:p>
      <w:pPr>
        <w:keepNext w:val="0"/>
        <w:keepLines w:val="0"/>
        <w:pageBreakBefore w:val="0"/>
        <w:widowControl w:val="0"/>
        <w:kinsoku/>
        <w:wordWrap/>
        <w:overflowPunct/>
        <w:topLinePunct w:val="0"/>
        <w:autoSpaceDE/>
        <w:autoSpaceDN/>
        <w:bidi w:val="0"/>
        <w:spacing w:line="560" w:lineRule="exact"/>
        <w:ind w:firstLine="640" w:firstLineChars="0"/>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lang w:val="en-US" w:eastAsia="zh-CN"/>
        </w:rPr>
        <w:t>保障国家粮食安全是治国理政头等大事，国家持续深入实施藏粮于地、藏粮于技核心战略，大力推进新一轮千亿斤粮食产能提升行动。从顶层政策明确要求，加快高标准农田新建与改造提升，推动永久基本农田应建尽建，通过田、水、路、林、电、管综合整治，打造旱涝保收、高产稳产、宜机作业的现代化农田。2022年，青岛市印发了《青岛市高标准农田建设规划（2021-2030年）》，系统分析了全市高标准农田建设面临的形势，明确了建设标准与内容、建设分区与任务、建设监管与运行管护、效益分析及保障措施等。2024年，青岛市农业农村局、青岛市财政局（以下简称“市农业农村局”“市财政局”）联合印发了《关于加强全市高标准农田新建、改造提升及绿色增粮先行示范区管理工作的通知》（青农计财字〔2024〕65号），明确“2024年起，全市高标准农田新建、改造提升项目亩均补助标准分别确定为2800元、2300元，由中央和市级财政负担。在此基础上，2024年度，绿色增粮示范区内改造提升高标准农田亩均补助标准3000元保持不变，每亩提标的700元，全部由市级财政负担”</w:t>
      </w:r>
      <w:r>
        <w:rPr>
          <w:rFonts w:hint="eastAsia" w:ascii="仿宋_GB2312" w:hAnsi="仿宋_GB2312" w:eastAsia="仿宋_GB2312" w:cs="仿宋_GB2312"/>
          <w:color w:val="auto"/>
          <w:sz w:val="32"/>
          <w:szCs w:val="40"/>
          <w:highlight w:val="none"/>
        </w:rPr>
        <w:t>。</w:t>
      </w:r>
    </w:p>
    <w:p>
      <w:pPr>
        <w:keepNext w:val="0"/>
        <w:keepLines w:val="0"/>
        <w:pageBreakBefore w:val="0"/>
        <w:widowControl w:val="0"/>
        <w:kinsoku/>
        <w:wordWrap/>
        <w:overflowPunct/>
        <w:topLinePunct w:val="0"/>
        <w:autoSpaceDE/>
        <w:autoSpaceDN/>
        <w:bidi w:val="0"/>
        <w:spacing w:line="560" w:lineRule="exact"/>
        <w:ind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2.项目主要内容</w:t>
      </w:r>
    </w:p>
    <w:p>
      <w:pPr>
        <w:keepNext w:val="0"/>
        <w:keepLines w:val="0"/>
        <w:pageBreakBefore w:val="0"/>
        <w:widowControl w:val="0"/>
        <w:kinsoku/>
        <w:wordWrap/>
        <w:overflowPunct/>
        <w:topLinePunct w:val="0"/>
        <w:autoSpaceDE/>
        <w:autoSpaceDN/>
        <w:bidi w:val="0"/>
        <w:spacing w:line="560" w:lineRule="exact"/>
        <w:ind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农业农村部关于下达2024年中央财政补助资金支持的农田建设任务的通知》（农建发〔2024〕1号）、《农业农村部关于下达2025年中央财政补助资金支持的农田建设任务的通知》（农建发〔2025〕2号），农业农村部下达青岛市2024年、2025年高标准农田建设任务分别为12万亩（新建7万亩、改造提升5万亩）、8万亩（新建3万亩、改造提升5万亩）。</w:t>
      </w:r>
    </w:p>
    <w:p>
      <w:pPr>
        <w:keepNext w:val="0"/>
        <w:keepLines w:val="0"/>
        <w:pageBreakBefore w:val="0"/>
        <w:widowControl w:val="0"/>
        <w:kinsoku/>
        <w:wordWrap/>
        <w:overflowPunct/>
        <w:topLinePunct w:val="0"/>
        <w:autoSpaceDE/>
        <w:autoSpaceDN/>
        <w:bidi w:val="0"/>
        <w:spacing w:line="560" w:lineRule="exact"/>
        <w:ind w:firstLine="64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市农业农村局印发了《关于编报2024年中央财政补助资金支持高标准农田建设项目计划和实施方案的通知》（青农字〔2024〕15号）、《关于编报2025年中央财政补助资金支持的高标准农田建设项目计划和实施方案的通知》（青农字〔2025〕12号），明确了各区（市）建设任务，具体情况如下：</w:t>
      </w:r>
    </w:p>
    <w:p>
      <w:pPr>
        <w:keepNext w:val="0"/>
        <w:keepLines w:val="0"/>
        <w:pageBreakBefore w:val="0"/>
        <w:widowControl w:val="0"/>
        <w:kinsoku/>
        <w:wordWrap/>
        <w:overflowPunct/>
        <w:topLinePunct w:val="0"/>
        <w:autoSpaceDE/>
        <w:autoSpaceDN/>
        <w:bidi w:val="0"/>
        <w:adjustRightInd w:val="0"/>
        <w:snapToGrid w:val="0"/>
        <w:spacing w:line="580" w:lineRule="exact"/>
        <w:ind w:firstLine="560" w:firstLineChars="200"/>
        <w:jc w:val="center"/>
        <w:textAlignment w:val="auto"/>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val="en-US" w:eastAsia="zh-CN"/>
        </w:rPr>
        <w:t>2024-2025年度青岛市高标准农田</w:t>
      </w:r>
      <w:r>
        <w:rPr>
          <w:rFonts w:hint="eastAsia" w:ascii="黑体" w:hAnsi="黑体" w:eastAsia="黑体" w:cs="黑体"/>
          <w:color w:val="auto"/>
          <w:kern w:val="0"/>
          <w:sz w:val="28"/>
          <w:szCs w:val="28"/>
          <w:highlight w:val="none"/>
        </w:rPr>
        <w:t>建设</w:t>
      </w:r>
      <w:r>
        <w:rPr>
          <w:rFonts w:hint="eastAsia" w:ascii="黑体" w:hAnsi="黑体" w:eastAsia="黑体" w:cs="黑体"/>
          <w:color w:val="auto"/>
          <w:kern w:val="0"/>
          <w:sz w:val="28"/>
          <w:szCs w:val="28"/>
          <w:highlight w:val="none"/>
          <w:lang w:val="en-US" w:eastAsia="zh-CN"/>
        </w:rPr>
        <w:t>任务</w:t>
      </w:r>
    </w:p>
    <w:tbl>
      <w:tblPr>
        <w:tblStyle w:val="18"/>
        <w:tblW w:w="85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623"/>
        <w:gridCol w:w="1287"/>
        <w:gridCol w:w="1081"/>
        <w:gridCol w:w="1248"/>
        <w:gridCol w:w="1618"/>
        <w:gridCol w:w="1287"/>
        <w:gridCol w:w="1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tblHeader/>
          <w:jc w:val="center"/>
        </w:trPr>
        <w:tc>
          <w:tcPr>
            <w:tcW w:w="623" w:type="dxa"/>
            <w:vMerge w:val="restart"/>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建设期</w:t>
            </w:r>
          </w:p>
        </w:tc>
        <w:tc>
          <w:tcPr>
            <w:tcW w:w="1287" w:type="dxa"/>
            <w:vMerge w:val="restart"/>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区（市）</w:t>
            </w:r>
          </w:p>
        </w:tc>
        <w:tc>
          <w:tcPr>
            <w:tcW w:w="6688" w:type="dxa"/>
            <w:gridSpan w:val="5"/>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建设任务（单位：万亩）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tblHeader/>
          <w:jc w:val="center"/>
        </w:trPr>
        <w:tc>
          <w:tcPr>
            <w:tcW w:w="623"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rPr>
            </w:pPr>
          </w:p>
        </w:tc>
        <w:tc>
          <w:tcPr>
            <w:tcW w:w="1287"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rPr>
            </w:pPr>
          </w:p>
        </w:tc>
        <w:tc>
          <w:tcPr>
            <w:tcW w:w="1081" w:type="dxa"/>
            <w:shd w:val="clear" w:color="auto" w:fill="FFFFFF" w:themeFill="background1"/>
            <w:vAlign w:val="center"/>
          </w:tcPr>
          <w:p>
            <w:pPr>
              <w:keepNext w:val="0"/>
              <w:keepLines w:val="0"/>
              <w:pageBreakBefore w:val="0"/>
              <w:widowControl w:val="0"/>
              <w:suppressLineNumbers w:val="0"/>
              <w:kinsoku/>
              <w:wordWrap/>
              <w:overflowPunct/>
              <w:topLinePunct w:val="0"/>
              <w:autoSpaceDE/>
              <w:autoSpaceDN/>
              <w:bidi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高标准农田新建面积</w:t>
            </w:r>
          </w:p>
        </w:tc>
        <w:tc>
          <w:tcPr>
            <w:tcW w:w="1248" w:type="dxa"/>
            <w:shd w:val="clear" w:color="auto" w:fill="FFFFFF" w:themeFill="background1"/>
            <w:vAlign w:val="center"/>
          </w:tcPr>
          <w:p>
            <w:pPr>
              <w:keepNext w:val="0"/>
              <w:keepLines w:val="0"/>
              <w:pageBreakBefore w:val="0"/>
              <w:widowControl w:val="0"/>
              <w:suppressLineNumbers w:val="0"/>
              <w:kinsoku/>
              <w:wordWrap/>
              <w:overflowPunct/>
              <w:topLinePunct w:val="0"/>
              <w:autoSpaceDE/>
              <w:autoSpaceDN/>
              <w:bidi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高标准农田改造提升面积</w:t>
            </w:r>
          </w:p>
        </w:tc>
        <w:tc>
          <w:tcPr>
            <w:tcW w:w="1618" w:type="dxa"/>
            <w:shd w:val="clear" w:color="auto" w:fill="FFFFFF" w:themeFill="background1"/>
            <w:vAlign w:val="center"/>
          </w:tcPr>
          <w:p>
            <w:pPr>
              <w:keepNext w:val="0"/>
              <w:keepLines w:val="0"/>
              <w:pageBreakBefore w:val="0"/>
              <w:widowControl w:val="0"/>
              <w:suppressLineNumbers w:val="0"/>
              <w:kinsoku/>
              <w:wordWrap/>
              <w:overflowPunct/>
              <w:topLinePunct w:val="0"/>
              <w:autoSpaceDE/>
              <w:autoSpaceDN/>
              <w:bidi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其中：高标准农田绿色增粮先行示范区改造提升面积</w:t>
            </w:r>
          </w:p>
        </w:tc>
        <w:tc>
          <w:tcPr>
            <w:tcW w:w="1287" w:type="dxa"/>
            <w:shd w:val="clear" w:color="auto" w:fill="FFFFFF" w:themeFill="background1"/>
            <w:vAlign w:val="center"/>
          </w:tcPr>
          <w:p>
            <w:pPr>
              <w:keepNext w:val="0"/>
              <w:keepLines w:val="0"/>
              <w:pageBreakBefore w:val="0"/>
              <w:widowControl w:val="0"/>
              <w:suppressLineNumbers w:val="0"/>
              <w:kinsoku/>
              <w:wordWrap/>
              <w:overflowPunct/>
              <w:topLinePunct w:val="0"/>
              <w:autoSpaceDE/>
              <w:autoSpaceDN/>
              <w:bidi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其中：实施高效节水灌溉面积</w:t>
            </w:r>
          </w:p>
        </w:tc>
        <w:tc>
          <w:tcPr>
            <w:tcW w:w="1454" w:type="dxa"/>
            <w:shd w:val="clear" w:color="auto" w:fill="FFFFFF" w:themeFill="background1"/>
            <w:vAlign w:val="center"/>
          </w:tcPr>
          <w:p>
            <w:pPr>
              <w:keepNext w:val="0"/>
              <w:keepLines w:val="0"/>
              <w:pageBreakBefore w:val="0"/>
              <w:widowControl w:val="0"/>
              <w:suppressLineNumbers w:val="0"/>
              <w:kinsoku/>
              <w:wordWrap/>
              <w:overflowPunct/>
              <w:topLinePunct w:val="0"/>
              <w:autoSpaceDE/>
              <w:autoSpaceDN/>
              <w:bidi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其中：实施高标准农田土壤培肥项目面积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623" w:type="dxa"/>
            <w:vMerge w:val="restart"/>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2024年度项目</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西海岸新区</w:t>
            </w:r>
          </w:p>
        </w:tc>
        <w:tc>
          <w:tcPr>
            <w:tcW w:w="108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1.4</w:t>
            </w:r>
          </w:p>
        </w:tc>
        <w:tc>
          <w:tcPr>
            <w:tcW w:w="124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0.5</w:t>
            </w:r>
          </w:p>
        </w:tc>
        <w:tc>
          <w:tcPr>
            <w:tcW w:w="16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0.5</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0.3</w:t>
            </w:r>
          </w:p>
        </w:tc>
        <w:tc>
          <w:tcPr>
            <w:tcW w:w="145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623"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即墨区</w:t>
            </w:r>
          </w:p>
        </w:tc>
        <w:tc>
          <w:tcPr>
            <w:tcW w:w="108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w:t>
            </w:r>
          </w:p>
        </w:tc>
        <w:tc>
          <w:tcPr>
            <w:tcW w:w="124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1.5</w:t>
            </w:r>
          </w:p>
        </w:tc>
        <w:tc>
          <w:tcPr>
            <w:tcW w:w="16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1.5</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0.4</w:t>
            </w:r>
          </w:p>
        </w:tc>
        <w:tc>
          <w:tcPr>
            <w:tcW w:w="145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623"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胶州市</w:t>
            </w:r>
          </w:p>
        </w:tc>
        <w:tc>
          <w:tcPr>
            <w:tcW w:w="108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w:t>
            </w:r>
          </w:p>
        </w:tc>
        <w:tc>
          <w:tcPr>
            <w:tcW w:w="124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0.8</w:t>
            </w:r>
          </w:p>
        </w:tc>
        <w:tc>
          <w:tcPr>
            <w:tcW w:w="16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0.8</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0.3</w:t>
            </w:r>
          </w:p>
        </w:tc>
        <w:tc>
          <w:tcPr>
            <w:tcW w:w="145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623"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平度市</w:t>
            </w:r>
          </w:p>
        </w:tc>
        <w:tc>
          <w:tcPr>
            <w:tcW w:w="108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3.6</w:t>
            </w:r>
          </w:p>
        </w:tc>
        <w:tc>
          <w:tcPr>
            <w:tcW w:w="124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1.5</w:t>
            </w:r>
          </w:p>
        </w:tc>
        <w:tc>
          <w:tcPr>
            <w:tcW w:w="16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1.5</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0.9</w:t>
            </w:r>
          </w:p>
        </w:tc>
        <w:tc>
          <w:tcPr>
            <w:tcW w:w="145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623"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莱西市</w:t>
            </w:r>
          </w:p>
        </w:tc>
        <w:tc>
          <w:tcPr>
            <w:tcW w:w="108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w:t>
            </w:r>
          </w:p>
        </w:tc>
        <w:tc>
          <w:tcPr>
            <w:tcW w:w="124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0.7</w:t>
            </w:r>
          </w:p>
        </w:tc>
        <w:tc>
          <w:tcPr>
            <w:tcW w:w="16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0.1</w:t>
            </w:r>
          </w:p>
        </w:tc>
        <w:tc>
          <w:tcPr>
            <w:tcW w:w="145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623"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rPr>
              <w:t>合计</w:t>
            </w:r>
          </w:p>
        </w:tc>
        <w:tc>
          <w:tcPr>
            <w:tcW w:w="108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7</w:t>
            </w:r>
          </w:p>
        </w:tc>
        <w:tc>
          <w:tcPr>
            <w:tcW w:w="124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5</w:t>
            </w:r>
          </w:p>
        </w:tc>
        <w:tc>
          <w:tcPr>
            <w:tcW w:w="16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4.3</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2</w:t>
            </w:r>
          </w:p>
        </w:tc>
        <w:tc>
          <w:tcPr>
            <w:tcW w:w="145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623" w:type="dxa"/>
            <w:vMerge w:val="restart"/>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2025年度项目</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西海岸新区</w:t>
            </w:r>
          </w:p>
        </w:tc>
        <w:tc>
          <w:tcPr>
            <w:tcW w:w="108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0.7</w:t>
            </w:r>
          </w:p>
        </w:tc>
        <w:tc>
          <w:tcPr>
            <w:tcW w:w="124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1.4</w:t>
            </w:r>
          </w:p>
        </w:tc>
        <w:tc>
          <w:tcPr>
            <w:tcW w:w="16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0.7</w:t>
            </w:r>
          </w:p>
        </w:tc>
        <w:tc>
          <w:tcPr>
            <w:tcW w:w="145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623"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即墨区</w:t>
            </w:r>
          </w:p>
        </w:tc>
        <w:tc>
          <w:tcPr>
            <w:tcW w:w="108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1.2</w:t>
            </w:r>
          </w:p>
        </w:tc>
        <w:tc>
          <w:tcPr>
            <w:tcW w:w="124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1.9</w:t>
            </w:r>
          </w:p>
        </w:tc>
        <w:tc>
          <w:tcPr>
            <w:tcW w:w="16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0.35</w:t>
            </w:r>
          </w:p>
        </w:tc>
        <w:tc>
          <w:tcPr>
            <w:tcW w:w="145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623"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胶州市</w:t>
            </w:r>
          </w:p>
        </w:tc>
        <w:tc>
          <w:tcPr>
            <w:tcW w:w="108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1.1</w:t>
            </w:r>
          </w:p>
        </w:tc>
        <w:tc>
          <w:tcPr>
            <w:tcW w:w="124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1.7</w:t>
            </w:r>
          </w:p>
        </w:tc>
        <w:tc>
          <w:tcPr>
            <w:tcW w:w="16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0.4</w:t>
            </w:r>
          </w:p>
        </w:tc>
        <w:tc>
          <w:tcPr>
            <w:tcW w:w="145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623"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合计</w:t>
            </w:r>
          </w:p>
        </w:tc>
        <w:tc>
          <w:tcPr>
            <w:tcW w:w="108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3</w:t>
            </w:r>
          </w:p>
        </w:tc>
        <w:tc>
          <w:tcPr>
            <w:tcW w:w="124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5</w:t>
            </w:r>
          </w:p>
        </w:tc>
        <w:tc>
          <w:tcPr>
            <w:tcW w:w="16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w:t>
            </w:r>
          </w:p>
        </w:tc>
        <w:tc>
          <w:tcPr>
            <w:tcW w:w="12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1.45</w:t>
            </w:r>
          </w:p>
        </w:tc>
        <w:tc>
          <w:tcPr>
            <w:tcW w:w="145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28" w:lineRule="auto"/>
              <w:ind w:firstLine="0" w:firstLineChars="0"/>
              <w:jc w:val="center"/>
              <w:textAlignment w:val="auto"/>
              <w:outlineLvl w:val="9"/>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1.1</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3.项目实施情况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（1）项目组织管理情况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根据《青岛市农田建设项目管理办法》（青农规〔2020〕1号）、《青岛市农田建设项目管理办法》（青农规〔2025〕1号），市农业农村局负责指导全市农田建设工作，拟定全市农田建设政策和规划，组织完成中央下达的建设任务，提出全市农田建设年度任务方案，确定区（市）农业农村部门农田建设项目管理职责，管理全市农田建设项目；承担农田建设项目实施方案评审、批复，计划审批，监督检查、市级验收和统计汇总、绩效评价等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区（市）农业农村部门负责辖区农田建设工作，制订辖区农田建设规划，建立项目库，申报项目，组织编制项目实施方案，监督项目法人开展监理、工程招投标，组织开展项目实施和区（市）级验收，落实监管责任，开展日常监管，指导竣工项目运行管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（2）项目资金管理情况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根据《青岛市农业发展资金管理办法》（青财农〔2023〕31号）相关规定，市农业农村局主要负责高标准农田建设补助资金相关规划、实施方案等编制；项目审核筛选、项目组织实施和监督；编制市级资金年度预算；研究提出任务和资金分解安排建议方案；会同市级财政部门下达任务清单；做好资金测算、任务完成情况监督；做好全市高标准农田建设补助资金预算执行，具体开展全市绩效目标管理、绩效运行监控、绩效评价和结果应用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lang w:val="en-US" w:eastAsia="zh-CN"/>
        </w:rPr>
        <w:t>区（市）农业农村部门主要负责本区（市）高标准农田建设补助资金相关规划、实施方案等编制，项目审核筛选、项目组织实施和监督，研究提出任务和资金分解安排建议方案，做好预算执行，具体开展本区（市）绩效目标管理、绩效运行监控、绩效评价和结果应用等工作</w:t>
      </w:r>
      <w:r>
        <w:rPr>
          <w:rFonts w:hint="eastAsia" w:ascii="仿宋_GB2312" w:hAnsi="仿宋_GB2312" w:eastAsia="仿宋_GB2312" w:cs="仿宋_GB2312"/>
          <w:color w:val="auto"/>
          <w:sz w:val="32"/>
          <w:szCs w:val="40"/>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4.资金投入及使用情况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2025年度青岛市高标准农田建设补助资金预算金额27545.5万元，包括：中央转移支付资金16348万元，用于2025年度区（市）项目建设；市级资金11197.5万元，其中，1165.5万元用于2023年度区（市）项目建设，9895万元用于2024年度区（市）项目建设，137万元用于2025年度市本级支出。截至2025年12月31日，项目实际执行2894.82万元，预算执行率10.51%。截至评价日（2026年6月23日），实际执行6429.22万元，预算执行率23.34%。</w:t>
      </w:r>
    </w:p>
    <w:p>
      <w:pPr>
        <w:keepNext w:val="0"/>
        <w:keepLines w:val="0"/>
        <w:pageBreakBefore w:val="0"/>
        <w:widowControl w:val="0"/>
        <w:kinsoku/>
        <w:wordWrap/>
        <w:overflowPunct/>
        <w:topLinePunct w:val="0"/>
        <w:autoSpaceDE/>
        <w:autoSpaceDN/>
        <w:bidi w:val="0"/>
        <w:adjustRightInd w:val="0"/>
        <w:snapToGrid w:val="0"/>
        <w:spacing w:line="580" w:lineRule="exact"/>
        <w:ind w:firstLine="560" w:firstLineChars="200"/>
        <w:jc w:val="center"/>
        <w:textAlignment w:val="auto"/>
        <w:rPr>
          <w:rFonts w:hint="eastAsia" w:ascii="黑体" w:hAnsi="黑体" w:eastAsia="黑体" w:cs="黑体"/>
          <w:color w:val="auto"/>
          <w:kern w:val="0"/>
          <w:sz w:val="28"/>
          <w:szCs w:val="28"/>
          <w:highlight w:val="none"/>
          <w:lang w:val="en-US" w:eastAsia="zh-CN"/>
        </w:rPr>
      </w:pPr>
      <w:r>
        <w:rPr>
          <w:rFonts w:hint="eastAsia" w:ascii="黑体" w:hAnsi="黑体" w:eastAsia="黑体" w:cs="黑体"/>
          <w:color w:val="auto"/>
          <w:kern w:val="0"/>
          <w:sz w:val="28"/>
          <w:szCs w:val="28"/>
          <w:highlight w:val="none"/>
          <w:lang w:val="en-US" w:eastAsia="zh-CN"/>
        </w:rPr>
        <w:t>2025年度青岛市高标准农田建设补助资金预算执行情况</w:t>
      </w:r>
    </w:p>
    <w:p>
      <w:pPr>
        <w:keepNext w:val="0"/>
        <w:keepLines w:val="0"/>
        <w:pageBreakBefore w:val="0"/>
        <w:widowControl w:val="0"/>
        <w:kinsoku/>
        <w:wordWrap/>
        <w:overflowPunct/>
        <w:topLinePunct w:val="0"/>
        <w:autoSpaceDE/>
        <w:autoSpaceDN/>
        <w:bidi w:val="0"/>
        <w:spacing w:line="300" w:lineRule="exact"/>
        <w:jc w:val="right"/>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单位：万元</w:t>
      </w:r>
    </w:p>
    <w:tbl>
      <w:tblPr>
        <w:tblStyle w:val="1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384"/>
        <w:gridCol w:w="1047"/>
        <w:gridCol w:w="985"/>
        <w:gridCol w:w="1047"/>
        <w:gridCol w:w="1104"/>
        <w:gridCol w:w="994"/>
        <w:gridCol w:w="1033"/>
        <w:gridCol w:w="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tblHeader/>
          <w:jc w:val="center"/>
        </w:trPr>
        <w:tc>
          <w:tcPr>
            <w:tcW w:w="1384" w:type="dxa"/>
            <w:vMerge w:val="restart"/>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区（市）</w:t>
            </w:r>
          </w:p>
        </w:tc>
        <w:tc>
          <w:tcPr>
            <w:tcW w:w="3079" w:type="dxa"/>
            <w:gridSpan w:val="3"/>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预算安排数</w:t>
            </w:r>
          </w:p>
        </w:tc>
        <w:tc>
          <w:tcPr>
            <w:tcW w:w="2098" w:type="dxa"/>
            <w:gridSpan w:val="2"/>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截至2025年底执行数</w:t>
            </w:r>
          </w:p>
        </w:tc>
        <w:tc>
          <w:tcPr>
            <w:tcW w:w="1961" w:type="dxa"/>
            <w:gridSpan w:val="2"/>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截至评价日执行数</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（2026年6月23日）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384" w:type="dxa"/>
            <w:vMerge w:val="continue"/>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rPr>
              <w:t>合计</w:t>
            </w:r>
          </w:p>
        </w:tc>
        <w:tc>
          <w:tcPr>
            <w:tcW w:w="985"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rPr>
              <w:t>中央</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rPr>
              <w:t>市级</w:t>
            </w:r>
          </w:p>
        </w:tc>
        <w:tc>
          <w:tcPr>
            <w:tcW w:w="110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执行数</w:t>
            </w:r>
          </w:p>
        </w:tc>
        <w:tc>
          <w:tcPr>
            <w:tcW w:w="99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执行率</w:t>
            </w:r>
          </w:p>
        </w:tc>
        <w:tc>
          <w:tcPr>
            <w:tcW w:w="1033"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执行数</w:t>
            </w:r>
          </w:p>
        </w:tc>
        <w:tc>
          <w:tcPr>
            <w:tcW w:w="928"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8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市本级</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137</w:t>
            </w:r>
          </w:p>
        </w:tc>
        <w:tc>
          <w:tcPr>
            <w:tcW w:w="985"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137</w:t>
            </w:r>
          </w:p>
        </w:tc>
        <w:tc>
          <w:tcPr>
            <w:tcW w:w="110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104.29</w:t>
            </w:r>
          </w:p>
        </w:tc>
        <w:tc>
          <w:tcPr>
            <w:tcW w:w="99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76.12%</w:t>
            </w:r>
          </w:p>
        </w:tc>
        <w:tc>
          <w:tcPr>
            <w:tcW w:w="1033"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104.29</w:t>
            </w:r>
          </w:p>
        </w:tc>
        <w:tc>
          <w:tcPr>
            <w:tcW w:w="928"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76.12%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138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西海岸新区</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5895.21</w:t>
            </w:r>
          </w:p>
        </w:tc>
        <w:tc>
          <w:tcPr>
            <w:tcW w:w="985"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4255.41</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1639.8</w:t>
            </w:r>
          </w:p>
        </w:tc>
        <w:tc>
          <w:tcPr>
            <w:tcW w:w="110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1637.53</w:t>
            </w:r>
          </w:p>
        </w:tc>
        <w:tc>
          <w:tcPr>
            <w:tcW w:w="99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27.78%</w:t>
            </w:r>
          </w:p>
        </w:tc>
        <w:tc>
          <w:tcPr>
            <w:tcW w:w="1033"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2513.53</w:t>
            </w:r>
          </w:p>
        </w:tc>
        <w:tc>
          <w:tcPr>
            <w:tcW w:w="928"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42.64%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8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即墨区</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8946.65</w:t>
            </w:r>
          </w:p>
        </w:tc>
        <w:tc>
          <w:tcPr>
            <w:tcW w:w="985"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6350.25</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2596.4</w:t>
            </w:r>
          </w:p>
        </w:tc>
        <w:tc>
          <w:tcPr>
            <w:tcW w:w="110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1153</w:t>
            </w:r>
          </w:p>
        </w:tc>
        <w:tc>
          <w:tcPr>
            <w:tcW w:w="99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12.89%</w:t>
            </w:r>
          </w:p>
        </w:tc>
        <w:tc>
          <w:tcPr>
            <w:tcW w:w="1033"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1702.32</w:t>
            </w:r>
          </w:p>
        </w:tc>
        <w:tc>
          <w:tcPr>
            <w:tcW w:w="928"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19.03%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8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胶州市</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7498.54</w:t>
            </w:r>
          </w:p>
        </w:tc>
        <w:tc>
          <w:tcPr>
            <w:tcW w:w="985"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5742.34</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1756.2</w:t>
            </w:r>
          </w:p>
        </w:tc>
        <w:tc>
          <w:tcPr>
            <w:tcW w:w="110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w:t>
            </w:r>
          </w:p>
        </w:tc>
        <w:tc>
          <w:tcPr>
            <w:tcW w:w="99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w:t>
            </w:r>
          </w:p>
        </w:tc>
        <w:tc>
          <w:tcPr>
            <w:tcW w:w="1033"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1981.26</w:t>
            </w:r>
          </w:p>
        </w:tc>
        <w:tc>
          <w:tcPr>
            <w:tcW w:w="928"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26.42%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8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平度市</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4408.9</w:t>
            </w:r>
          </w:p>
        </w:tc>
        <w:tc>
          <w:tcPr>
            <w:tcW w:w="985"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4408.9</w:t>
            </w:r>
          </w:p>
        </w:tc>
        <w:tc>
          <w:tcPr>
            <w:tcW w:w="110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w:t>
            </w:r>
          </w:p>
        </w:tc>
        <w:tc>
          <w:tcPr>
            <w:tcW w:w="99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w:t>
            </w:r>
          </w:p>
        </w:tc>
        <w:tc>
          <w:tcPr>
            <w:tcW w:w="1033"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90.82</w:t>
            </w:r>
          </w:p>
        </w:tc>
        <w:tc>
          <w:tcPr>
            <w:tcW w:w="928"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Ex>
        <w:trPr>
          <w:trHeight w:val="454" w:hRule="atLeast"/>
          <w:jc w:val="center"/>
        </w:trPr>
        <w:tc>
          <w:tcPr>
            <w:tcW w:w="138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莱西市</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659.2</w:t>
            </w:r>
          </w:p>
        </w:tc>
        <w:tc>
          <w:tcPr>
            <w:tcW w:w="985"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659.2</w:t>
            </w:r>
          </w:p>
        </w:tc>
        <w:tc>
          <w:tcPr>
            <w:tcW w:w="110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w:t>
            </w:r>
          </w:p>
        </w:tc>
        <w:tc>
          <w:tcPr>
            <w:tcW w:w="99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0</w:t>
            </w:r>
          </w:p>
        </w:tc>
        <w:tc>
          <w:tcPr>
            <w:tcW w:w="1033"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37</w:t>
            </w:r>
          </w:p>
        </w:tc>
        <w:tc>
          <w:tcPr>
            <w:tcW w:w="928"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8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合计</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27545.5</w:t>
            </w:r>
          </w:p>
        </w:tc>
        <w:tc>
          <w:tcPr>
            <w:tcW w:w="985"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16348</w:t>
            </w:r>
          </w:p>
        </w:tc>
        <w:tc>
          <w:tcPr>
            <w:tcW w:w="104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11197.5</w:t>
            </w:r>
          </w:p>
        </w:tc>
        <w:tc>
          <w:tcPr>
            <w:tcW w:w="110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2894.82</w:t>
            </w:r>
          </w:p>
        </w:tc>
        <w:tc>
          <w:tcPr>
            <w:tcW w:w="994"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10.51%</w:t>
            </w:r>
          </w:p>
        </w:tc>
        <w:tc>
          <w:tcPr>
            <w:tcW w:w="1033"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6429.22</w:t>
            </w:r>
          </w:p>
        </w:tc>
        <w:tc>
          <w:tcPr>
            <w:tcW w:w="928"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bidi="ar-SA"/>
              </w:rPr>
              <w:t>23.34%</w:t>
            </w:r>
          </w:p>
        </w:tc>
      </w:tr>
    </w:tbl>
    <w:p>
      <w:pPr>
        <w:pStyle w:val="3"/>
        <w:keepNext w:val="0"/>
        <w:keepLines w:val="0"/>
        <w:pageBreakBefore w:val="0"/>
        <w:widowControl w:val="0"/>
        <w:kinsoku/>
        <w:wordWrap/>
        <w:overflowPunct/>
        <w:topLinePunct w:val="0"/>
        <w:autoSpaceDE/>
        <w:autoSpaceDN/>
        <w:bidi w:val="0"/>
        <w:spacing w:before="0" w:after="0" w:line="560" w:lineRule="exact"/>
        <w:ind w:firstLine="640"/>
        <w:jc w:val="both"/>
        <w:textAlignment w:val="auto"/>
        <w:rPr>
          <w:rFonts w:eastAsia="楷体_GB2312"/>
          <w:bCs w:val="0"/>
          <w:color w:val="auto"/>
          <w:sz w:val="32"/>
          <w:szCs w:val="40"/>
          <w:highlight w:val="none"/>
          <w:lang w:val="en-US"/>
        </w:rPr>
      </w:pPr>
      <w:bookmarkStart w:id="2" w:name="_Toc14240"/>
      <w:r>
        <w:rPr>
          <w:rFonts w:hint="eastAsia" w:eastAsia="楷体_GB2312"/>
          <w:bCs w:val="0"/>
          <w:color w:val="auto"/>
          <w:sz w:val="32"/>
          <w:szCs w:val="40"/>
          <w:highlight w:val="none"/>
          <w:lang w:val="en-US"/>
        </w:rPr>
        <w:t>（二）项目绩效目标</w:t>
      </w:r>
      <w:bookmarkEnd w:id="2"/>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1.</w:t>
      </w:r>
      <w:r>
        <w:rPr>
          <w:rFonts w:hint="eastAsia" w:ascii="仿宋_GB2312" w:hAnsi="仿宋_GB2312" w:eastAsia="仿宋_GB2312" w:cs="仿宋_GB2312"/>
          <w:color w:val="auto"/>
          <w:sz w:val="32"/>
          <w:szCs w:val="40"/>
          <w:highlight w:val="none"/>
          <w:lang w:val="en-US" w:eastAsia="zh-CN"/>
        </w:rPr>
        <w:t>2024年度绩效</w:t>
      </w:r>
      <w:r>
        <w:rPr>
          <w:rFonts w:hint="eastAsia" w:ascii="仿宋_GB2312" w:hAnsi="仿宋_GB2312" w:eastAsia="仿宋_GB2312" w:cs="仿宋_GB2312"/>
          <w:color w:val="auto"/>
          <w:sz w:val="32"/>
          <w:szCs w:val="40"/>
          <w:highlight w:val="none"/>
        </w:rPr>
        <w:t>目标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根据高标准农田项目绩效目标表，2024年度项目计划新建高标准农田7万亩，改造提升高标准农田5万亩（含绿色增粮示范区内改造提升面积4.3万亩），于2025年11月底前完成，项目验收合格率达到95%。通过项目建设，有效改善项目区农田基础条件，农田灌溉保证率达到50%，田间道路通达率平原区达到100%、丘陵区达到90%。</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40"/>
          <w:highlight w:val="none"/>
        </w:rPr>
      </w:pPr>
      <w:bookmarkStart w:id="3" w:name="_Toc135831448"/>
      <w:bookmarkStart w:id="4" w:name="_Toc20628"/>
      <w:r>
        <w:rPr>
          <w:rFonts w:hint="eastAsia" w:ascii="仿宋_GB2312" w:hAnsi="仿宋_GB2312" w:eastAsia="仿宋_GB2312" w:cs="仿宋_GB2312"/>
          <w:color w:val="auto"/>
          <w:sz w:val="32"/>
          <w:szCs w:val="40"/>
          <w:highlight w:val="none"/>
          <w:lang w:val="en-US" w:eastAsia="zh-CN"/>
        </w:rPr>
        <w:t>2.2025年度绩效</w:t>
      </w:r>
      <w:r>
        <w:rPr>
          <w:rFonts w:hint="eastAsia" w:ascii="仿宋_GB2312" w:hAnsi="仿宋_GB2312" w:eastAsia="仿宋_GB2312" w:cs="仿宋_GB2312"/>
          <w:color w:val="auto"/>
          <w:sz w:val="32"/>
          <w:szCs w:val="40"/>
          <w:highlight w:val="none"/>
        </w:rPr>
        <w:t>目标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根据高标准农田项目绩效目标表，2025年度项目计划新建高标准农田3万亩，改造提升高标准农田5万亩（其中新增高效节水灌溉面积3万亩），当年至少完成任务量的60%，项目验收合格率达到95%。通过项目建设，有效改善项目区农田基础条件，农田灌溉保证率达到50%，田间道路通达率平原区达到100%、丘陵区达到90%，进一步提高粮食综合生产能力。</w:t>
      </w:r>
    </w:p>
    <w:bookmarkEnd w:id="3"/>
    <w:bookmarkEnd w:id="4"/>
    <w:p>
      <w:pPr>
        <w:pStyle w:val="2"/>
        <w:keepNext w:val="0"/>
        <w:keepLines w:val="0"/>
        <w:pageBreakBefore w:val="0"/>
        <w:widowControl w:val="0"/>
        <w:kinsoku/>
        <w:wordWrap/>
        <w:overflowPunct/>
        <w:topLinePunct w:val="0"/>
        <w:autoSpaceDE/>
        <w:autoSpaceDN/>
        <w:bidi w:val="0"/>
        <w:spacing w:before="0" w:after="0" w:line="560" w:lineRule="exact"/>
        <w:ind w:firstLine="640"/>
        <w:jc w:val="both"/>
        <w:textAlignment w:val="auto"/>
        <w:rPr>
          <w:bCs w:val="0"/>
          <w:color w:val="auto"/>
          <w:kern w:val="2"/>
          <w:sz w:val="32"/>
          <w:szCs w:val="32"/>
          <w:highlight w:val="none"/>
          <w:lang w:val="en-US"/>
        </w:rPr>
      </w:pPr>
      <w:bookmarkStart w:id="5" w:name="_Toc32492"/>
      <w:r>
        <w:rPr>
          <w:rFonts w:hint="eastAsia"/>
          <w:bCs w:val="0"/>
          <w:color w:val="auto"/>
          <w:kern w:val="2"/>
          <w:sz w:val="32"/>
          <w:szCs w:val="32"/>
          <w:highlight w:val="none"/>
          <w:lang w:val="en-US"/>
        </w:rPr>
        <w:t>二、绩效评价工作开展情况</w:t>
      </w:r>
      <w:bookmarkEnd w:id="5"/>
    </w:p>
    <w:p>
      <w:pPr>
        <w:pStyle w:val="3"/>
        <w:keepNext w:val="0"/>
        <w:keepLines w:val="0"/>
        <w:pageBreakBefore w:val="0"/>
        <w:widowControl w:val="0"/>
        <w:kinsoku/>
        <w:wordWrap/>
        <w:overflowPunct/>
        <w:topLinePunct w:val="0"/>
        <w:autoSpaceDE/>
        <w:autoSpaceDN/>
        <w:bidi w:val="0"/>
        <w:spacing w:before="0" w:after="0" w:line="560" w:lineRule="exact"/>
        <w:ind w:firstLine="640"/>
        <w:jc w:val="both"/>
        <w:textAlignment w:val="auto"/>
        <w:rPr>
          <w:rFonts w:eastAsia="楷体_GB2312"/>
          <w:bCs w:val="0"/>
          <w:color w:val="auto"/>
          <w:sz w:val="32"/>
          <w:szCs w:val="40"/>
          <w:highlight w:val="none"/>
          <w:lang w:val="en-US"/>
        </w:rPr>
      </w:pPr>
      <w:bookmarkStart w:id="6" w:name="_Toc1954"/>
      <w:r>
        <w:rPr>
          <w:rFonts w:hint="eastAsia" w:eastAsia="楷体_GB2312"/>
          <w:bCs w:val="0"/>
          <w:color w:val="auto"/>
          <w:sz w:val="32"/>
          <w:szCs w:val="40"/>
          <w:highlight w:val="none"/>
          <w:lang w:val="en-US"/>
        </w:rPr>
        <w:t>（一）评价目的、评价对象和范围</w:t>
      </w:r>
      <w:bookmarkEnd w:id="6"/>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从项目的</w:t>
      </w:r>
      <w:r>
        <w:rPr>
          <w:rFonts w:hint="eastAsia" w:ascii="仿宋_GB2312" w:hAnsi="仿宋_GB2312" w:eastAsia="仿宋_GB2312" w:cs="仿宋_GB2312"/>
          <w:color w:val="auto"/>
          <w:sz w:val="32"/>
          <w:szCs w:val="32"/>
          <w:highlight w:val="none"/>
          <w:lang w:val="en-US" w:eastAsia="zh-CN"/>
        </w:rPr>
        <w:t>决策、</w:t>
      </w:r>
      <w:r>
        <w:rPr>
          <w:rFonts w:hint="eastAsia" w:ascii="仿宋_GB2312" w:hAnsi="仿宋_GB2312" w:eastAsia="仿宋_GB2312" w:cs="仿宋_GB2312"/>
          <w:color w:val="auto"/>
          <w:sz w:val="32"/>
          <w:szCs w:val="32"/>
          <w:highlight w:val="none"/>
        </w:rPr>
        <w:t>过程、产出、效益方面，对</w:t>
      </w:r>
      <w:r>
        <w:rPr>
          <w:rFonts w:hint="eastAsia" w:ascii="仿宋_GB2312" w:hAnsi="仿宋_GB2312" w:eastAsia="仿宋_GB2312" w:cs="仿宋_GB2312"/>
          <w:color w:val="auto"/>
          <w:sz w:val="32"/>
          <w:szCs w:val="32"/>
          <w:highlight w:val="none"/>
          <w:lang w:eastAsia="zh-CN"/>
        </w:rPr>
        <w:t>2025年度青岛市高标准农田建设补助资金开展绩效评价，重点评价</w:t>
      </w:r>
      <w:r>
        <w:rPr>
          <w:rFonts w:hint="eastAsia" w:ascii="仿宋_GB2312" w:hAnsi="仿宋_GB2312" w:eastAsia="仿宋_GB2312" w:cs="仿宋_GB2312"/>
          <w:color w:val="auto"/>
          <w:sz w:val="32"/>
          <w:szCs w:val="32"/>
          <w:highlight w:val="none"/>
          <w:lang w:val="en-US" w:eastAsia="zh-CN"/>
        </w:rPr>
        <w:t>项目建设成效和</w:t>
      </w:r>
      <w:r>
        <w:rPr>
          <w:rFonts w:hint="eastAsia" w:ascii="仿宋_GB2312" w:hAnsi="仿宋_GB2312" w:eastAsia="仿宋_GB2312" w:cs="仿宋_GB2312"/>
          <w:color w:val="auto"/>
          <w:sz w:val="32"/>
          <w:szCs w:val="32"/>
          <w:highlight w:val="none"/>
          <w:lang w:eastAsia="zh-CN"/>
        </w:rPr>
        <w:t>资金使用效益，针对评价发现问题，为后续项目</w:t>
      </w:r>
      <w:r>
        <w:rPr>
          <w:rFonts w:hint="eastAsia" w:ascii="仿宋_GB2312" w:hAnsi="仿宋_GB2312" w:eastAsia="仿宋_GB2312" w:cs="仿宋_GB2312"/>
          <w:color w:val="auto"/>
          <w:sz w:val="32"/>
          <w:szCs w:val="32"/>
          <w:highlight w:val="none"/>
          <w:lang w:val="en-US" w:eastAsia="zh-CN"/>
        </w:rPr>
        <w:t>改进管理、优化资金配置</w:t>
      </w:r>
      <w:r>
        <w:rPr>
          <w:rFonts w:hint="eastAsia" w:ascii="仿宋_GB2312" w:hAnsi="仿宋_GB2312" w:eastAsia="仿宋_GB2312" w:cs="仿宋_GB2312"/>
          <w:color w:val="auto"/>
          <w:sz w:val="32"/>
          <w:szCs w:val="32"/>
          <w:highlight w:val="none"/>
          <w:lang w:eastAsia="zh-CN"/>
        </w:rPr>
        <w:t>提供</w:t>
      </w:r>
      <w:r>
        <w:rPr>
          <w:rFonts w:hint="eastAsia" w:ascii="仿宋_GB2312" w:hAnsi="仿宋_GB2312" w:eastAsia="仿宋_GB2312" w:cs="仿宋_GB2312"/>
          <w:color w:val="auto"/>
          <w:sz w:val="32"/>
          <w:szCs w:val="32"/>
          <w:highlight w:val="none"/>
          <w:lang w:val="en-US" w:eastAsia="zh-CN"/>
        </w:rPr>
        <w:t>重要</w:t>
      </w:r>
      <w:r>
        <w:rPr>
          <w:rFonts w:hint="eastAsia" w:ascii="仿宋_GB2312" w:hAnsi="仿宋_GB2312" w:eastAsia="仿宋_GB2312" w:cs="仿宋_GB2312"/>
          <w:color w:val="auto"/>
          <w:sz w:val="32"/>
          <w:szCs w:val="32"/>
          <w:highlight w:val="none"/>
          <w:lang w:eastAsia="zh-CN"/>
        </w:rPr>
        <w:t>依据，提升高标准农田建设与管护的规范化、精细化水平，最大化发挥</w:t>
      </w:r>
      <w:r>
        <w:rPr>
          <w:rFonts w:hint="eastAsia" w:ascii="仿宋_GB2312" w:hAnsi="仿宋_GB2312" w:eastAsia="仿宋_GB2312" w:cs="仿宋_GB2312"/>
          <w:color w:val="auto"/>
          <w:sz w:val="32"/>
          <w:szCs w:val="32"/>
          <w:highlight w:val="none"/>
          <w:lang w:val="en-US" w:eastAsia="zh-CN"/>
        </w:rPr>
        <w:t>项目在经济、社会、生态等方面的</w:t>
      </w:r>
      <w:r>
        <w:rPr>
          <w:rFonts w:hint="eastAsia" w:ascii="仿宋_GB2312" w:hAnsi="仿宋_GB2312" w:eastAsia="仿宋_GB2312" w:cs="仿宋_GB2312"/>
          <w:color w:val="auto"/>
          <w:sz w:val="32"/>
          <w:szCs w:val="32"/>
          <w:highlight w:val="none"/>
          <w:lang w:eastAsia="zh-CN"/>
        </w:rPr>
        <w:t>综合效益。</w:t>
      </w:r>
    </w:p>
    <w:p>
      <w:pPr>
        <w:pStyle w:val="3"/>
        <w:keepNext w:val="0"/>
        <w:keepLines w:val="0"/>
        <w:pageBreakBefore w:val="0"/>
        <w:widowControl w:val="0"/>
        <w:kinsoku/>
        <w:wordWrap/>
        <w:overflowPunct/>
        <w:topLinePunct w:val="0"/>
        <w:autoSpaceDE/>
        <w:autoSpaceDN/>
        <w:bidi w:val="0"/>
        <w:spacing w:before="0" w:after="0" w:line="560" w:lineRule="exact"/>
        <w:ind w:firstLine="640"/>
        <w:jc w:val="both"/>
        <w:textAlignment w:val="auto"/>
        <w:rPr>
          <w:rFonts w:eastAsia="楷体_GB2312"/>
          <w:bCs w:val="0"/>
          <w:color w:val="auto"/>
          <w:sz w:val="32"/>
          <w:szCs w:val="40"/>
          <w:highlight w:val="none"/>
          <w:lang w:val="en-US"/>
        </w:rPr>
      </w:pPr>
      <w:bookmarkStart w:id="7" w:name="_Toc24801"/>
      <w:r>
        <w:rPr>
          <w:rFonts w:hint="eastAsia" w:eastAsia="楷体_GB2312"/>
          <w:bCs w:val="0"/>
          <w:color w:val="auto"/>
          <w:sz w:val="32"/>
          <w:szCs w:val="40"/>
          <w:highlight w:val="none"/>
          <w:lang w:val="en-US"/>
        </w:rPr>
        <w:t>（二）评价思路、评价重点、评价指标体系和评价标准</w:t>
      </w:r>
      <w:bookmarkEnd w:id="7"/>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1.评价思路</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ascii="Times New Roman" w:hAnsi="Times New Roman" w:eastAsia="仿宋_GB2312" w:cs="Times New Roman"/>
          <w:snapToGrid/>
          <w:color w:val="auto"/>
          <w:sz w:val="32"/>
          <w:szCs w:val="32"/>
          <w:highlight w:val="none"/>
          <w:lang w:eastAsia="zh-CN"/>
        </w:rPr>
      </w:pPr>
      <w:r>
        <w:rPr>
          <w:rFonts w:ascii="Times New Roman" w:hAnsi="Times New Roman" w:eastAsia="仿宋_GB2312" w:cs="Times New Roman"/>
          <w:snapToGrid/>
          <w:color w:val="auto"/>
          <w:sz w:val="32"/>
          <w:szCs w:val="32"/>
          <w:highlight w:val="none"/>
          <w:lang w:eastAsia="zh-CN"/>
        </w:rPr>
        <w:t>本次评价坚持绩效导向、客观公正、操作可行、主体分明的</w:t>
      </w:r>
      <w:r>
        <w:rPr>
          <w:rFonts w:hint="eastAsia" w:ascii="Times New Roman" w:hAnsi="Times New Roman" w:eastAsia="仿宋_GB2312" w:cs="Times New Roman"/>
          <w:snapToGrid/>
          <w:color w:val="auto"/>
          <w:sz w:val="32"/>
          <w:szCs w:val="32"/>
          <w:highlight w:val="none"/>
          <w:lang w:eastAsia="zh-CN"/>
        </w:rPr>
        <w:t>思路</w:t>
      </w:r>
      <w:r>
        <w:rPr>
          <w:rFonts w:ascii="Times New Roman" w:hAnsi="Times New Roman" w:eastAsia="仿宋_GB2312" w:cs="Times New Roman"/>
          <w:snapToGrid/>
          <w:color w:val="auto"/>
          <w:sz w:val="32"/>
          <w:szCs w:val="32"/>
          <w:highlight w:val="none"/>
          <w:lang w:eastAsia="zh-CN"/>
        </w:rPr>
        <w:t>，</w:t>
      </w:r>
      <w:r>
        <w:rPr>
          <w:rFonts w:hint="eastAsia" w:ascii="仿宋_GB2312" w:hAnsi="仿宋_GB2312" w:eastAsia="仿宋_GB2312" w:cs="仿宋_GB2312"/>
          <w:color w:val="auto"/>
          <w:sz w:val="32"/>
          <w:szCs w:val="40"/>
          <w:highlight w:val="none"/>
        </w:rPr>
        <w:t>结合项目特点，制定绩效评价指标体系和具体评价方案</w:t>
      </w:r>
      <w:r>
        <w:rPr>
          <w:rFonts w:hint="eastAsia" w:ascii="仿宋_GB2312" w:hAnsi="仿宋_GB2312" w:eastAsia="仿宋_GB2312" w:cs="仿宋_GB2312"/>
          <w:color w:val="auto"/>
          <w:sz w:val="32"/>
          <w:szCs w:val="40"/>
          <w:highlight w:val="none"/>
          <w:lang w:eastAsia="zh-CN"/>
        </w:rPr>
        <w:t>，</w:t>
      </w:r>
      <w:r>
        <w:rPr>
          <w:rFonts w:hint="eastAsia" w:ascii="仿宋_GB2312" w:hAnsi="仿宋_GB2312" w:eastAsia="仿宋_GB2312" w:cs="仿宋_GB2312"/>
          <w:color w:val="auto"/>
          <w:sz w:val="32"/>
          <w:szCs w:val="40"/>
          <w:highlight w:val="none"/>
        </w:rPr>
        <w:t>从</w:t>
      </w:r>
      <w:r>
        <w:rPr>
          <w:rFonts w:hint="eastAsia" w:ascii="仿宋_GB2312" w:hAnsi="仿宋_GB2312" w:eastAsia="仿宋_GB2312" w:cs="仿宋_GB2312"/>
          <w:color w:val="auto"/>
          <w:sz w:val="32"/>
          <w:szCs w:val="40"/>
          <w:highlight w:val="none"/>
          <w:lang w:val="en-US" w:eastAsia="zh-CN"/>
        </w:rPr>
        <w:t>项目立项、</w:t>
      </w:r>
      <w:r>
        <w:rPr>
          <w:rFonts w:hint="eastAsia" w:ascii="仿宋_GB2312" w:hAnsi="仿宋_GB2312" w:eastAsia="仿宋_GB2312" w:cs="仿宋_GB2312"/>
          <w:color w:val="auto"/>
          <w:sz w:val="32"/>
          <w:szCs w:val="40"/>
          <w:highlight w:val="none"/>
        </w:rPr>
        <w:t>资金使用、项目完成、效益实现情况等方面进行综合分析</w:t>
      </w:r>
      <w:r>
        <w:rPr>
          <w:rFonts w:hint="eastAsia" w:ascii="仿宋_GB2312" w:hAnsi="仿宋_GB2312" w:eastAsia="仿宋_GB2312" w:cs="仿宋_GB2312"/>
          <w:color w:val="auto"/>
          <w:sz w:val="32"/>
          <w:szCs w:val="40"/>
          <w:highlight w:val="none"/>
          <w:lang w:eastAsia="zh-CN"/>
        </w:rPr>
        <w:t>，</w:t>
      </w:r>
      <w:r>
        <w:rPr>
          <w:rFonts w:ascii="Times New Roman" w:hAnsi="Times New Roman" w:eastAsia="仿宋_GB2312" w:cs="Times New Roman"/>
          <w:snapToGrid/>
          <w:color w:val="auto"/>
          <w:sz w:val="32"/>
          <w:szCs w:val="32"/>
          <w:highlight w:val="none"/>
          <w:lang w:eastAsia="zh-CN"/>
        </w:rPr>
        <w:t>发现项目</w:t>
      </w:r>
      <w:r>
        <w:rPr>
          <w:rFonts w:hint="eastAsia" w:ascii="Times New Roman" w:hAnsi="Times New Roman" w:eastAsia="仿宋_GB2312" w:cs="Times New Roman"/>
          <w:snapToGrid/>
          <w:color w:val="auto"/>
          <w:sz w:val="32"/>
          <w:szCs w:val="32"/>
          <w:highlight w:val="none"/>
          <w:lang w:eastAsia="zh-CN"/>
        </w:rPr>
        <w:t>实施</w:t>
      </w:r>
      <w:r>
        <w:rPr>
          <w:rFonts w:ascii="Times New Roman" w:hAnsi="Times New Roman" w:eastAsia="仿宋_GB2312" w:cs="Times New Roman"/>
          <w:snapToGrid/>
          <w:color w:val="auto"/>
          <w:sz w:val="32"/>
          <w:szCs w:val="32"/>
          <w:highlight w:val="none"/>
          <w:lang w:eastAsia="zh-CN"/>
        </w:rPr>
        <w:t>中存在的问题，并</w:t>
      </w:r>
      <w:r>
        <w:rPr>
          <w:rFonts w:hint="eastAsia" w:ascii="仿宋_GB2312" w:hAnsi="仿宋_GB2312" w:eastAsia="仿宋_GB2312" w:cs="仿宋_GB2312"/>
          <w:color w:val="auto"/>
          <w:sz w:val="32"/>
          <w:szCs w:val="40"/>
          <w:highlight w:val="none"/>
        </w:rPr>
        <w:t>有</w:t>
      </w:r>
      <w:r>
        <w:rPr>
          <w:rFonts w:ascii="Times New Roman" w:hAnsi="Times New Roman" w:eastAsia="仿宋_GB2312" w:cs="Times New Roman"/>
          <w:snapToGrid/>
          <w:color w:val="auto"/>
          <w:sz w:val="32"/>
          <w:szCs w:val="32"/>
          <w:highlight w:val="none"/>
          <w:lang w:eastAsia="zh-CN"/>
        </w:rPr>
        <w:t>针对性地提出</w:t>
      </w:r>
      <w:r>
        <w:rPr>
          <w:rFonts w:hint="eastAsia" w:ascii="Times New Roman" w:hAnsi="Times New Roman" w:eastAsia="仿宋_GB2312" w:cs="Times New Roman"/>
          <w:snapToGrid/>
          <w:color w:val="auto"/>
          <w:sz w:val="32"/>
          <w:szCs w:val="32"/>
          <w:highlight w:val="none"/>
          <w:lang w:eastAsia="zh-CN"/>
        </w:rPr>
        <w:t>改进管理、</w:t>
      </w:r>
      <w:r>
        <w:rPr>
          <w:rFonts w:hint="eastAsia" w:ascii="Times New Roman" w:hAnsi="Times New Roman" w:eastAsia="仿宋_GB2312" w:cs="Times New Roman"/>
          <w:snapToGrid/>
          <w:color w:val="auto"/>
          <w:sz w:val="32"/>
          <w:szCs w:val="32"/>
          <w:highlight w:val="none"/>
          <w:lang w:val="en-US" w:eastAsia="zh-CN"/>
        </w:rPr>
        <w:t>规范程序</w:t>
      </w:r>
      <w:r>
        <w:rPr>
          <w:rFonts w:hint="eastAsia" w:ascii="Times New Roman" w:hAnsi="Times New Roman" w:eastAsia="仿宋_GB2312" w:cs="Times New Roman"/>
          <w:snapToGrid/>
          <w:color w:val="auto"/>
          <w:sz w:val="32"/>
          <w:szCs w:val="32"/>
          <w:highlight w:val="none"/>
          <w:lang w:eastAsia="zh-CN"/>
        </w:rPr>
        <w:t>等</w:t>
      </w:r>
      <w:r>
        <w:rPr>
          <w:rFonts w:ascii="Times New Roman" w:hAnsi="Times New Roman" w:eastAsia="仿宋_GB2312" w:cs="Times New Roman"/>
          <w:snapToGrid/>
          <w:color w:val="auto"/>
          <w:sz w:val="32"/>
          <w:szCs w:val="32"/>
          <w:highlight w:val="none"/>
          <w:lang w:eastAsia="zh-CN"/>
        </w:rPr>
        <w:t>合理化建议。</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2.评价重点</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项目管理方面，突出对项目立项、组织实施、竣工验收等环节的规范性评价；在资金管理方面，关注资金拨付、使用、核算的合规性与及时性；在项目效益方面，重点围绕建成高标准农田面积、提升粮食产能、节肥节药率、田间道路通达等效益开展评价。</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3.评价指标体系</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青岛市市级项目支出绩效财政评价和部门评价工作规程》（青财绩〔2025〕6号）相关规定，本次评价从决策、过程、产出、效益4个方面设置绩效评价指标体系，总分为100分。其中，决策指标10分，重点考察项目立项、预算和绩效目标编制的规范性与合理性等；过程指标20分，主要评价预算执行率、资金使用合规性、管理制度的健全性与执行有效性；产出指标30分，聚焦项目施工进度、工程质量等情况开展评价；效益指标40分，综合反映项目的经济、社会、生态效益，以及可持续影响、服务对象满意度等。</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4.评价标准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highlight w:val="none"/>
        </w:rPr>
        <w:t>评价分为4个等级：90（含）-100分为优；80（含）-90分为良；60（含）-80分为中；60分以下为差。</w:t>
      </w:r>
    </w:p>
    <w:p>
      <w:pPr>
        <w:pStyle w:val="3"/>
        <w:keepNext w:val="0"/>
        <w:keepLines w:val="0"/>
        <w:pageBreakBefore w:val="0"/>
        <w:widowControl w:val="0"/>
        <w:kinsoku/>
        <w:wordWrap/>
        <w:overflowPunct/>
        <w:topLinePunct w:val="0"/>
        <w:autoSpaceDE/>
        <w:autoSpaceDN/>
        <w:bidi w:val="0"/>
        <w:spacing w:before="0" w:after="0" w:line="560" w:lineRule="exact"/>
        <w:ind w:firstLine="640"/>
        <w:jc w:val="both"/>
        <w:textAlignment w:val="auto"/>
        <w:rPr>
          <w:rFonts w:eastAsia="楷体_GB2312"/>
          <w:bCs w:val="0"/>
          <w:color w:val="auto"/>
          <w:sz w:val="32"/>
          <w:szCs w:val="40"/>
          <w:highlight w:val="none"/>
          <w:lang w:val="en-US"/>
        </w:rPr>
      </w:pPr>
      <w:bookmarkStart w:id="8" w:name="_Toc3439"/>
      <w:r>
        <w:rPr>
          <w:rFonts w:hint="eastAsia" w:eastAsia="楷体_GB2312"/>
          <w:bCs w:val="0"/>
          <w:color w:val="auto"/>
          <w:sz w:val="32"/>
          <w:szCs w:val="40"/>
          <w:highlight w:val="none"/>
          <w:lang w:val="en-US"/>
        </w:rPr>
        <w:t>（三）评价组织实施与评价方法</w:t>
      </w:r>
      <w:bookmarkEnd w:id="8"/>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1.评价组织实施</w:t>
      </w:r>
    </w:p>
    <w:p>
      <w:pPr>
        <w:pStyle w:val="2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eastAsia="仿宋_GB2312"/>
          <w:color w:val="auto"/>
          <w:sz w:val="32"/>
          <w:szCs w:val="32"/>
          <w:highlight w:val="none"/>
          <w:lang w:val="en-US" w:eastAsia="zh-CN"/>
        </w:rPr>
      </w:pPr>
      <w:bookmarkStart w:id="9" w:name="_Toc7178040"/>
      <w:r>
        <w:rPr>
          <w:rFonts w:hint="eastAsia" w:ascii="仿宋_GB2312" w:eastAsia="仿宋_GB2312"/>
          <w:color w:val="auto"/>
          <w:sz w:val="32"/>
          <w:szCs w:val="32"/>
          <w:highlight w:val="none"/>
        </w:rPr>
        <w:t>（1）前期准备阶段。</w:t>
      </w:r>
      <w:r>
        <w:rPr>
          <w:rFonts w:hint="eastAsia" w:ascii="仿宋_GB2312" w:eastAsia="仿宋_GB2312"/>
          <w:color w:val="auto"/>
          <w:sz w:val="32"/>
          <w:szCs w:val="32"/>
          <w:highlight w:val="none"/>
          <w:lang w:val="en-US" w:eastAsia="zh-CN"/>
        </w:rPr>
        <w:t>成立评价工作组，调研项目基本情况，收集相关政策文件、业务资料，拟定评价实施方案和指标体系。</w:t>
      </w:r>
    </w:p>
    <w:p>
      <w:pPr>
        <w:pStyle w:val="2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（2）组织实施阶段。</w:t>
      </w:r>
      <w:r>
        <w:rPr>
          <w:rFonts w:hint="eastAsia" w:ascii="仿宋_GB2312" w:eastAsia="仿宋_GB2312"/>
          <w:color w:val="auto"/>
          <w:sz w:val="32"/>
          <w:szCs w:val="32"/>
          <w:highlight w:val="none"/>
          <w:lang w:val="en-US" w:eastAsia="zh-CN"/>
        </w:rPr>
        <w:t>通过资料审阅、现场勘查、访谈、问卷调查等方法，赴市农业农村局和各区（市）开展绩效评价。及时梳理工作底稿，形成绩效评价问题清单和初步结论</w:t>
      </w:r>
      <w:r>
        <w:rPr>
          <w:rFonts w:hint="eastAsia" w:ascii="仿宋_GB2312" w:hAnsi="Times New Roman" w:eastAsia="仿宋_GB2312" w:cs="Times New Roman"/>
          <w:snapToGrid/>
          <w:color w:val="auto"/>
          <w:sz w:val="32"/>
          <w:szCs w:val="32"/>
          <w:highlight w:val="none"/>
          <w:lang w:eastAsia="zh-CN"/>
        </w:rPr>
        <w:t>。</w:t>
      </w:r>
    </w:p>
    <w:p>
      <w:pPr>
        <w:pStyle w:val="2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（3）报告形成阶段。</w:t>
      </w:r>
      <w:r>
        <w:rPr>
          <w:rFonts w:hint="eastAsia" w:ascii="仿宋_GB2312" w:eastAsia="仿宋_GB2312"/>
          <w:color w:val="auto"/>
          <w:sz w:val="32"/>
          <w:szCs w:val="32"/>
          <w:highlight w:val="none"/>
          <w:lang w:eastAsia="zh-CN"/>
        </w:rPr>
        <w:t>组织</w:t>
      </w:r>
      <w:r>
        <w:rPr>
          <w:rFonts w:hint="eastAsia" w:ascii="仿宋_GB2312" w:eastAsia="仿宋_GB2312"/>
          <w:color w:val="auto"/>
          <w:sz w:val="32"/>
          <w:szCs w:val="32"/>
          <w:highlight w:val="none"/>
        </w:rPr>
        <w:t>撰写报告，</w:t>
      </w:r>
      <w:r>
        <w:rPr>
          <w:rFonts w:hint="eastAsia" w:ascii="仿宋_GB2312" w:hAnsi="Times New Roman" w:eastAsia="仿宋_GB2312" w:cs="Times New Roman"/>
          <w:color w:val="auto"/>
          <w:kern w:val="0"/>
          <w:sz w:val="32"/>
          <w:szCs w:val="32"/>
          <w:highlight w:val="none"/>
          <w:u w:color="000000"/>
        </w:rPr>
        <w:t>征求</w:t>
      </w:r>
      <w:r>
        <w:rPr>
          <w:rFonts w:hint="eastAsia" w:ascii="仿宋_GB2312" w:hAnsi="Times New Roman" w:eastAsia="仿宋_GB2312" w:cs="Times New Roman"/>
          <w:color w:val="auto"/>
          <w:kern w:val="0"/>
          <w:sz w:val="32"/>
          <w:szCs w:val="32"/>
          <w:highlight w:val="none"/>
          <w:u w:color="000000"/>
          <w:lang w:val="en-US" w:eastAsia="zh-CN"/>
        </w:rPr>
        <w:t>市农业农村局</w:t>
      </w:r>
      <w:r>
        <w:rPr>
          <w:rFonts w:hint="eastAsia" w:ascii="仿宋_GB2312" w:hAnsi="Times New Roman" w:eastAsia="仿宋_GB2312" w:cs="Times New Roman"/>
          <w:color w:val="auto"/>
          <w:kern w:val="0"/>
          <w:sz w:val="32"/>
          <w:szCs w:val="32"/>
          <w:highlight w:val="none"/>
          <w:u w:color="000000"/>
        </w:rPr>
        <w:t>意见并</w:t>
      </w:r>
      <w:r>
        <w:rPr>
          <w:rFonts w:hint="eastAsia" w:ascii="仿宋_GB2312" w:hAnsi="Times New Roman" w:eastAsia="仿宋_GB2312" w:cs="Times New Roman"/>
          <w:color w:val="auto"/>
          <w:kern w:val="0"/>
          <w:sz w:val="32"/>
          <w:szCs w:val="32"/>
          <w:highlight w:val="none"/>
          <w:u w:color="000000"/>
          <w:lang w:eastAsia="zh-CN"/>
        </w:rPr>
        <w:t>进一步</w:t>
      </w:r>
      <w:r>
        <w:rPr>
          <w:rFonts w:hint="eastAsia" w:ascii="仿宋_GB2312" w:hAnsi="Times New Roman" w:eastAsia="仿宋_GB2312" w:cs="Times New Roman"/>
          <w:color w:val="auto"/>
          <w:kern w:val="0"/>
          <w:sz w:val="32"/>
          <w:szCs w:val="32"/>
          <w:highlight w:val="none"/>
          <w:u w:color="000000"/>
        </w:rPr>
        <w:t>修改完善，正式提交报告。</w:t>
      </w:r>
    </w:p>
    <w:bookmarkEnd w:id="9"/>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2.评价</w:t>
      </w:r>
      <w:r>
        <w:rPr>
          <w:rFonts w:hint="eastAsia" w:ascii="仿宋_GB2312" w:hAnsi="仿宋_GB2312" w:eastAsia="仿宋_GB2312" w:cs="仿宋_GB2312"/>
          <w:color w:val="auto"/>
          <w:sz w:val="32"/>
          <w:szCs w:val="32"/>
          <w:highlight w:val="none"/>
          <w:lang w:val="en-US" w:eastAsia="zh-CN"/>
        </w:rPr>
        <w:t>方式</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（1）比较法。对照项目各年度绩效目标，分析目标完成情况及偏差原因。</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（2）文献研究法。系统研读项目立项文件、实施方案、采购资料、验收报告等资料，梳理项目立项背景、实施流程与目标设定逻辑。</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（3）数据核查法。对项目实施、预算执行等核心数据，对照合同协议、财务凭证、验收报告等材料逐项核验，确保数据真实准确。</w:t>
      </w:r>
    </w:p>
    <w:p>
      <w:pPr>
        <w:pStyle w:val="2"/>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bCs w:val="0"/>
          <w:color w:val="auto"/>
          <w:kern w:val="2"/>
          <w:sz w:val="32"/>
          <w:szCs w:val="32"/>
          <w:highlight w:val="none"/>
          <w:lang w:val="en-US"/>
        </w:rPr>
      </w:pPr>
      <w:bookmarkStart w:id="10" w:name="_Toc26518"/>
      <w:r>
        <w:rPr>
          <w:rFonts w:hint="eastAsia"/>
          <w:bCs w:val="0"/>
          <w:color w:val="auto"/>
          <w:kern w:val="2"/>
          <w:sz w:val="32"/>
          <w:szCs w:val="32"/>
          <w:highlight w:val="none"/>
          <w:lang w:val="en-US"/>
        </w:rPr>
        <w:t>三、评价结论及分析</w:t>
      </w:r>
      <w:bookmarkEnd w:id="10"/>
    </w:p>
    <w:p>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eastAsia="楷体_GB2312"/>
          <w:bCs w:val="0"/>
          <w:color w:val="auto"/>
          <w:sz w:val="32"/>
          <w:szCs w:val="40"/>
          <w:highlight w:val="none"/>
          <w:lang w:val="en-US"/>
        </w:rPr>
      </w:pPr>
      <w:bookmarkStart w:id="11" w:name="_Toc24479"/>
      <w:r>
        <w:rPr>
          <w:rFonts w:hint="eastAsia" w:eastAsia="楷体_GB2312"/>
          <w:bCs w:val="0"/>
          <w:color w:val="auto"/>
          <w:sz w:val="32"/>
          <w:szCs w:val="40"/>
          <w:highlight w:val="none"/>
          <w:lang w:val="en-US"/>
        </w:rPr>
        <w:t>（一）综合评价结论</w:t>
      </w:r>
      <w:bookmarkEnd w:id="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Theme="minorEastAsia"/>
          <w:color w:val="auto"/>
          <w:highlight w:val="none"/>
          <w:lang w:val="en-US" w:eastAsia="zh-CN"/>
        </w:rPr>
      </w:pPr>
      <w:r>
        <w:rPr>
          <w:rFonts w:hint="eastAsia" w:ascii="仿宋_GB2312" w:hAnsi="仿宋_GB2312" w:eastAsia="仿宋_GB2312" w:cs="仿宋_GB2312"/>
          <w:color w:val="auto"/>
          <w:sz w:val="32"/>
          <w:szCs w:val="40"/>
          <w:highlight w:val="none"/>
          <w:lang w:val="en-US" w:eastAsia="zh-CN"/>
        </w:rPr>
        <w:t>2025年度青岛市高标准农田建设补助资金</w:t>
      </w:r>
      <w:r>
        <w:rPr>
          <w:rFonts w:hint="eastAsia" w:ascii="仿宋_GB2312" w:hAnsi="仿宋_GB2312" w:eastAsia="仿宋_GB2312" w:cs="仿宋_GB2312"/>
          <w:color w:val="auto"/>
          <w:sz w:val="32"/>
          <w:szCs w:val="40"/>
          <w:highlight w:val="none"/>
          <w:lang w:eastAsia="zh-CN"/>
        </w:rPr>
        <w:t>绩效评价得分</w:t>
      </w:r>
      <w:r>
        <w:rPr>
          <w:rFonts w:hint="eastAsia" w:ascii="仿宋_GB2312" w:hAnsi="仿宋_GB2312" w:eastAsia="仿宋_GB2312" w:cs="仿宋_GB2312"/>
          <w:color w:val="auto"/>
          <w:sz w:val="32"/>
          <w:szCs w:val="40"/>
          <w:highlight w:val="none"/>
          <w:lang w:val="en-US" w:eastAsia="zh-CN"/>
        </w:rPr>
        <w:t>80.8</w:t>
      </w:r>
      <w:r>
        <w:rPr>
          <w:rFonts w:hint="eastAsia" w:ascii="仿宋_GB2312" w:hAnsi="仿宋_GB2312" w:eastAsia="仿宋_GB2312" w:cs="仿宋_GB2312"/>
          <w:color w:val="auto"/>
          <w:sz w:val="32"/>
          <w:szCs w:val="40"/>
          <w:highlight w:val="none"/>
          <w:lang w:eastAsia="zh-CN"/>
        </w:rPr>
        <w:t>分，评价结果为“</w:t>
      </w:r>
      <w:r>
        <w:rPr>
          <w:rFonts w:hint="eastAsia" w:ascii="仿宋_GB2312" w:hAnsi="仿宋_GB2312" w:eastAsia="仿宋_GB2312" w:cs="仿宋_GB2312"/>
          <w:color w:val="auto"/>
          <w:sz w:val="32"/>
          <w:szCs w:val="40"/>
          <w:highlight w:val="none"/>
          <w:lang w:val="en-US" w:eastAsia="zh-CN"/>
        </w:rPr>
        <w:t>良</w:t>
      </w:r>
      <w:r>
        <w:rPr>
          <w:rFonts w:hint="eastAsia" w:ascii="仿宋_GB2312" w:hAnsi="仿宋_GB2312" w:eastAsia="仿宋_GB2312" w:cs="仿宋_GB2312"/>
          <w:color w:val="auto"/>
          <w:sz w:val="32"/>
          <w:szCs w:val="40"/>
          <w:highlight w:val="none"/>
          <w:lang w:eastAsia="zh-CN"/>
        </w:rPr>
        <w:t>”。</w:t>
      </w:r>
      <w:r>
        <w:rPr>
          <w:rFonts w:hint="eastAsia" w:ascii="仿宋_GB2312" w:hAnsi="仿宋_GB2312" w:eastAsia="仿宋_GB2312" w:cs="仿宋_GB2312"/>
          <w:color w:val="auto"/>
          <w:sz w:val="32"/>
          <w:szCs w:val="40"/>
          <w:highlight w:val="none"/>
          <w:lang w:val="en-US" w:eastAsia="zh-CN"/>
        </w:rPr>
        <w:t>具体情况如下：</w:t>
      </w:r>
    </w:p>
    <w:p>
      <w:pPr>
        <w:keepNext w:val="0"/>
        <w:keepLines w:val="0"/>
        <w:pageBreakBefore w:val="0"/>
        <w:widowControl w:val="0"/>
        <w:kinsoku/>
        <w:wordWrap/>
        <w:overflowPunct/>
        <w:topLinePunct w:val="0"/>
        <w:autoSpaceDE/>
        <w:autoSpaceDN/>
        <w:bidi w:val="0"/>
        <w:spacing w:line="600" w:lineRule="exact"/>
        <w:jc w:val="center"/>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eastAsia="zh-CN"/>
        </w:rPr>
        <w:t>2025年度青岛市高标准农田建设补助资金</w:t>
      </w:r>
      <w:r>
        <w:rPr>
          <w:rFonts w:hint="eastAsia" w:ascii="黑体" w:hAnsi="黑体" w:eastAsia="黑体" w:cs="黑体"/>
          <w:color w:val="auto"/>
          <w:sz w:val="28"/>
          <w:szCs w:val="28"/>
          <w:highlight w:val="none"/>
        </w:rPr>
        <w:t>绩效评价得分表</w:t>
      </w:r>
    </w:p>
    <w:tbl>
      <w:tblPr>
        <w:tblStyle w:val="19"/>
        <w:tblW w:w="8295" w:type="dxa"/>
        <w:tblInd w:w="2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1"/>
        <w:gridCol w:w="2072"/>
        <w:gridCol w:w="2075"/>
        <w:gridCol w:w="2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trPr>
        <w:tc>
          <w:tcPr>
            <w:tcW w:w="2071" w:type="dxa"/>
            <w:shd w:val="clear" w:color="auto" w:fill="BEBEBE" w:themeFill="background1" w:themeFillShade="BF"/>
            <w:vAlign w:val="center"/>
          </w:tcPr>
          <w:p>
            <w:pPr>
              <w:keepNext w:val="0"/>
              <w:keepLines w:val="0"/>
              <w:pageBreakBefore w:val="0"/>
              <w:widowControl w:val="0"/>
              <w:kinsoku/>
              <w:wordWrap/>
              <w:overflowPunct/>
              <w:topLinePunct w:val="0"/>
              <w:autoSpaceDE/>
              <w:autoSpaceDN/>
              <w:bidi w:val="0"/>
              <w:jc w:val="center"/>
              <w:textAlignment w:val="center"/>
              <w:rPr>
                <w:rFonts w:hint="eastAsia"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一级指标</w:t>
            </w:r>
          </w:p>
        </w:tc>
        <w:tc>
          <w:tcPr>
            <w:tcW w:w="2072" w:type="dxa"/>
            <w:shd w:val="clear" w:color="auto" w:fill="BEBEBE" w:themeFill="background1" w:themeFillShade="BF"/>
            <w:vAlign w:val="center"/>
          </w:tcPr>
          <w:p>
            <w:pPr>
              <w:keepNext w:val="0"/>
              <w:keepLines w:val="0"/>
              <w:pageBreakBefore w:val="0"/>
              <w:widowControl w:val="0"/>
              <w:kinsoku/>
              <w:wordWrap/>
              <w:overflowPunct/>
              <w:topLinePunct w:val="0"/>
              <w:autoSpaceDE/>
              <w:autoSpaceDN/>
              <w:bidi w:val="0"/>
              <w:jc w:val="center"/>
              <w:textAlignment w:val="center"/>
              <w:rPr>
                <w:rFonts w:hint="eastAsia"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指标分值</w:t>
            </w:r>
          </w:p>
        </w:tc>
        <w:tc>
          <w:tcPr>
            <w:tcW w:w="2075" w:type="dxa"/>
            <w:shd w:val="clear" w:color="auto" w:fill="BEBEBE" w:themeFill="background1" w:themeFillShade="BF"/>
            <w:vAlign w:val="center"/>
          </w:tcPr>
          <w:p>
            <w:pPr>
              <w:keepNext w:val="0"/>
              <w:keepLines w:val="0"/>
              <w:pageBreakBefore w:val="0"/>
              <w:widowControl w:val="0"/>
              <w:kinsoku/>
              <w:wordWrap/>
              <w:overflowPunct/>
              <w:topLinePunct w:val="0"/>
              <w:autoSpaceDE/>
              <w:autoSpaceDN/>
              <w:bidi w:val="0"/>
              <w:jc w:val="center"/>
              <w:textAlignment w:val="center"/>
              <w:rPr>
                <w:rFonts w:hint="eastAsia"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得分</w:t>
            </w:r>
          </w:p>
        </w:tc>
        <w:tc>
          <w:tcPr>
            <w:tcW w:w="2077" w:type="dxa"/>
            <w:shd w:val="clear" w:color="auto" w:fill="BEBEBE" w:themeFill="background1" w:themeFillShade="BF"/>
            <w:vAlign w:val="center"/>
          </w:tcPr>
          <w:p>
            <w:pPr>
              <w:keepNext w:val="0"/>
              <w:keepLines w:val="0"/>
              <w:pageBreakBefore w:val="0"/>
              <w:widowControl w:val="0"/>
              <w:kinsoku/>
              <w:wordWrap/>
              <w:overflowPunct/>
              <w:topLinePunct w:val="0"/>
              <w:autoSpaceDE/>
              <w:autoSpaceDN/>
              <w:bidi w:val="0"/>
              <w:jc w:val="center"/>
              <w:textAlignment w:val="center"/>
              <w:rPr>
                <w:rFonts w:hint="eastAsia"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71" w:type="dxa"/>
            <w:vAlign w:val="center"/>
          </w:tcPr>
          <w:p>
            <w:pPr>
              <w:keepNext w:val="0"/>
              <w:keepLines w:val="0"/>
              <w:pageBreakBefore w:val="0"/>
              <w:widowControl w:val="0"/>
              <w:kinsoku/>
              <w:wordWrap/>
              <w:overflowPunct/>
              <w:topLinePunct w:val="0"/>
              <w:autoSpaceDE/>
              <w:autoSpaceDN/>
              <w:bidi w:val="0"/>
              <w:jc w:val="center"/>
              <w:textAlignment w:val="center"/>
              <w:rPr>
                <w:rFonts w:hint="eastAsia"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color w:val="auto"/>
                <w:kern w:val="0"/>
                <w:sz w:val="24"/>
                <w:highlight w:val="none"/>
                <w:lang w:val="en-US" w:eastAsia="zh-CN" w:bidi="ar"/>
              </w:rPr>
              <w:t>决策</w:t>
            </w:r>
          </w:p>
        </w:tc>
        <w:tc>
          <w:tcPr>
            <w:tcW w:w="2072"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10</w:t>
            </w:r>
          </w:p>
        </w:tc>
        <w:tc>
          <w:tcPr>
            <w:tcW w:w="2075"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9.67</w:t>
            </w:r>
          </w:p>
        </w:tc>
        <w:tc>
          <w:tcPr>
            <w:tcW w:w="2077"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96.7%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71" w:type="dxa"/>
            <w:vAlign w:val="center"/>
          </w:tcPr>
          <w:p>
            <w:pPr>
              <w:keepNext w:val="0"/>
              <w:keepLines w:val="0"/>
              <w:pageBreakBefore w:val="0"/>
              <w:widowControl w:val="0"/>
              <w:kinsoku/>
              <w:wordWrap/>
              <w:overflowPunct/>
              <w:topLinePunct w:val="0"/>
              <w:autoSpaceDE/>
              <w:autoSpaceDN/>
              <w:bidi w:val="0"/>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过程</w:t>
            </w:r>
          </w:p>
        </w:tc>
        <w:tc>
          <w:tcPr>
            <w:tcW w:w="2072"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color w:val="auto"/>
                <w:kern w:val="0"/>
                <w:sz w:val="24"/>
                <w:highlight w:val="none"/>
                <w:lang w:val="en-US" w:eastAsia="zh-CN" w:bidi="ar"/>
              </w:rPr>
              <w:t>20</w:t>
            </w:r>
          </w:p>
        </w:tc>
        <w:tc>
          <w:tcPr>
            <w:tcW w:w="2075"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color w:val="auto"/>
                <w:kern w:val="0"/>
                <w:sz w:val="24"/>
                <w:highlight w:val="none"/>
                <w:lang w:val="en-US" w:eastAsia="zh-CN" w:bidi="ar"/>
              </w:rPr>
              <w:t>15.42</w:t>
            </w:r>
          </w:p>
        </w:tc>
        <w:tc>
          <w:tcPr>
            <w:tcW w:w="2077"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color w:val="auto"/>
                <w:kern w:val="0"/>
                <w:sz w:val="24"/>
                <w:highlight w:val="none"/>
                <w:lang w:val="en-US" w:eastAsia="zh-CN" w:bidi="ar"/>
              </w:rPr>
              <w:t>77.1%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71" w:type="dxa"/>
            <w:vAlign w:val="center"/>
          </w:tcPr>
          <w:p>
            <w:pPr>
              <w:keepNext w:val="0"/>
              <w:keepLines w:val="0"/>
              <w:pageBreakBefore w:val="0"/>
              <w:widowControl w:val="0"/>
              <w:kinsoku/>
              <w:wordWrap/>
              <w:overflowPunct/>
              <w:topLinePunct w:val="0"/>
              <w:autoSpaceDE/>
              <w:autoSpaceDN/>
              <w:bidi w:val="0"/>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产出</w:t>
            </w:r>
          </w:p>
        </w:tc>
        <w:tc>
          <w:tcPr>
            <w:tcW w:w="2072"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color w:val="auto"/>
                <w:kern w:val="0"/>
                <w:sz w:val="24"/>
                <w:highlight w:val="none"/>
                <w:lang w:val="en-US" w:eastAsia="zh-CN" w:bidi="ar"/>
              </w:rPr>
              <w:t>30</w:t>
            </w:r>
          </w:p>
        </w:tc>
        <w:tc>
          <w:tcPr>
            <w:tcW w:w="2075"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color w:val="auto"/>
                <w:kern w:val="0"/>
                <w:sz w:val="24"/>
                <w:highlight w:val="none"/>
                <w:lang w:val="en-US" w:eastAsia="zh-CN" w:bidi="ar"/>
              </w:rPr>
              <w:t>23.68</w:t>
            </w:r>
          </w:p>
        </w:tc>
        <w:tc>
          <w:tcPr>
            <w:tcW w:w="2077"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color w:val="auto"/>
                <w:kern w:val="0"/>
                <w:sz w:val="24"/>
                <w:highlight w:val="none"/>
                <w:lang w:val="en-US" w:eastAsia="zh-CN" w:bidi="ar"/>
              </w:rPr>
              <w:t>78.93%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71" w:type="dxa"/>
            <w:vAlign w:val="center"/>
          </w:tcPr>
          <w:p>
            <w:pPr>
              <w:keepNext w:val="0"/>
              <w:keepLines w:val="0"/>
              <w:pageBreakBefore w:val="0"/>
              <w:widowControl w:val="0"/>
              <w:kinsoku/>
              <w:wordWrap/>
              <w:overflowPunct/>
              <w:topLinePunct w:val="0"/>
              <w:autoSpaceDE/>
              <w:autoSpaceDN/>
              <w:bidi w:val="0"/>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效益</w:t>
            </w:r>
          </w:p>
        </w:tc>
        <w:tc>
          <w:tcPr>
            <w:tcW w:w="2072"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color w:val="auto"/>
                <w:kern w:val="0"/>
                <w:sz w:val="24"/>
                <w:highlight w:val="none"/>
                <w:lang w:val="en-US" w:eastAsia="zh-CN" w:bidi="ar"/>
              </w:rPr>
              <w:t>40</w:t>
            </w:r>
          </w:p>
        </w:tc>
        <w:tc>
          <w:tcPr>
            <w:tcW w:w="2075"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color w:val="auto"/>
                <w:kern w:val="0"/>
                <w:sz w:val="24"/>
                <w:highlight w:val="none"/>
                <w:u w:val="none"/>
                <w:lang w:val="en-US" w:eastAsia="zh-CN" w:bidi="ar"/>
              </w:rPr>
            </w:pPr>
            <w:r>
              <w:rPr>
                <w:rFonts w:hint="eastAsia" w:ascii="仿宋_GB2312" w:hAnsi="仿宋_GB2312" w:eastAsia="仿宋_GB2312" w:cs="仿宋_GB2312"/>
                <w:color w:val="auto"/>
                <w:kern w:val="0"/>
                <w:sz w:val="24"/>
                <w:highlight w:val="none"/>
                <w:u w:val="none"/>
                <w:lang w:val="en-US" w:eastAsia="zh-CN" w:bidi="ar"/>
              </w:rPr>
              <w:t>32.03</w:t>
            </w:r>
          </w:p>
        </w:tc>
        <w:tc>
          <w:tcPr>
            <w:tcW w:w="2077"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color w:val="auto"/>
                <w:kern w:val="0"/>
                <w:sz w:val="24"/>
                <w:highlight w:val="none"/>
                <w:u w:val="none"/>
                <w:lang w:val="en-US" w:eastAsia="zh-CN" w:bidi="ar"/>
              </w:rPr>
            </w:pPr>
            <w:r>
              <w:rPr>
                <w:rFonts w:hint="eastAsia" w:ascii="仿宋_GB2312" w:hAnsi="仿宋_GB2312" w:eastAsia="仿宋_GB2312" w:cs="仿宋_GB2312"/>
                <w:color w:val="auto"/>
                <w:kern w:val="0"/>
                <w:sz w:val="24"/>
                <w:highlight w:val="none"/>
                <w:u w:val="none"/>
                <w:lang w:val="en-US" w:eastAsia="zh-CN" w:bidi="ar"/>
              </w:rPr>
              <w:t>80.08%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71" w:type="dxa"/>
            <w:vAlign w:val="center"/>
          </w:tcPr>
          <w:p>
            <w:pPr>
              <w:keepNext w:val="0"/>
              <w:keepLines w:val="0"/>
              <w:pageBreakBefore w:val="0"/>
              <w:widowControl w:val="0"/>
              <w:kinsoku/>
              <w:wordWrap/>
              <w:overflowPunct/>
              <w:topLinePunct w:val="0"/>
              <w:autoSpaceDE/>
              <w:autoSpaceDN/>
              <w:bidi w:val="0"/>
              <w:jc w:val="center"/>
              <w:textAlignment w:val="center"/>
              <w:rPr>
                <w:rFonts w:hint="eastAsia"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合计</w:t>
            </w:r>
          </w:p>
        </w:tc>
        <w:tc>
          <w:tcPr>
            <w:tcW w:w="2072"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100</w:t>
            </w:r>
          </w:p>
        </w:tc>
        <w:tc>
          <w:tcPr>
            <w:tcW w:w="2075"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b/>
                <w:bCs/>
                <w:color w:val="auto"/>
                <w:kern w:val="0"/>
                <w:sz w:val="24"/>
                <w:highlight w:val="none"/>
                <w:u w:val="none"/>
                <w:lang w:val="en-US" w:eastAsia="zh-CN" w:bidi="ar"/>
              </w:rPr>
            </w:pPr>
            <w:r>
              <w:rPr>
                <w:rFonts w:hint="eastAsia" w:ascii="仿宋_GB2312" w:hAnsi="仿宋_GB2312" w:eastAsia="仿宋_GB2312" w:cs="仿宋_GB2312"/>
                <w:b/>
                <w:bCs/>
                <w:color w:val="auto"/>
                <w:kern w:val="0"/>
                <w:sz w:val="24"/>
                <w:highlight w:val="none"/>
                <w:u w:val="none"/>
                <w:lang w:val="en-US" w:eastAsia="zh-CN" w:bidi="ar"/>
              </w:rPr>
              <w:t>80.8</w:t>
            </w:r>
          </w:p>
        </w:tc>
        <w:tc>
          <w:tcPr>
            <w:tcW w:w="2077" w:type="dxa"/>
            <w:vAlign w:val="center"/>
          </w:tcPr>
          <w:p>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b/>
                <w:bCs/>
                <w:color w:val="auto"/>
                <w:kern w:val="0"/>
                <w:sz w:val="24"/>
                <w:highlight w:val="none"/>
                <w:u w:val="none"/>
                <w:lang w:val="en-US" w:eastAsia="zh-CN" w:bidi="ar"/>
              </w:rPr>
            </w:pPr>
            <w:r>
              <w:rPr>
                <w:rFonts w:hint="eastAsia" w:ascii="仿宋_GB2312" w:hAnsi="仿宋_GB2312" w:eastAsia="仿宋_GB2312" w:cs="仿宋_GB2312"/>
                <w:b/>
                <w:bCs/>
                <w:color w:val="auto"/>
                <w:kern w:val="0"/>
                <w:sz w:val="24"/>
                <w:highlight w:val="none"/>
                <w:u w:val="none"/>
                <w:lang w:val="en-US" w:eastAsia="zh-CN" w:bidi="ar"/>
              </w:rPr>
              <w:t>80.8%</w:t>
            </w:r>
          </w:p>
        </w:tc>
      </w:tr>
    </w:tbl>
    <w:p>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eastAsia="楷体_GB2312"/>
          <w:bCs w:val="0"/>
          <w:color w:val="auto"/>
          <w:sz w:val="32"/>
          <w:szCs w:val="40"/>
          <w:highlight w:val="none"/>
          <w:lang w:val="en-US"/>
        </w:rPr>
      </w:pPr>
      <w:bookmarkStart w:id="12" w:name="_Toc12859"/>
      <w:r>
        <w:rPr>
          <w:rFonts w:hint="eastAsia" w:eastAsia="楷体_GB2312"/>
          <w:bCs w:val="0"/>
          <w:color w:val="auto"/>
          <w:sz w:val="32"/>
          <w:szCs w:val="40"/>
          <w:highlight w:val="none"/>
          <w:lang w:val="en-US"/>
        </w:rPr>
        <w:t>（二）指标分析</w:t>
      </w:r>
      <w:bookmarkEnd w:id="12"/>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1.决策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指标分值10分，评价得分</w:t>
      </w:r>
      <w:r>
        <w:rPr>
          <w:rFonts w:hint="eastAsia" w:ascii="仿宋_GB2312" w:hAnsi="仿宋_GB2312" w:eastAsia="仿宋_GB2312" w:cs="仿宋_GB2312"/>
          <w:color w:val="auto"/>
          <w:sz w:val="32"/>
          <w:szCs w:val="40"/>
          <w:highlight w:val="none"/>
          <w:lang w:val="en-US" w:eastAsia="zh-CN"/>
        </w:rPr>
        <w:t>9.67</w:t>
      </w:r>
      <w:r>
        <w:rPr>
          <w:rFonts w:hint="eastAsia" w:ascii="仿宋_GB2312" w:hAnsi="仿宋_GB2312" w:eastAsia="仿宋_GB2312" w:cs="仿宋_GB2312"/>
          <w:color w:val="auto"/>
          <w:sz w:val="32"/>
          <w:szCs w:val="40"/>
          <w:highlight w:val="none"/>
        </w:rPr>
        <w:t>分，得分率</w:t>
      </w:r>
      <w:r>
        <w:rPr>
          <w:rFonts w:hint="eastAsia" w:ascii="仿宋_GB2312" w:hAnsi="仿宋_GB2312" w:eastAsia="仿宋_GB2312" w:cs="仿宋_GB2312"/>
          <w:color w:val="auto"/>
          <w:sz w:val="32"/>
          <w:szCs w:val="40"/>
          <w:highlight w:val="none"/>
          <w:lang w:val="en-US" w:eastAsia="zh-CN"/>
        </w:rPr>
        <w:t>96.7%</w:t>
      </w:r>
      <w:r>
        <w:rPr>
          <w:rFonts w:hint="eastAsia" w:ascii="仿宋_GB2312" w:hAnsi="仿宋_GB2312" w:eastAsia="仿宋_GB2312" w:cs="仿宋_GB2312"/>
          <w:color w:val="auto"/>
          <w:sz w:val="32"/>
          <w:szCs w:val="40"/>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青岛市出台高标准农田建设十年规划、项目规范化管理、工程长效管护系列文件，印发2024年、2025年高标准农田建设项目实施方案并组织实施。根据高标准农田新建、改造提升面积和亩均补助标准测算、安排2025年度项目预算27545.5万元。评价发现，部分区（市）存在先编报项目实施方案，后征询村民意见的情况，与相关规定不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rPr>
      </w:pPr>
      <w:r>
        <w:rPr>
          <w:rFonts w:hint="eastAsia" w:ascii="仿宋_GB2312" w:hAnsi="仿宋_GB2312" w:eastAsia="仿宋_GB2312" w:cs="仿宋_GB2312"/>
          <w:b/>
          <w:bCs/>
          <w:color w:val="auto"/>
          <w:sz w:val="32"/>
          <w:szCs w:val="40"/>
          <w:highlight w:val="none"/>
          <w:lang w:val="en-US" w:eastAsia="zh-CN"/>
        </w:rPr>
        <w:t>2</w:t>
      </w:r>
      <w:r>
        <w:rPr>
          <w:rFonts w:hint="eastAsia" w:ascii="仿宋_GB2312" w:hAnsi="仿宋_GB2312" w:eastAsia="仿宋_GB2312" w:cs="仿宋_GB2312"/>
          <w:b/>
          <w:bCs/>
          <w:color w:val="auto"/>
          <w:sz w:val="32"/>
          <w:szCs w:val="40"/>
          <w:highlight w:val="none"/>
        </w:rPr>
        <w:t>.过程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指标分值</w:t>
      </w:r>
      <w:r>
        <w:rPr>
          <w:rFonts w:hint="eastAsia" w:ascii="仿宋_GB2312" w:hAnsi="仿宋_GB2312" w:eastAsia="仿宋_GB2312" w:cs="仿宋_GB2312"/>
          <w:color w:val="auto"/>
          <w:sz w:val="32"/>
          <w:szCs w:val="40"/>
          <w:highlight w:val="none"/>
          <w:lang w:val="en-US" w:eastAsia="zh-CN"/>
        </w:rPr>
        <w:t>20</w:t>
      </w:r>
      <w:r>
        <w:rPr>
          <w:rFonts w:hint="eastAsia" w:ascii="仿宋_GB2312" w:hAnsi="仿宋_GB2312" w:eastAsia="仿宋_GB2312" w:cs="仿宋_GB2312"/>
          <w:color w:val="auto"/>
          <w:sz w:val="32"/>
          <w:szCs w:val="40"/>
          <w:highlight w:val="none"/>
        </w:rPr>
        <w:t>分，评价得分</w:t>
      </w:r>
      <w:r>
        <w:rPr>
          <w:rFonts w:hint="eastAsia" w:ascii="仿宋_GB2312" w:hAnsi="仿宋_GB2312" w:eastAsia="仿宋_GB2312" w:cs="仿宋_GB2312"/>
          <w:color w:val="auto"/>
          <w:sz w:val="32"/>
          <w:szCs w:val="40"/>
          <w:highlight w:val="none"/>
          <w:lang w:val="en-US" w:eastAsia="zh-CN"/>
        </w:rPr>
        <w:t>15.42</w:t>
      </w:r>
      <w:r>
        <w:rPr>
          <w:rFonts w:hint="eastAsia" w:ascii="仿宋_GB2312" w:hAnsi="仿宋_GB2312" w:eastAsia="仿宋_GB2312" w:cs="仿宋_GB2312"/>
          <w:color w:val="auto"/>
          <w:sz w:val="32"/>
          <w:szCs w:val="40"/>
          <w:highlight w:val="none"/>
        </w:rPr>
        <w:t>分，得分率</w:t>
      </w:r>
      <w:r>
        <w:rPr>
          <w:rFonts w:hint="eastAsia" w:ascii="仿宋_GB2312" w:hAnsi="仿宋_GB2312" w:eastAsia="仿宋_GB2312" w:cs="仿宋_GB2312"/>
          <w:color w:val="auto"/>
          <w:sz w:val="32"/>
          <w:szCs w:val="40"/>
          <w:highlight w:val="none"/>
          <w:lang w:val="en-US" w:eastAsia="zh-CN"/>
        </w:rPr>
        <w:t>77.1%</w:t>
      </w:r>
      <w:r>
        <w:rPr>
          <w:rFonts w:hint="eastAsia" w:ascii="仿宋_GB2312" w:hAnsi="仿宋_GB2312" w:eastAsia="仿宋_GB2312" w:cs="仿宋_GB2312"/>
          <w:color w:val="auto"/>
          <w:sz w:val="32"/>
          <w:szCs w:val="40"/>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资金管理方面，2025年度青岛市高标准农田建设补助资金预算金额27545.5万元，截至2025年12月31日，实际执行2894.82万元，预算执行率10.51%；截至2026年6月23日，实际执行6429.22万元，预算执行率23.34%。部分区（市）存在未按合同约定拨付项目工程款的问题。组织实施方面，各区（市）制定了高标准农田建设实施方案并组织实施，但在项目调整、合同签订与公示、竣工验收、资产移交、上图入库、绩效考评等方面存在规范性不足的问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rPr>
      </w:pPr>
      <w:r>
        <w:rPr>
          <w:rFonts w:hint="eastAsia" w:ascii="仿宋_GB2312" w:hAnsi="仿宋_GB2312" w:eastAsia="仿宋_GB2312" w:cs="仿宋_GB2312"/>
          <w:b/>
          <w:bCs/>
          <w:color w:val="auto"/>
          <w:sz w:val="32"/>
          <w:szCs w:val="40"/>
          <w:highlight w:val="none"/>
          <w:lang w:val="en-US" w:eastAsia="zh-CN"/>
        </w:rPr>
        <w:t>3.</w:t>
      </w:r>
      <w:r>
        <w:rPr>
          <w:rFonts w:hint="eastAsia" w:ascii="仿宋_GB2312" w:hAnsi="仿宋_GB2312" w:eastAsia="仿宋_GB2312" w:cs="仿宋_GB2312"/>
          <w:b/>
          <w:bCs/>
          <w:color w:val="auto"/>
          <w:sz w:val="32"/>
          <w:szCs w:val="40"/>
          <w:highlight w:val="none"/>
        </w:rPr>
        <w:t>产出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指标分值</w:t>
      </w:r>
      <w:r>
        <w:rPr>
          <w:rFonts w:hint="eastAsia" w:ascii="仿宋_GB2312" w:hAnsi="仿宋_GB2312" w:eastAsia="仿宋_GB2312" w:cs="仿宋_GB2312"/>
          <w:color w:val="auto"/>
          <w:sz w:val="32"/>
          <w:szCs w:val="40"/>
          <w:highlight w:val="none"/>
          <w:lang w:val="en-US" w:eastAsia="zh-CN"/>
        </w:rPr>
        <w:t>30</w:t>
      </w:r>
      <w:r>
        <w:rPr>
          <w:rFonts w:hint="eastAsia" w:ascii="仿宋_GB2312" w:hAnsi="仿宋_GB2312" w:eastAsia="仿宋_GB2312" w:cs="仿宋_GB2312"/>
          <w:color w:val="auto"/>
          <w:sz w:val="32"/>
          <w:szCs w:val="40"/>
          <w:highlight w:val="none"/>
        </w:rPr>
        <w:t>分，评价得分</w:t>
      </w:r>
      <w:r>
        <w:rPr>
          <w:rFonts w:hint="eastAsia" w:ascii="仿宋_GB2312" w:hAnsi="仿宋_GB2312" w:eastAsia="仿宋_GB2312" w:cs="仿宋_GB2312"/>
          <w:color w:val="auto"/>
          <w:sz w:val="32"/>
          <w:szCs w:val="40"/>
          <w:highlight w:val="none"/>
          <w:lang w:val="en-US" w:eastAsia="zh-CN"/>
        </w:rPr>
        <w:t>23.68</w:t>
      </w:r>
      <w:r>
        <w:rPr>
          <w:rFonts w:hint="eastAsia" w:ascii="仿宋_GB2312" w:hAnsi="仿宋_GB2312" w:eastAsia="仿宋_GB2312" w:cs="仿宋_GB2312"/>
          <w:color w:val="auto"/>
          <w:sz w:val="32"/>
          <w:szCs w:val="40"/>
          <w:highlight w:val="none"/>
        </w:rPr>
        <w:t>分，得分率</w:t>
      </w:r>
      <w:r>
        <w:rPr>
          <w:rFonts w:hint="eastAsia" w:ascii="仿宋_GB2312" w:hAnsi="仿宋_GB2312" w:eastAsia="仿宋_GB2312" w:cs="仿宋_GB2312"/>
          <w:color w:val="auto"/>
          <w:sz w:val="32"/>
          <w:szCs w:val="40"/>
          <w:highlight w:val="none"/>
          <w:lang w:val="en-US" w:eastAsia="zh-CN"/>
        </w:rPr>
        <w:t>78.93%</w:t>
      </w:r>
      <w:r>
        <w:rPr>
          <w:rFonts w:hint="eastAsia" w:ascii="仿宋_GB2312" w:hAnsi="仿宋_GB2312" w:eastAsia="仿宋_GB2312" w:cs="仿宋_GB2312"/>
          <w:color w:val="auto"/>
          <w:sz w:val="32"/>
          <w:szCs w:val="40"/>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val="0"/>
          <w:color w:val="auto"/>
          <w:sz w:val="32"/>
          <w:szCs w:val="32"/>
          <w:highlight w:val="none"/>
          <w:lang w:val="en-US" w:eastAsia="zh-CN"/>
        </w:rPr>
      </w:pPr>
      <w:r>
        <w:rPr>
          <w:rFonts w:hint="eastAsia" w:ascii="仿宋_GB2312" w:hAnsi="仿宋_GB2312" w:eastAsia="仿宋_GB2312" w:cs="仿宋_GB2312"/>
          <w:bCs w:val="0"/>
          <w:color w:val="auto"/>
          <w:sz w:val="32"/>
          <w:szCs w:val="32"/>
          <w:highlight w:val="none"/>
          <w:lang w:val="en-US" w:eastAsia="zh-CN"/>
        </w:rPr>
        <w:t>区（市）开展高标准农田建设项目施工进度缓慢，竣工验收及财务决算迟滞。现场评价覆盖5个区（市）28个镇街169个村庄，发现工程质量存在道路裂缝或破损、排水沟渠淤堵、节水灌溉配套设施不完善、闸阀井盖混用雨水或污水井盖、构筑物破损和施工不规范等方面问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4.效益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指标分值</w:t>
      </w:r>
      <w:r>
        <w:rPr>
          <w:rFonts w:hint="eastAsia" w:ascii="仿宋_GB2312" w:hAnsi="仿宋_GB2312" w:eastAsia="仿宋_GB2312" w:cs="仿宋_GB2312"/>
          <w:color w:val="auto"/>
          <w:sz w:val="32"/>
          <w:szCs w:val="40"/>
          <w:highlight w:val="none"/>
          <w:lang w:val="en-US" w:eastAsia="zh-CN"/>
        </w:rPr>
        <w:t>40</w:t>
      </w:r>
      <w:r>
        <w:rPr>
          <w:rFonts w:hint="eastAsia" w:ascii="仿宋_GB2312" w:hAnsi="仿宋_GB2312" w:eastAsia="仿宋_GB2312" w:cs="仿宋_GB2312"/>
          <w:color w:val="auto"/>
          <w:sz w:val="32"/>
          <w:szCs w:val="40"/>
          <w:highlight w:val="none"/>
        </w:rPr>
        <w:t>分，评价得分</w:t>
      </w:r>
      <w:r>
        <w:rPr>
          <w:rFonts w:hint="eastAsia" w:ascii="仿宋_GB2312" w:hAnsi="仿宋_GB2312" w:eastAsia="仿宋_GB2312" w:cs="仿宋_GB2312"/>
          <w:color w:val="auto"/>
          <w:sz w:val="32"/>
          <w:szCs w:val="40"/>
          <w:highlight w:val="none"/>
          <w:lang w:val="en-US" w:eastAsia="zh-CN"/>
        </w:rPr>
        <w:t>32.03</w:t>
      </w:r>
      <w:r>
        <w:rPr>
          <w:rFonts w:hint="eastAsia" w:ascii="仿宋_GB2312" w:hAnsi="仿宋_GB2312" w:eastAsia="仿宋_GB2312" w:cs="仿宋_GB2312"/>
          <w:color w:val="auto"/>
          <w:sz w:val="32"/>
          <w:szCs w:val="40"/>
          <w:highlight w:val="none"/>
        </w:rPr>
        <w:t>分，得分率</w:t>
      </w:r>
      <w:r>
        <w:rPr>
          <w:rFonts w:hint="eastAsia" w:ascii="仿宋_GB2312" w:hAnsi="仿宋_GB2312" w:eastAsia="仿宋_GB2312" w:cs="仿宋_GB2312"/>
          <w:color w:val="auto"/>
          <w:sz w:val="32"/>
          <w:szCs w:val="40"/>
          <w:highlight w:val="none"/>
          <w:lang w:val="en-US" w:eastAsia="zh-CN"/>
        </w:rPr>
        <w:t>80.08%</w:t>
      </w:r>
      <w:r>
        <w:rPr>
          <w:rFonts w:hint="eastAsia" w:ascii="仿宋_GB2312" w:hAnsi="仿宋_GB2312" w:eastAsia="仿宋_GB2312" w:cs="仿宋_GB2312"/>
          <w:color w:val="auto"/>
          <w:sz w:val="32"/>
          <w:szCs w:val="40"/>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根据《山东省农业农村厅关于进一步加强高标准农田上图入库管理工作的通知》（鲁农建字〔2023〕14号）和《青岛市农田建设项目管理办法》规定，“上图入库分为申报、完工和竣工验收三个阶段，高标准农田建成面积以竣工验收阶段的上图入库数据为准”。上图入库数据显示，2024年青岛市完成新建高标准农田7.43万亩，改造提升5.64万亩；2025年完成新建高标准农田3.31万亩、改造提升5.70万亩。但截至目前，2024、2025年度项目均未通过市级竣工验收。个别区（市）设施管护不到位。个别区（市）存在高标准农田种植非粮食作物（如烟叶、美国冬青）的问题。田间道路通达率100%。各区（市）未提供亩均节水率、亩均节肥率、亩均节药率、灌溉水有效利用系数提高率、亩均增收节支额等指标完成情况的证明材料。</w:t>
      </w:r>
    </w:p>
    <w:p>
      <w:pPr>
        <w:pStyle w:val="2"/>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bCs w:val="0"/>
          <w:color w:val="auto"/>
          <w:kern w:val="2"/>
          <w:sz w:val="32"/>
          <w:szCs w:val="32"/>
          <w:highlight w:val="none"/>
          <w:lang w:val="en-US"/>
        </w:rPr>
      </w:pPr>
      <w:bookmarkStart w:id="13" w:name="_Toc24497"/>
      <w:r>
        <w:rPr>
          <w:rFonts w:hint="eastAsia"/>
          <w:bCs w:val="0"/>
          <w:color w:val="auto"/>
          <w:kern w:val="2"/>
          <w:sz w:val="32"/>
          <w:szCs w:val="32"/>
          <w:highlight w:val="none"/>
          <w:lang w:val="en-US" w:eastAsia="zh-CN"/>
        </w:rPr>
        <w:t>四</w:t>
      </w:r>
      <w:r>
        <w:rPr>
          <w:rFonts w:hint="eastAsia"/>
          <w:bCs w:val="0"/>
          <w:color w:val="auto"/>
          <w:kern w:val="2"/>
          <w:sz w:val="32"/>
          <w:szCs w:val="32"/>
          <w:highlight w:val="none"/>
          <w:lang w:val="en-US"/>
        </w:rPr>
        <w:t>、发现的问题及原因分析</w:t>
      </w:r>
      <w:bookmarkEnd w:id="13"/>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eastAsia" w:ascii="楷体_GB2312" w:hAnsi="楷体_GB2312" w:eastAsia="楷体_GB2312" w:cs="楷体_GB2312"/>
          <w:bCs w:val="0"/>
          <w:color w:val="auto"/>
          <w:sz w:val="32"/>
          <w:szCs w:val="40"/>
          <w:highlight w:val="none"/>
          <w:lang w:val="en-US" w:eastAsia="zh-CN"/>
        </w:rPr>
      </w:pPr>
      <w:r>
        <w:rPr>
          <w:rFonts w:hint="eastAsia" w:ascii="楷体_GB2312" w:hAnsi="楷体_GB2312" w:eastAsia="楷体_GB2312" w:cs="楷体_GB2312"/>
          <w:bCs w:val="0"/>
          <w:color w:val="auto"/>
          <w:sz w:val="32"/>
          <w:szCs w:val="40"/>
          <w:highlight w:val="none"/>
          <w:lang w:val="en-US" w:eastAsia="zh-CN"/>
        </w:rPr>
        <w:t>（一）项目施工进度缓慢，竣工验收及财务决算迟滞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各区（市）高标准农田建设项目存在施工进度缓慢，竣工验收组织不及时，以及后续工程结算、财务决算工作迟滞等问题，拉长项目资金拨付周期，影响项目目标落地和财政资金使用效益。具体情况如下：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1.西海岸新区：</w:t>
      </w:r>
      <w:r>
        <w:rPr>
          <w:rFonts w:hint="eastAsia" w:ascii="仿宋_GB2312" w:hAnsi="仿宋_GB2312" w:eastAsia="仿宋_GB2312" w:cs="仿宋_GB2312"/>
          <w:color w:val="auto"/>
          <w:sz w:val="32"/>
          <w:szCs w:val="40"/>
          <w:highlight w:val="none"/>
          <w:lang w:val="en-US" w:eastAsia="zh-CN"/>
        </w:rPr>
        <w:t>2024年、2025年项目均未按合同约定时间（2024年新建、改造提升项目分别为2025年1月13日、2月21日；2025年新建、改造提升项目均为2026年2月28日）完工。截至2026年6月23日，2024年新建项目实施进度为98%，改造提升项目已完成区（市）竣工验收，但未开展竣工结算审计和市级竣工验收；2025年新建项目、改造提升项目实施进度分别为74%、92%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2.即墨区：</w:t>
      </w:r>
      <w:r>
        <w:rPr>
          <w:rFonts w:hint="eastAsia" w:ascii="仿宋_GB2312" w:hAnsi="仿宋_GB2312" w:eastAsia="仿宋_GB2312" w:cs="仿宋_GB2312"/>
          <w:color w:val="auto"/>
          <w:sz w:val="32"/>
          <w:szCs w:val="40"/>
          <w:highlight w:val="none"/>
          <w:lang w:val="en-US" w:eastAsia="zh-CN"/>
        </w:rPr>
        <w:t>2024年、2025年项目均未按合同约定时间（2025年6月7日、2026年5月30日）完工。截至2026年7月1日，2024年项目已完工，但未开展竣工验收、结算审计；2025年项目实施进度为39.07%。</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3.胶州市：</w:t>
      </w:r>
      <w:r>
        <w:rPr>
          <w:rFonts w:hint="eastAsia" w:ascii="仿宋_GB2312" w:hAnsi="仿宋_GB2312" w:eastAsia="仿宋_GB2312" w:cs="仿宋_GB2312"/>
          <w:color w:val="auto"/>
          <w:sz w:val="32"/>
          <w:szCs w:val="40"/>
          <w:highlight w:val="none"/>
          <w:lang w:val="en-US" w:eastAsia="zh-CN"/>
        </w:rPr>
        <w:t>2024年、2025年项目均未按合同约定时间（2024年5个标段均为2024年12月27日；2025年5个标段分别为2026年4月1日、3月22日、3月26日、3月26日、3月27日）完工。截至2026年6月26日，2024年新建项目、改造提升项目已完工并完成区（市）竣工验收，但未开展竣工结算审计和市级竣工验收；2025年新建项目、改造提升项目5个标段实施进度分别为79%、74.3%、54%、37%、80%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4.平度市：</w:t>
      </w:r>
      <w:r>
        <w:rPr>
          <w:rFonts w:hint="eastAsia" w:ascii="仿宋_GB2312" w:hAnsi="仿宋_GB2312" w:eastAsia="仿宋_GB2312" w:cs="仿宋_GB2312"/>
          <w:color w:val="auto"/>
          <w:sz w:val="32"/>
          <w:szCs w:val="40"/>
          <w:highlight w:val="none"/>
          <w:lang w:val="en-US" w:eastAsia="zh-CN"/>
        </w:rPr>
        <w:t>2024年项目未按合同约定时间（2025年10月31日）完工。截至2026年7月6日，项目实施进度为84.5%。</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5.莱西市：</w:t>
      </w:r>
      <w:r>
        <w:rPr>
          <w:rFonts w:hint="eastAsia" w:ascii="仿宋_GB2312" w:hAnsi="仿宋_GB2312" w:eastAsia="仿宋_GB2312" w:cs="仿宋_GB2312"/>
          <w:color w:val="auto"/>
          <w:sz w:val="32"/>
          <w:szCs w:val="40"/>
          <w:highlight w:val="none"/>
          <w:lang w:val="en-US" w:eastAsia="zh-CN"/>
        </w:rPr>
        <w:t>2024年2个标段项目在合同约定时间（2025年4月29日）内分别于2024年12月25日、2025年4月29日完工，且完成区（市）竣工验收。截至评价日，未开展竣工结算审计和市级竣工验收。</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eastAsia" w:ascii="楷体_GB2312" w:hAnsi="楷体_GB2312" w:eastAsia="楷体_GB2312" w:cs="楷体_GB2312"/>
          <w:bCs w:val="0"/>
          <w:color w:val="auto"/>
          <w:sz w:val="32"/>
          <w:szCs w:val="40"/>
          <w:highlight w:val="none"/>
          <w:lang w:val="en-US" w:eastAsia="zh-CN"/>
        </w:rPr>
      </w:pPr>
      <w:r>
        <w:rPr>
          <w:rFonts w:hint="eastAsia" w:ascii="楷体_GB2312" w:hAnsi="楷体_GB2312" w:eastAsia="楷体_GB2312" w:cs="楷体_GB2312"/>
          <w:bCs w:val="0"/>
          <w:color w:val="auto"/>
          <w:sz w:val="32"/>
          <w:szCs w:val="40"/>
          <w:highlight w:val="none"/>
          <w:lang w:val="en-US" w:eastAsia="zh-CN"/>
        </w:rPr>
        <w:t>（二）未按合同约定条件拨付项目工程款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部分区（市）未严格按照施工合同约定的进度节点、支付条件拨付项目工程款，未严格执行资金拨付程序，合同履约管控约束力不足。具体情况如下：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kern w:val="2"/>
          <w:sz w:val="32"/>
          <w:szCs w:val="40"/>
          <w:highlight w:val="none"/>
          <w:lang w:val="en-US" w:eastAsia="zh-CN" w:bidi="ar-SA"/>
        </w:rPr>
        <w:t>1.</w:t>
      </w:r>
      <w:r>
        <w:rPr>
          <w:rFonts w:hint="eastAsia" w:ascii="仿宋_GB2312" w:hAnsi="仿宋_GB2312" w:eastAsia="仿宋_GB2312" w:cs="仿宋_GB2312"/>
          <w:b/>
          <w:bCs/>
          <w:color w:val="auto"/>
          <w:sz w:val="32"/>
          <w:szCs w:val="40"/>
          <w:highlight w:val="none"/>
          <w:lang w:val="en-US" w:eastAsia="zh-CN"/>
        </w:rPr>
        <w:t>胶州市：</w:t>
      </w:r>
      <w:r>
        <w:rPr>
          <w:rFonts w:hint="eastAsia" w:ascii="仿宋_GB2312" w:hAnsi="仿宋_GB2312" w:eastAsia="仿宋_GB2312" w:cs="仿宋_GB2312"/>
          <w:color w:val="auto"/>
          <w:sz w:val="32"/>
          <w:szCs w:val="40"/>
          <w:highlight w:val="none"/>
          <w:lang w:val="en-US" w:eastAsia="zh-CN"/>
        </w:rPr>
        <w:t>2024年度高标准农田建设项目工程款拨付进度超出合同约定比例。施工合同约定，“工程开工后拨付工程合同总额的30%预付款，预付的工程款在工程进度款中进行抵扣，工程施工过程中按工程进度拨款，工程竣工后拨付至已完工程造价总额的70%，竣工验收后且审计结束后拨付至工程审定总价的97%”。截至2025年12月31日，在工程已完成区（市）竣工验收、未完成结算审计和市级竣工验收的情况下，项目付款超出70%的限额。胶州市农业农村局已于2026年4月3日将超进度付款50.96万元交回财政。</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2.平度市：</w:t>
      </w:r>
      <w:r>
        <w:rPr>
          <w:rFonts w:hint="eastAsia" w:ascii="仿宋_GB2312" w:hAnsi="仿宋_GB2312" w:eastAsia="仿宋_GB2312" w:cs="仿宋_GB2312"/>
          <w:color w:val="auto"/>
          <w:sz w:val="32"/>
          <w:szCs w:val="40"/>
          <w:highlight w:val="none"/>
          <w:lang w:val="en-US" w:eastAsia="zh-CN"/>
        </w:rPr>
        <w:t>2024年度高标准农田建设项目未按合同约定条件付款。施工合同约定，“开工后预付合同总金额的30%，工程进度超过70%拨付至合同金额的50%，工程竣工验收合格后拨付至合同金额的90%，竣工结算审计后拨付至审计金额的97%”。由平度市农业农村局通过国库集中支付方式将资金拨付至平度市农投润泽投资开发有限公司（法人单位），再由该公司拨付给施工单位。评价发现，</w:t>
      </w:r>
      <w:r>
        <w:rPr>
          <w:rFonts w:hint="eastAsia" w:ascii="仿宋_GB2312" w:hAnsi="仿宋_GB2312" w:eastAsia="仿宋_GB2312" w:cs="仿宋_GB2312"/>
          <w:b/>
          <w:bCs/>
          <w:color w:val="auto"/>
          <w:sz w:val="32"/>
          <w:szCs w:val="40"/>
          <w:highlight w:val="none"/>
          <w:lang w:val="en-US" w:eastAsia="zh-CN"/>
        </w:rPr>
        <w:t>一是</w:t>
      </w:r>
      <w:r>
        <w:rPr>
          <w:rFonts w:hint="eastAsia" w:ascii="仿宋_GB2312" w:hAnsi="仿宋_GB2312" w:eastAsia="仿宋_GB2312" w:cs="仿宋_GB2312"/>
          <w:color w:val="auto"/>
          <w:sz w:val="32"/>
          <w:szCs w:val="40"/>
          <w:highlight w:val="none"/>
          <w:lang w:val="en-US" w:eastAsia="zh-CN"/>
        </w:rPr>
        <w:t>未及时足额拨付预付款。项目于2024年11月5日开工，2025年6月4日平度市农业农村局向平度市农投润泽投资开发有限公司拨付预付款100万元，6月9日该公司向施工单位全额支付，预付款拨付比例仅为0.76%，未达30%比例要求。2026年4月21日平度市农投润泽投资开发有限公司向施工单位支付剩余预付款。</w:t>
      </w:r>
      <w:r>
        <w:rPr>
          <w:rFonts w:hint="eastAsia" w:ascii="仿宋_GB2312" w:hAnsi="仿宋_GB2312" w:eastAsia="仿宋_GB2312" w:cs="仿宋_GB2312"/>
          <w:b/>
          <w:bCs/>
          <w:color w:val="auto"/>
          <w:sz w:val="32"/>
          <w:szCs w:val="40"/>
          <w:highlight w:val="none"/>
          <w:lang w:val="en-US" w:eastAsia="zh-CN"/>
        </w:rPr>
        <w:t>二是</w:t>
      </w:r>
      <w:r>
        <w:rPr>
          <w:rFonts w:hint="eastAsia" w:ascii="仿宋_GB2312" w:hAnsi="仿宋_GB2312" w:eastAsia="仿宋_GB2312" w:cs="仿宋_GB2312"/>
          <w:color w:val="auto"/>
          <w:sz w:val="32"/>
          <w:szCs w:val="40"/>
          <w:highlight w:val="none"/>
          <w:lang w:val="en-US" w:eastAsia="zh-CN"/>
        </w:rPr>
        <w:t>超进度拨付工程款。截至2025年12月31日，工程进度未达70%，但平度市农业农村局向平度市农投润泽投资开发有限公司累计拨付项目金额已达合同金额的31.68%，超出30%的限额。平度市农业农村局已于2026年3月12日将超进度拨款219.65万元交回财政。</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3.莱西市：</w:t>
      </w:r>
      <w:r>
        <w:rPr>
          <w:rFonts w:hint="eastAsia" w:ascii="仿宋_GB2312" w:hAnsi="仿宋_GB2312" w:eastAsia="仿宋_GB2312" w:cs="仿宋_GB2312"/>
          <w:color w:val="auto"/>
          <w:sz w:val="32"/>
          <w:szCs w:val="40"/>
          <w:highlight w:val="none"/>
          <w:lang w:val="en-US" w:eastAsia="zh-CN"/>
        </w:rPr>
        <w:t>2024年度高标准农田建设项目超进度拨付工程款。1标段施工合同约定，“按工程进度付款，视财政资金拨付情况，通过县级验收后付至合同金额的80%，通过青岛市级验收后付至结算审核金额的97%”。截至2025年12月31日，1标段工程已完成区（市）竣工验收、未完成市级竣工验收，但项目付款741万元已达合同金额的90.72%，超出80%的限额。</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Theme="minorEastAsia"/>
          <w:color w:val="auto"/>
          <w:highlight w:val="none"/>
          <w:lang w:eastAsia="zh-CN"/>
        </w:rPr>
      </w:pPr>
      <w:r>
        <w:rPr>
          <w:rFonts w:hint="eastAsia" w:ascii="仿宋_GB2312" w:hAnsi="仿宋_GB2312" w:eastAsia="仿宋_GB2312" w:cs="仿宋_GB2312"/>
          <w:b/>
          <w:bCs/>
          <w:color w:val="auto"/>
          <w:sz w:val="32"/>
          <w:szCs w:val="40"/>
          <w:highlight w:val="none"/>
          <w:lang w:val="en-US" w:eastAsia="zh-CN"/>
        </w:rPr>
        <w:t>4.即墨区：</w:t>
      </w:r>
      <w:r>
        <w:rPr>
          <w:rFonts w:hint="eastAsia" w:ascii="仿宋_GB2312" w:hAnsi="仿宋_GB2312" w:eastAsia="仿宋_GB2312" w:cs="仿宋_GB2312"/>
          <w:color w:val="auto"/>
          <w:sz w:val="32"/>
          <w:szCs w:val="40"/>
          <w:highlight w:val="none"/>
          <w:lang w:val="en-US" w:eastAsia="zh-CN"/>
        </w:rPr>
        <w:t>未按时足额拨付2025年度高标准农田建设项目工程预付款。施工合同约定，“工程开工时拨付工程合同价10%的预付款”。该项目于2025年11月24日开工，合同金额为6523.9954万元，截至2025年12月30日拨付施工单位290万元，拨付比例为4.45%。</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eastAsia" w:ascii="Times New Roman" w:hAnsi="Times New Roman" w:eastAsia="楷体_GB2312" w:cs="Times New Roman"/>
          <w:bCs w:val="0"/>
          <w:color w:val="auto"/>
          <w:sz w:val="32"/>
          <w:szCs w:val="40"/>
          <w:highlight w:val="none"/>
          <w:lang w:val="en-US" w:eastAsia="zh-CN"/>
        </w:rPr>
      </w:pPr>
      <w:r>
        <w:rPr>
          <w:rFonts w:hint="eastAsia" w:ascii="Times New Roman" w:hAnsi="Times New Roman" w:eastAsia="楷体_GB2312" w:cs="Times New Roman"/>
          <w:bCs w:val="0"/>
          <w:color w:val="auto"/>
          <w:sz w:val="32"/>
          <w:szCs w:val="40"/>
          <w:highlight w:val="none"/>
          <w:lang w:val="en-US"/>
        </w:rPr>
        <w:t>（</w:t>
      </w:r>
      <w:r>
        <w:rPr>
          <w:rFonts w:hint="eastAsia" w:ascii="Times New Roman" w:hAnsi="Times New Roman" w:eastAsia="楷体_GB2312" w:cs="Times New Roman"/>
          <w:bCs w:val="0"/>
          <w:color w:val="auto"/>
          <w:sz w:val="32"/>
          <w:szCs w:val="40"/>
          <w:highlight w:val="none"/>
          <w:lang w:val="en-US" w:eastAsia="zh-CN"/>
        </w:rPr>
        <w:t>三</w:t>
      </w:r>
      <w:r>
        <w:rPr>
          <w:rFonts w:hint="eastAsia" w:ascii="Times New Roman" w:hAnsi="Times New Roman" w:eastAsia="楷体_GB2312" w:cs="Times New Roman"/>
          <w:bCs w:val="0"/>
          <w:color w:val="auto"/>
          <w:sz w:val="32"/>
          <w:szCs w:val="40"/>
          <w:highlight w:val="none"/>
          <w:lang w:val="en-US"/>
        </w:rPr>
        <w:t>）</w:t>
      </w:r>
      <w:r>
        <w:rPr>
          <w:rFonts w:hint="eastAsia" w:ascii="Times New Roman" w:hAnsi="Times New Roman" w:eastAsia="楷体_GB2312" w:cs="Times New Roman"/>
          <w:bCs w:val="0"/>
          <w:color w:val="auto"/>
          <w:sz w:val="32"/>
          <w:szCs w:val="40"/>
          <w:highlight w:val="none"/>
          <w:lang w:val="en-US" w:eastAsia="zh-CN"/>
        </w:rPr>
        <w:t>项目实施规范性有待加强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1.个别区（市）未制定农田建设项目管理实施细则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根据《青岛市农田建设项目管理办法》（青农规〔2020〕1号）、《青岛市农田建设项目管理办法》（青农规〔2025〕1号），“区（市）农业农村部门应根据本办法，结合当地实际情况，制定具体实施细则，报市农业农村局备案”。平度市农业农村局未制定农田建设项目管理实施细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2.区（市）项目实施方案编制、报审规范性有待加强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一是部分区（市）存在先编报实施方案、后征询群众意见的问题。</w:t>
      </w:r>
      <w:r>
        <w:rPr>
          <w:rFonts w:hint="eastAsia" w:ascii="仿宋_GB2312" w:hAnsi="仿宋_GB2312" w:eastAsia="仿宋_GB2312" w:cs="仿宋_GB2312"/>
          <w:color w:val="auto"/>
          <w:sz w:val="32"/>
          <w:szCs w:val="40"/>
          <w:highlight w:val="none"/>
          <w:lang w:val="en-US" w:eastAsia="zh-CN"/>
        </w:rPr>
        <w:t>根据《关于编报2024年中央财政补助资金支持高标准农田建设项目计划和实施方案的通知》（青农字〔2024〕15号）、《关于编报2025年中央财政补助资金支持的高标准农田建设项目计划和实施方案的通知》（青农字〔2025〕12号），区（市）“编制项目实施方案应征得项目区村庄三分之二以上村民代表签字同意，并计入项目实施方案”。评价发现，即墨区农业农村局分别于2024年7月26日、2025年7月25日向市农业农村局报送2024年度、2025年度项目实施方案，但通济街道、灵山街道、田横镇新建片区分别于2024年7月31日、2024年8月8日、2025年8月14日才完成群众意见征询工作。平度市农业农村局于2024年7月30日向市农业农村局报送2024年度项目实施方案，但新河镇新建片区于2024年8月14日才完成群众意见征询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二是各区（市）未在规定时间内完成项目实施方案编制、评审和报送工作。</w:t>
      </w:r>
      <w:r>
        <w:rPr>
          <w:rFonts w:hint="eastAsia" w:ascii="仿宋_GB2312" w:hAnsi="仿宋_GB2312" w:eastAsia="仿宋_GB2312" w:cs="仿宋_GB2312"/>
          <w:color w:val="auto"/>
          <w:sz w:val="32"/>
          <w:szCs w:val="40"/>
          <w:highlight w:val="none"/>
          <w:lang w:val="en-US" w:eastAsia="zh-CN"/>
        </w:rPr>
        <w:t>《关于编报2024年中央财政补助资金支持高标准农田建设项目计划和实施方案的通知》（青农字〔2024〕15号）、《关于编报2025年中央财政补助资金支持的高标准农田建设项目计划和实施方案的通知》（青农字〔2025〕12号）要求，各区（市）农业农村部门应分别于2024年5月15日前、2025年6月10日前完成项目实施方案编制、评审并报送至市农业农村局。但各区（市）均延期，分别于2024年7月、2025年7月完成相关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3.个别区（市）项目法人单位不符合规定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根据《青岛市农田建设项目管理办法》（青农规〔2020〕1号），“农田建设项目推行项目法人制，原则上项目法人单位为区（市）人民政府明确的农田建设管理机构或乡镇人民政府（街道办事处）、区（市）农业农村部门所属事业单位、各类新型经营主体、农村集体经济组织”。平度市2024年度高标准农田建设项目法人单位为平度市农旅开发建设集团有限公司，该公司不属于机关、事业单位，也不属于新型经营主体、农村集体经济组织，不应作为法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4.部分区（市）项目招投标规范性有待加强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一是项目招标公告发布时间早于预算审定时间。</w:t>
      </w:r>
      <w:r>
        <w:rPr>
          <w:rFonts w:hint="eastAsia" w:ascii="仿宋_GB2312" w:hAnsi="仿宋_GB2312" w:eastAsia="仿宋_GB2312" w:cs="仿宋_GB2312"/>
          <w:color w:val="auto"/>
          <w:sz w:val="32"/>
          <w:szCs w:val="40"/>
          <w:highlight w:val="none"/>
          <w:lang w:val="en-US" w:eastAsia="zh-CN"/>
        </w:rPr>
        <w:t>即墨区财政局分别于2024年11月14日、2025年10月22日向即墨区农业农村局反馈项目预算审定结果，而即墨区农业农村局分别于2024年9月30日、2025年10月12日发布招标公告。平度市财政局于2024年10月12日反馈预算审定结果，而平度市农业农村局于2024年10月11日发布招标公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二是竞争性磋商文件编制不规范。</w:t>
      </w:r>
      <w:r>
        <w:rPr>
          <w:rFonts w:hint="eastAsia" w:ascii="仿宋_GB2312" w:hAnsi="仿宋_GB2312" w:eastAsia="仿宋_GB2312" w:cs="仿宋_GB2312"/>
          <w:color w:val="auto"/>
          <w:sz w:val="32"/>
          <w:szCs w:val="40"/>
          <w:highlight w:val="none"/>
          <w:lang w:val="en-US" w:eastAsia="zh-CN"/>
        </w:rPr>
        <w:t>莱西市2024年高标准农田建设项目（改造提升）堆肥还田培肥地力项目、监理项目的竞争性磋商文件存在以下问题：堆肥还田培肥地力项目竞争性磋商文件第14页、监理项目竞争性磋商文件第13页的公告内容载明项目分为2个包，但采购范围填写为1个标段，包组划分与采购范围表述不一致；预算内的财政性资金未落实政府采购关于中小微企业的相关政策；承诺书中要求供应商承诺第二轮报价为最终报价，且第二轮报价不得高于前一轮报价，该条款属于违法条款；磋商文件不全，缺少商务评分细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5.部分区（市）施工合同签订、公示不规范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一是施工合同约定工程无预付款。</w:t>
      </w:r>
      <w:r>
        <w:rPr>
          <w:rFonts w:hint="eastAsia" w:ascii="仿宋_GB2312" w:hAnsi="仿宋_GB2312" w:eastAsia="仿宋_GB2312" w:cs="仿宋_GB2312"/>
          <w:color w:val="auto"/>
          <w:sz w:val="32"/>
          <w:szCs w:val="40"/>
          <w:highlight w:val="none"/>
          <w:lang w:val="en-US" w:eastAsia="zh-CN"/>
        </w:rPr>
        <w:t>根据《建设工程价款结算暂行办法》（财建〔2004〕369号），“包工包料工程的预付款按合同约定拨付，原则上预付比例不低于合同金额的10%，不高于合同金额的30%”，即墨区2024年高标准农田建设项目施工合同约定本工程无预付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二是合同约定的开工时间早于合同签订时间。</w:t>
      </w:r>
      <w:r>
        <w:rPr>
          <w:rFonts w:hint="eastAsia" w:ascii="仿宋_GB2312" w:hAnsi="仿宋_GB2312" w:eastAsia="仿宋_GB2312" w:cs="仿宋_GB2312"/>
          <w:color w:val="auto"/>
          <w:sz w:val="32"/>
          <w:szCs w:val="40"/>
          <w:highlight w:val="none"/>
          <w:lang w:val="en-US" w:eastAsia="zh-CN"/>
        </w:rPr>
        <w:t>即墨区2025年高标准农田建设项目施工合同签订日期为2025年11月21日，而合同约定的开工日期为2025年11月12日。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三是施工合同公示不及时。</w:t>
      </w:r>
      <w:r>
        <w:rPr>
          <w:rFonts w:hint="eastAsia" w:ascii="仿宋_GB2312" w:hAnsi="仿宋_GB2312" w:eastAsia="仿宋_GB2312" w:cs="仿宋_GB2312"/>
          <w:color w:val="auto"/>
          <w:sz w:val="32"/>
          <w:szCs w:val="40"/>
          <w:highlight w:val="none"/>
          <w:lang w:val="en-US" w:eastAsia="zh-CN"/>
        </w:rPr>
        <w:t>根据《青岛市财政局关于进一步提高政府采购透明度和采购效率相关事项的通知》（青财采〔2024〕9号），“采购人应自政府采购合同签订之日起2个工作日内通过预算管理一体化系统备案并公开采购合同”。莱西市农业农村局2024年10月30日签订高标准农田建设项目（改造提升）施工合同，超出规定时限于2024年11月29日公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6.个别区（市）未按规定程序调整项目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根据《青岛市农田建设项目管理办法》（青农规〔2020〕1号），“单项工程调整额30万元以上（含30万元）的，由区（市）农业农村部门具体说明调整事项，上报市农业农村局审批，报农业农村部备案”。平度市2024年度项目新河镇界山贾家村2标段节水灌溉工程、新河镇东邵家村南部调水工程、新河镇孙林村1标段1号道路工程等单项工程调整额均在30万元（含）以上，截至评价日仅经平度市农业农村局审批，未报市农业农村局审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kern w:val="2"/>
          <w:sz w:val="32"/>
          <w:szCs w:val="40"/>
          <w:highlight w:val="none"/>
          <w:lang w:val="en-US" w:eastAsia="zh-CN" w:bidi="ar-SA"/>
        </w:rPr>
      </w:pPr>
      <w:r>
        <w:rPr>
          <w:rFonts w:hint="eastAsia" w:ascii="仿宋_GB2312" w:hAnsi="仿宋_GB2312" w:eastAsia="仿宋_GB2312" w:cs="仿宋_GB2312"/>
          <w:b/>
          <w:bCs/>
          <w:color w:val="auto"/>
          <w:kern w:val="2"/>
          <w:sz w:val="32"/>
          <w:szCs w:val="40"/>
          <w:highlight w:val="none"/>
          <w:lang w:val="en-US" w:eastAsia="zh-CN" w:bidi="ar-SA"/>
        </w:rPr>
        <w:t>7.竣工验收、竣工决算规范性有待加强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kern w:val="2"/>
          <w:sz w:val="32"/>
          <w:szCs w:val="40"/>
          <w:highlight w:val="none"/>
          <w:lang w:val="en-US" w:eastAsia="zh-CN" w:bidi="ar-SA"/>
        </w:rPr>
        <w:t>一是部分区（市）未在项目竣工验收后及时编报决算。</w:t>
      </w:r>
      <w:r>
        <w:rPr>
          <w:rFonts w:hint="eastAsia" w:ascii="仿宋_GB2312" w:hAnsi="仿宋_GB2312" w:eastAsia="仿宋_GB2312" w:cs="仿宋_GB2312"/>
          <w:color w:val="auto"/>
          <w:sz w:val="32"/>
          <w:szCs w:val="40"/>
          <w:highlight w:val="none"/>
          <w:lang w:val="en-US" w:eastAsia="zh-CN"/>
        </w:rPr>
        <w:t>根据《关于印发&lt;基本建设项目竣工财务决算管理暂行办法&gt;的通知》（财建〔2016〕503号），“基本建设项目完工可投入使用或者试运行合格后，应当在3个月内编报竣工财务决算，特殊情况确需延长的，中小型项目不得超过2个月，大型项目不得超过6个月”。胶州市、莱西市2024年高标准农田建设项目分别于2025年6月25日、2025年11月25日完成区（市）竣工验收，但未及时开展竣工财务决算。</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二是部分区（市）未完成项目竣工决算就申请市级竣工验收。</w:t>
      </w:r>
      <w:r>
        <w:rPr>
          <w:rFonts w:hint="eastAsia" w:ascii="仿宋_GB2312" w:hAnsi="仿宋_GB2312" w:eastAsia="仿宋_GB2312" w:cs="仿宋_GB2312"/>
          <w:color w:val="auto"/>
          <w:sz w:val="32"/>
          <w:szCs w:val="40"/>
          <w:highlight w:val="none"/>
          <w:lang w:val="en-US" w:eastAsia="zh-CN"/>
        </w:rPr>
        <w:t>根据《青岛市农田建设项目管理办法》，“申请市级验收的项目应当具备下列条件：……（六）编制竣工决算，并经有资质的机构审计”。西海岸新区、胶州市、莱西市2024年度高标准农田建设项目在未结算审计的情况下，即向市农业农村局申请竣工验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三是部分区（市）未经市级竣工验收提前设立公示标牌。</w:t>
      </w:r>
      <w:r>
        <w:rPr>
          <w:rFonts w:hint="eastAsia" w:ascii="仿宋_GB2312" w:hAnsi="仿宋_GB2312" w:eastAsia="仿宋_GB2312" w:cs="仿宋_GB2312"/>
          <w:color w:val="auto"/>
          <w:sz w:val="32"/>
          <w:szCs w:val="40"/>
          <w:highlight w:val="none"/>
          <w:lang w:val="en-US" w:eastAsia="zh-CN"/>
        </w:rPr>
        <w:t>根据《青岛市农田建设项目管理办法》，“农田建设项目应在市级竣工验收合格后设立统一规范的公示标牌，并及时办理资产移交手续”。西海岸新区、即墨区、胶州市、莱西市2024年度高标准农田建设项目在未通过市级竣工验收的情况下，已提前设立公示标牌，且西海岸新区农业农村局已与镇政府（街道办事处）办理资产移交手续。</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四是未经市级竣工验收先行完成上图入库。</w:t>
      </w:r>
      <w:r>
        <w:rPr>
          <w:rFonts w:hint="eastAsia" w:ascii="仿宋_GB2312" w:hAnsi="仿宋_GB2312" w:eastAsia="仿宋_GB2312" w:cs="仿宋_GB2312"/>
          <w:color w:val="auto"/>
          <w:sz w:val="32"/>
          <w:szCs w:val="40"/>
          <w:highlight w:val="none"/>
          <w:lang w:val="en-US" w:eastAsia="zh-CN"/>
        </w:rPr>
        <w:t>根据《山东省农业农村厅关于进一步加强高标准农田上图入库管理工作的通知》（鲁农建字〔2023〕14号），“项目竣工验收阶段的上图入库是农业农村部核定各地高标准农田建成面积的唯一数据来源”。《青岛市农田建设项目管理办法》（青农规〔2020〕1号）规定，“区（市）农业农村部门应当在项目竣工验收后建档立册、上图入库并与规划图衔接”。上图入库数据显示，2024年青岛市完成新建高标准农田7.43万亩，改造提升5.64万亩；2025年完成新建高标准农田3.31万亩、改造提升5.70万亩。各区（市）高标准农田建设项目在尚未完成市级竣工验收的情况下，已提前完成上图入库工作，上报数据存在偏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kern w:val="2"/>
          <w:sz w:val="32"/>
          <w:szCs w:val="40"/>
          <w:highlight w:val="none"/>
          <w:lang w:val="en-US" w:eastAsia="zh-CN" w:bidi="ar-SA"/>
        </w:rPr>
        <w:t>8.</w:t>
      </w:r>
      <w:r>
        <w:rPr>
          <w:rFonts w:hint="eastAsia" w:ascii="仿宋_GB2312" w:hAnsi="仿宋_GB2312" w:eastAsia="仿宋_GB2312" w:cs="仿宋_GB2312"/>
          <w:b/>
          <w:bCs/>
          <w:color w:val="auto"/>
          <w:sz w:val="32"/>
          <w:szCs w:val="40"/>
          <w:highlight w:val="none"/>
          <w:lang w:val="en-US" w:eastAsia="zh-CN"/>
        </w:rPr>
        <w:t>未开展绩效考评相关工作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青岛市农田建设项目管理办法》规定，“各级农业农村部门应当加强对农田建设项目的监督评价……采取直接组织或委托第三方的方式，对农田建设项目开展督查检查和绩效考评”。市级及各区（市）农业农村局未开展经济、社会和生态效益的绩效考评工作。</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eastAsia" w:ascii="Times New Roman" w:hAnsi="Times New Roman" w:eastAsia="楷体_GB2312" w:cs="Times New Roman"/>
          <w:bCs w:val="0"/>
          <w:color w:val="auto"/>
          <w:sz w:val="32"/>
          <w:szCs w:val="40"/>
          <w:highlight w:val="none"/>
          <w:lang w:val="en-US"/>
        </w:rPr>
      </w:pPr>
      <w:r>
        <w:rPr>
          <w:rFonts w:hint="eastAsia" w:ascii="Times New Roman" w:hAnsi="Times New Roman" w:eastAsia="楷体_GB2312" w:cs="Times New Roman"/>
          <w:bCs w:val="0"/>
          <w:color w:val="auto"/>
          <w:sz w:val="32"/>
          <w:szCs w:val="40"/>
          <w:highlight w:val="none"/>
          <w:lang w:val="en-US"/>
        </w:rPr>
        <w:t>（</w:t>
      </w:r>
      <w:r>
        <w:rPr>
          <w:rFonts w:hint="eastAsia" w:ascii="Times New Roman" w:hAnsi="Times New Roman" w:eastAsia="楷体_GB2312" w:cs="Times New Roman"/>
          <w:bCs w:val="0"/>
          <w:color w:val="auto"/>
          <w:sz w:val="32"/>
          <w:szCs w:val="40"/>
          <w:highlight w:val="none"/>
          <w:lang w:val="en-US" w:eastAsia="zh-CN"/>
        </w:rPr>
        <w:t>四</w:t>
      </w:r>
      <w:r>
        <w:rPr>
          <w:rFonts w:hint="eastAsia" w:ascii="Times New Roman" w:hAnsi="Times New Roman" w:eastAsia="楷体_GB2312" w:cs="Times New Roman"/>
          <w:bCs w:val="0"/>
          <w:color w:val="auto"/>
          <w:sz w:val="32"/>
          <w:szCs w:val="40"/>
          <w:highlight w:val="none"/>
          <w:lang w:val="en-US"/>
        </w:rPr>
        <w:t>）部分项目工程质量有待提高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根据现场评价情况，发现工程质量存在问题如下：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1.部分田间道路存在裂缝、破损等问题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西海岸新区7个村、即墨区10个村、胶州市16个村、平度市16个村、莱西市5个村的部分道路路面存在明显裂缝或局部破损，部分道路未按规定设置分隔缝或施工接缝处理不规范，影响道路的耐久性与使用功能。同时，部分已建成道路虽符合工程设计标准，但存在车辆通行错车不便的现状，与田间作业和农产品运输的实际需求存在一定差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2.部分排水沟渠存在淤堵等问题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西海岸新区1个村、即墨区15个村、胶州市17个村、平度市17个村、莱西市2个村的排水沟渠存在淤堵问题，个别村庄沟渠种植庄稼、树木，堆积石块、垃圾等杂物，影响正常排灌功能。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3.部分节水灌溉工程配套设施不完善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西海岸新区11个村、即墨区2个村、胶州市6个村、平度市6个村、莱西市4个村存在出水口护筒未编号、破损、护筒盖板缺失、出水口锈蚀、泵池盖板未闭合或使用旧板、机井井筒及井盖生锈等问题，影响灌溉设施正常使用和耐久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4.部分闸阀井盖存在雨、污水井盖混用问题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西海岸新区3个村、即墨区2个村、胶州市5个村存在闸阀井盖混用雨、污水井盖问题，不符合农田建设项目设施专用要求，给日常运行维护和安全管理带来不便。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5.部分构筑物存在破损等质量问题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西海岸新区4个村、即墨区17个村、胶州市5个村、平度市15个村、莱西市4个村存在桥涵桥面、管涵压顶及平塘压顶多处裂缝，塘坝压顶石破损，大口井围栏破损，平塘未安装栏杆，变压器损坏等问题，影响工程结构安全和正常使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6.部分项目施工不规范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西海岸新区宝山镇大张八村道路工程碎石基层或垫层含有泥土等杂质、塘坝工程路沿石未设置排水口（已于2026年6月23日完成整改）。即墨区9个村庄桥涵工程存在模板未拆除、绑扎铁丝未清理等问题。胶州市洋河镇袁家坟村未采用M15浆砌甲级乱石护砌至顶高程，不符合施工设计要求；胶北街道和睦屯村排水沟边坡未压实。平度市5个村庄管涵压顶存在裂缝、模板铁钉未清理、漏浆等问题。莱西市院上镇小高岚村管涵压顶模板铁丝未清除。</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default" w:ascii="Times New Roman" w:hAnsi="Times New Roman" w:eastAsia="楷体_GB2312" w:cs="Times New Roman"/>
          <w:bCs w:val="0"/>
          <w:color w:val="auto"/>
          <w:sz w:val="32"/>
          <w:szCs w:val="40"/>
          <w:highlight w:val="none"/>
          <w:lang w:val="en-US" w:eastAsia="zh-CN"/>
        </w:rPr>
      </w:pPr>
      <w:r>
        <w:rPr>
          <w:rFonts w:hint="eastAsia" w:ascii="Times New Roman" w:hAnsi="Times New Roman" w:eastAsia="楷体_GB2312" w:cs="Times New Roman"/>
          <w:bCs w:val="0"/>
          <w:color w:val="auto"/>
          <w:sz w:val="32"/>
          <w:szCs w:val="40"/>
          <w:highlight w:val="none"/>
          <w:lang w:val="en-US" w:eastAsia="zh-CN"/>
        </w:rPr>
        <w:t>（五）个别区（市）已移交的工程设施管护不到位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现场评价发现，西海岸新区大场镇新大庄村灌溉与排水工程出水口锈蚀，影响正常使用。</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default" w:ascii="Times New Roman" w:hAnsi="Times New Roman" w:eastAsia="楷体_GB2312" w:cs="Times New Roman"/>
          <w:bCs w:val="0"/>
          <w:color w:val="auto"/>
          <w:sz w:val="32"/>
          <w:szCs w:val="40"/>
          <w:highlight w:val="none"/>
          <w:lang w:val="en-US" w:eastAsia="zh-CN"/>
        </w:rPr>
      </w:pPr>
      <w:r>
        <w:rPr>
          <w:rFonts w:hint="eastAsia" w:ascii="Times New Roman" w:hAnsi="Times New Roman" w:eastAsia="楷体_GB2312" w:cs="Times New Roman"/>
          <w:bCs w:val="0"/>
          <w:color w:val="auto"/>
          <w:sz w:val="32"/>
          <w:szCs w:val="40"/>
          <w:highlight w:val="none"/>
          <w:lang w:val="en-US" w:eastAsia="zh-CN"/>
        </w:rPr>
        <w:t>（六）个别区（市）高标准农田种植非粮食作物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根据《青岛市高标准农田建设规划（2021-2030年）》，“对建成的高标准农田，要及时划为永久基本农田储备区和永久基本农田，实行特殊保护，遏制‘非农化’、防止‘非粮化’”。现场评价发现，西海岸新区大村镇子罗村约30亩农田（位于2号路西侧及2号路南端）种植美国冬青，另约3亩农田种植烟叶；宝山镇大张八村约2亩农田种植烟叶。</w:t>
      </w:r>
    </w:p>
    <w:p>
      <w:pPr>
        <w:pStyle w:val="2"/>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bCs w:val="0"/>
          <w:color w:val="auto"/>
          <w:kern w:val="2"/>
          <w:sz w:val="32"/>
          <w:szCs w:val="32"/>
          <w:highlight w:val="none"/>
          <w:lang w:val="en-US"/>
        </w:rPr>
      </w:pPr>
      <w:bookmarkStart w:id="14" w:name="_Toc10010"/>
      <w:r>
        <w:rPr>
          <w:rFonts w:hint="eastAsia"/>
          <w:bCs w:val="0"/>
          <w:color w:val="auto"/>
          <w:kern w:val="2"/>
          <w:sz w:val="32"/>
          <w:szCs w:val="32"/>
          <w:highlight w:val="none"/>
          <w:lang w:val="en-US" w:eastAsia="zh-CN"/>
        </w:rPr>
        <w:t>五</w:t>
      </w:r>
      <w:r>
        <w:rPr>
          <w:rFonts w:hint="eastAsia"/>
          <w:bCs w:val="0"/>
          <w:color w:val="auto"/>
          <w:kern w:val="2"/>
          <w:sz w:val="32"/>
          <w:szCs w:val="32"/>
          <w:highlight w:val="none"/>
          <w:lang w:val="en-US"/>
        </w:rPr>
        <w:t>、相关建议</w:t>
      </w:r>
      <w:bookmarkEnd w:id="14"/>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eastAsia" w:ascii="Times New Roman" w:hAnsi="Times New Roman" w:eastAsia="楷体_GB2312" w:cs="Times New Roman"/>
          <w:bCs w:val="0"/>
          <w:color w:val="auto"/>
          <w:sz w:val="32"/>
          <w:szCs w:val="40"/>
          <w:highlight w:val="none"/>
          <w:lang w:val="en-US" w:eastAsia="zh-CN"/>
        </w:rPr>
      </w:pPr>
      <w:r>
        <w:rPr>
          <w:rFonts w:hint="eastAsia" w:ascii="Times New Roman" w:hAnsi="Times New Roman" w:eastAsia="楷体_GB2312" w:cs="Times New Roman"/>
          <w:bCs w:val="0"/>
          <w:color w:val="auto"/>
          <w:sz w:val="32"/>
          <w:szCs w:val="40"/>
          <w:highlight w:val="none"/>
          <w:lang w:val="en-US"/>
        </w:rPr>
        <w:t>（一）严格落实节点管控，推动项目加快实施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eastAsia="zh-CN"/>
        </w:rPr>
      </w:pPr>
      <w:r>
        <w:rPr>
          <w:rFonts w:hint="eastAsia" w:ascii="仿宋_GB2312" w:hAnsi="仿宋_GB2312" w:eastAsia="仿宋_GB2312" w:cs="仿宋_GB2312"/>
          <w:color w:val="auto"/>
          <w:sz w:val="32"/>
          <w:szCs w:val="40"/>
          <w:highlight w:val="none"/>
          <w:lang w:eastAsia="zh-CN"/>
        </w:rPr>
        <w:t>建议农业农村部门聚焦施工进度、竣工验收、结算审计、财务决算等环节，分类施策、精准推进。针对未完工项目，紧盯高标准农田建设项目滞后问题，建立健全进度动态预警机制，对滞后项目实行“一项目一方案”精准调度，协调解决施工中的堵点、难点，在保证工程质量的前提下，督促加快项目施工进度，倒排工期，推动项目尽快完工。同时，对已完工项目，督促区（市）加快推进竣工验收、结算审计、财务决算等工作，统筹推进市级竣工验收，推动项目尽早满足合同约定的资金拨付条件。</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eastAsia" w:ascii="Times New Roman" w:hAnsi="Times New Roman" w:eastAsia="楷体_GB2312" w:cs="Times New Roman"/>
          <w:bCs w:val="0"/>
          <w:color w:val="auto"/>
          <w:sz w:val="32"/>
          <w:szCs w:val="40"/>
          <w:highlight w:val="none"/>
          <w:lang w:val="en-US" w:eastAsia="zh-CN"/>
        </w:rPr>
      </w:pPr>
      <w:r>
        <w:rPr>
          <w:rFonts w:hint="eastAsia" w:ascii="Times New Roman" w:hAnsi="Times New Roman" w:eastAsia="楷体_GB2312" w:cs="Times New Roman"/>
          <w:bCs w:val="0"/>
          <w:color w:val="auto"/>
          <w:sz w:val="32"/>
          <w:szCs w:val="40"/>
          <w:highlight w:val="none"/>
          <w:lang w:val="en-US" w:eastAsia="zh-CN"/>
        </w:rPr>
        <w:t>（二）严格合同履约管控，实现资金应拨尽拨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eastAsia="zh-CN"/>
        </w:rPr>
      </w:pPr>
      <w:r>
        <w:rPr>
          <w:rFonts w:hint="eastAsia" w:ascii="仿宋_GB2312" w:hAnsi="仿宋_GB2312" w:eastAsia="仿宋_GB2312" w:cs="仿宋_GB2312"/>
          <w:color w:val="auto"/>
          <w:sz w:val="32"/>
          <w:szCs w:val="40"/>
          <w:highlight w:val="none"/>
          <w:lang w:eastAsia="zh-CN"/>
        </w:rPr>
        <w:t>建议各区（市）按照应拨尽拨、及时足额的原则，强化合同履约刚性约束，以工程实际进度、验收情况为依据，严格落实合同约定的预付款、进度款等各节点拨付比例，在合规前提下加快资金审核拨付进度，杜绝无合理依据拖延付款行为。加强动态监管，将拨付比例校验、验收节点联审等管控措施嵌入资金审批全流程，通过定期调度与动态比对，推动专项资金拨付进度与项目建设进展精准匹配，确保资金高效直达施工单位，切实防范资金沉淀与支付风险。</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eastAsia" w:ascii="Times New Roman" w:hAnsi="Times New Roman" w:eastAsia="楷体_GB2312" w:cs="Times New Roman"/>
          <w:bCs w:val="0"/>
          <w:color w:val="auto"/>
          <w:sz w:val="32"/>
          <w:szCs w:val="40"/>
          <w:highlight w:val="none"/>
          <w:lang w:val="en-US" w:eastAsia="zh-CN"/>
        </w:rPr>
      </w:pPr>
      <w:r>
        <w:rPr>
          <w:rFonts w:hint="eastAsia" w:ascii="Times New Roman" w:hAnsi="Times New Roman" w:eastAsia="楷体_GB2312" w:cs="Times New Roman"/>
          <w:bCs w:val="0"/>
          <w:color w:val="auto"/>
          <w:sz w:val="32"/>
          <w:szCs w:val="40"/>
          <w:highlight w:val="none"/>
          <w:lang w:val="en-US" w:eastAsia="zh-CN"/>
        </w:rPr>
        <w:t>（三）健全管理制度体系，强化制度刚性执行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一是建立健全农田建设项目管理实施制度。</w:t>
      </w:r>
      <w:r>
        <w:rPr>
          <w:rFonts w:hint="eastAsia" w:ascii="仿宋_GB2312" w:hAnsi="仿宋_GB2312" w:eastAsia="仿宋_GB2312" w:cs="仿宋_GB2312"/>
          <w:color w:val="auto"/>
          <w:sz w:val="32"/>
          <w:szCs w:val="40"/>
          <w:highlight w:val="none"/>
          <w:lang w:val="en-US" w:eastAsia="zh-CN"/>
        </w:rPr>
        <w:t>建议平度市农业农村局落实《青岛市农田建设项目管理办法》相关要求，尽快出台本级高标准农田建设项目管理实施细则，为规范项目实施提供制度保障。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二是规范项目实施方案编报审。</w:t>
      </w:r>
      <w:r>
        <w:rPr>
          <w:rFonts w:hint="eastAsia" w:ascii="仿宋_GB2312" w:hAnsi="仿宋_GB2312" w:eastAsia="仿宋_GB2312" w:cs="仿宋_GB2312"/>
          <w:color w:val="auto"/>
          <w:sz w:val="32"/>
          <w:szCs w:val="40"/>
          <w:highlight w:val="none"/>
          <w:lang w:val="en-US" w:eastAsia="zh-CN"/>
        </w:rPr>
        <w:t>建议市农业农村局督促各区（市）农业农村部门按照相关规定，将群众意见征询作为方案编报的前置条件，在充分听取群众意见、开展实地调研的基础上，科学合理制定项目实施方案，并按时报送市级审批立项。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三是严格落实项目法人制相关要求。</w:t>
      </w:r>
      <w:r>
        <w:rPr>
          <w:rFonts w:hint="eastAsia" w:ascii="仿宋_GB2312" w:hAnsi="仿宋_GB2312" w:eastAsia="仿宋_GB2312" w:cs="仿宋_GB2312"/>
          <w:color w:val="auto"/>
          <w:sz w:val="32"/>
          <w:szCs w:val="40"/>
          <w:highlight w:val="none"/>
          <w:lang w:val="en-US" w:eastAsia="zh-CN"/>
        </w:rPr>
        <w:t>建议平度市农业农村局规范项目法人确定，确保法人单位主体适格、权责清晰。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四是规范项目预算评审、招投标管理。</w:t>
      </w:r>
      <w:r>
        <w:rPr>
          <w:rFonts w:hint="eastAsia" w:ascii="仿宋_GB2312" w:hAnsi="仿宋_GB2312" w:eastAsia="仿宋_GB2312" w:cs="仿宋_GB2312"/>
          <w:color w:val="auto"/>
          <w:sz w:val="32"/>
          <w:szCs w:val="40"/>
          <w:highlight w:val="none"/>
          <w:lang w:val="en-US" w:eastAsia="zh-CN"/>
        </w:rPr>
        <w:t>将预算评审作为招标前置条件，将评审结果作为编制招标控制价的重要依据。加强采购文件审核，确保包组划分一致、报价条款合规、制度落实到位。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五是规范开展合同签订、公示等工作。</w:t>
      </w:r>
      <w:r>
        <w:rPr>
          <w:rFonts w:hint="eastAsia" w:ascii="仿宋_GB2312" w:hAnsi="仿宋_GB2312" w:eastAsia="仿宋_GB2312" w:cs="仿宋_GB2312"/>
          <w:color w:val="auto"/>
          <w:sz w:val="32"/>
          <w:szCs w:val="40"/>
          <w:highlight w:val="none"/>
          <w:lang w:val="en-US" w:eastAsia="zh-CN"/>
        </w:rPr>
        <w:t>规范合同签订管理，在施工合同中明确约定预付工程款的数额、支付时限及抵扣方式，确保预付款条款合规完备；加强合同签订与开工时序的衔接；严格执行合同备案公开的规定。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六是严格项目调整审批程序。</w:t>
      </w:r>
      <w:r>
        <w:rPr>
          <w:rFonts w:hint="eastAsia" w:ascii="仿宋_GB2312" w:hAnsi="仿宋_GB2312" w:eastAsia="仿宋_GB2312" w:cs="仿宋_GB2312"/>
          <w:color w:val="auto"/>
          <w:sz w:val="32"/>
          <w:szCs w:val="40"/>
          <w:highlight w:val="none"/>
          <w:lang w:val="en-US" w:eastAsia="zh-CN"/>
        </w:rPr>
        <w:t>建议平度市农业农村局对单项工程调整额30万元（含）以上的项目变更事项，上报市农业农村局审批，报农业农村部备案。</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七是规范竣工验收及后续工作。</w:t>
      </w:r>
      <w:r>
        <w:rPr>
          <w:rFonts w:hint="eastAsia" w:ascii="仿宋_GB2312" w:hAnsi="仿宋_GB2312" w:eastAsia="仿宋_GB2312" w:cs="仿宋_GB2312"/>
          <w:color w:val="auto"/>
          <w:sz w:val="32"/>
          <w:szCs w:val="40"/>
          <w:highlight w:val="none"/>
          <w:lang w:val="en-US" w:eastAsia="zh-CN"/>
        </w:rPr>
        <w:t>建议市农业农村局、各区（市）严格落实《青岛市农田建设项目管理办法》等相关规定，规范开展竣工验收、上图入库、公示标牌设立、资产移交等工作。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八是开展绩效考评工作。</w:t>
      </w:r>
      <w:r>
        <w:rPr>
          <w:rFonts w:hint="eastAsia" w:ascii="仿宋_GB2312" w:hAnsi="仿宋_GB2312" w:eastAsia="仿宋_GB2312" w:cs="仿宋_GB2312"/>
          <w:color w:val="auto"/>
          <w:sz w:val="32"/>
          <w:szCs w:val="40"/>
          <w:highlight w:val="none"/>
          <w:lang w:val="en-US" w:eastAsia="zh-CN"/>
        </w:rPr>
        <w:t>建议市农业农村局和区（市）建立健全全覆盖、可量化、可考核的高标准农田建设考评机制，强化全过程监督评价。</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eastAsia" w:ascii="Times New Roman" w:hAnsi="Times New Roman" w:eastAsia="楷体_GB2312" w:cs="Times New Roman"/>
          <w:bCs w:val="0"/>
          <w:color w:val="auto"/>
          <w:sz w:val="32"/>
          <w:szCs w:val="40"/>
          <w:highlight w:val="none"/>
          <w:lang w:val="en-US" w:eastAsia="zh-CN"/>
        </w:rPr>
      </w:pPr>
      <w:r>
        <w:rPr>
          <w:rFonts w:hint="eastAsia" w:ascii="Times New Roman" w:hAnsi="Times New Roman" w:eastAsia="楷体_GB2312" w:cs="Times New Roman"/>
          <w:bCs w:val="0"/>
          <w:color w:val="auto"/>
          <w:sz w:val="32"/>
          <w:szCs w:val="40"/>
          <w:highlight w:val="none"/>
          <w:lang w:val="en-US"/>
        </w:rPr>
        <w:t>（</w:t>
      </w:r>
      <w:r>
        <w:rPr>
          <w:rFonts w:hint="eastAsia" w:ascii="Times New Roman" w:hAnsi="Times New Roman" w:eastAsia="楷体_GB2312" w:cs="Times New Roman"/>
          <w:bCs w:val="0"/>
          <w:color w:val="auto"/>
          <w:sz w:val="32"/>
          <w:szCs w:val="40"/>
          <w:highlight w:val="none"/>
          <w:lang w:val="en-US" w:eastAsia="zh-CN"/>
        </w:rPr>
        <w:t>四</w:t>
      </w:r>
      <w:r>
        <w:rPr>
          <w:rFonts w:hint="eastAsia" w:ascii="Times New Roman" w:hAnsi="Times New Roman" w:eastAsia="楷体_GB2312" w:cs="Times New Roman"/>
          <w:bCs w:val="0"/>
          <w:color w:val="auto"/>
          <w:sz w:val="32"/>
          <w:szCs w:val="40"/>
          <w:highlight w:val="none"/>
          <w:lang w:val="en-US"/>
        </w:rPr>
        <w:t>）从严抓实质量监管，筑牢项目工程根基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抓实问题整改。对田间道路破损、沟渠淤堵、配套设施缺失等已发现问题，建立整改台账，实行“检查—反馈—整改—复核—销号”全链条管理。整改固本一体推进，强化日常施工质量管控，压实施工、监理各方责任，确保工程质量经得起检验。完善竣工验收标准，将沟渠排灌功能、井盖规范配置、构筑物结构质量纳入验收清单，推动验收从“查外观”向“验功能”转变，确保工程实体质量与使用功能并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Cs w:val="0"/>
          <w:color w:val="auto"/>
          <w:sz w:val="32"/>
          <w:szCs w:val="40"/>
          <w:highlight w:val="none"/>
          <w:lang w:val="en-US" w:eastAsia="zh-CN"/>
        </w:rPr>
      </w:pPr>
      <w:r>
        <w:rPr>
          <w:rFonts w:hint="eastAsia" w:ascii="Times New Roman" w:hAnsi="Times New Roman" w:eastAsia="楷体_GB2312" w:cs="Times New Roman"/>
          <w:bCs w:val="0"/>
          <w:color w:val="auto"/>
          <w:sz w:val="32"/>
          <w:szCs w:val="40"/>
          <w:highlight w:val="none"/>
          <w:lang w:val="en-US" w:eastAsia="zh-CN"/>
        </w:rPr>
        <w:t>（五）完善长效管护机制，保障良田永续利用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一是规范管护移交程序。</w:t>
      </w:r>
      <w:r>
        <w:rPr>
          <w:rFonts w:hint="eastAsia" w:ascii="仿宋_GB2312" w:hAnsi="仿宋_GB2312" w:eastAsia="仿宋_GB2312" w:cs="仿宋_GB2312"/>
          <w:color w:val="auto"/>
          <w:sz w:val="32"/>
          <w:szCs w:val="40"/>
          <w:highlight w:val="none"/>
          <w:lang w:val="en-US" w:eastAsia="zh-CN"/>
        </w:rPr>
        <w:t>项目竣工验收合格后，按程序办理资产移交手续并建立移交台账，明确日常巡查管护责任人和巡查周期，压实单项工程的管护责任。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二是加强工程设施排查。</w:t>
      </w:r>
      <w:r>
        <w:rPr>
          <w:rFonts w:hint="eastAsia" w:ascii="仿宋_GB2312" w:hAnsi="仿宋_GB2312" w:eastAsia="仿宋_GB2312" w:cs="仿宋_GB2312"/>
          <w:color w:val="auto"/>
          <w:sz w:val="32"/>
          <w:szCs w:val="40"/>
          <w:highlight w:val="none"/>
          <w:lang w:val="en-US" w:eastAsia="zh-CN"/>
        </w:rPr>
        <w:t>督促镇（街）对已移交的工程设施开展全面排查，及时修复锈蚀损坏部位，确保工程设施正常使用。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三是创新管护保障模式。</w:t>
      </w:r>
      <w:r>
        <w:rPr>
          <w:rFonts w:hint="eastAsia" w:ascii="仿宋_GB2312" w:hAnsi="仿宋_GB2312" w:eastAsia="仿宋_GB2312" w:cs="仿宋_GB2312"/>
          <w:color w:val="auto"/>
          <w:sz w:val="32"/>
          <w:szCs w:val="40"/>
          <w:highlight w:val="none"/>
          <w:lang w:val="en-US" w:eastAsia="zh-CN"/>
        </w:rPr>
        <w:t>积极探索将工程设施纳入管护保险范围，实现建管护全周期保障，降低设施损毁修复的资金压力；同时畅通群众监督渠道，及时反映设施损毁、运行异常等问题，逐步构建专业管护与群众参与相结合的长效管护格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bCs w:val="0"/>
          <w:color w:val="auto"/>
          <w:sz w:val="32"/>
          <w:szCs w:val="40"/>
          <w:highlight w:val="none"/>
          <w:lang w:val="en-US" w:eastAsia="zh-CN"/>
        </w:rPr>
      </w:pPr>
      <w:r>
        <w:rPr>
          <w:rFonts w:hint="eastAsia" w:ascii="Times New Roman" w:hAnsi="Times New Roman" w:eastAsia="楷体_GB2312" w:cs="Times New Roman"/>
          <w:bCs w:val="0"/>
          <w:color w:val="auto"/>
          <w:sz w:val="32"/>
          <w:szCs w:val="40"/>
          <w:highlight w:val="none"/>
          <w:lang w:val="en-US" w:eastAsia="zh-CN"/>
        </w:rPr>
        <w:t>（六）坚持改治并举并重，严守农田用途底线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eastAsia="zh-CN"/>
        </w:rPr>
      </w:pPr>
      <w:r>
        <w:rPr>
          <w:rFonts w:hint="eastAsia" w:ascii="仿宋_GB2312" w:hAnsi="仿宋_GB2312" w:eastAsia="仿宋_GB2312" w:cs="仿宋_GB2312"/>
          <w:color w:val="auto"/>
          <w:sz w:val="32"/>
          <w:szCs w:val="40"/>
          <w:highlight w:val="none"/>
          <w:lang w:val="en-US" w:eastAsia="zh-CN"/>
        </w:rPr>
        <w:t>稳妥推进问题整改，做好政策宣传与种植引导，引导耕地回归粮食种植。健全源头管控机制，强化“非农化”“非粮化”日常动态监管，切实做到早发现、早制止、早纠正。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highlight w:val="none"/>
          <w:lang w:eastAsia="zh-CN"/>
        </w:rPr>
      </w:pPr>
    </w:p>
    <w:p>
      <w:pPr>
        <w:spacing w:line="20" w:lineRule="exact"/>
        <w:rPr>
          <w:rFonts w:hint="eastAsia" w:ascii="楷体_GB2312" w:hAnsi="楷体_GB2312" w:eastAsia="楷体_GB2312" w:cs="楷体_GB2312"/>
          <w:color w:val="auto"/>
          <w:sz w:val="32"/>
          <w:szCs w:val="32"/>
          <w:highlight w:val="none"/>
        </w:rPr>
      </w:pPr>
    </w:p>
    <w:sectPr>
      <w:footerReference r:id="rId3" w:type="default"/>
      <w:pgSz w:w="11906" w:h="16838"/>
      <w:pgMar w:top="1440" w:right="1800" w:bottom="1440" w:left="1800" w:header="851" w:footer="1020" w:gutter="0"/>
      <w:pgBorders>
        <w:top w:val="none" w:sz="0" w:space="0"/>
        <w:left w:val="none" w:sz="0" w:space="0"/>
        <w:bottom w:val="none" w:sz="0" w:space="0"/>
        <w:right w:val="none" w:sz="0" w:space="0"/>
      </w:pgBorders>
      <w:pgNumType w:fmt="decimal" w:start="1"/>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272BDF-63B3-4150-98F2-BE0CB9175A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9CBA564F-ED79-4E30-8B43-3AA20922FC73}"/>
  </w:font>
  <w:font w:name="楷体_GB2312">
    <w:panose1 w:val="02010609030101010101"/>
    <w:charset w:val="86"/>
    <w:family w:val="modern"/>
    <w:pitch w:val="default"/>
    <w:sig w:usb0="00000001" w:usb1="080E0000" w:usb2="00000000" w:usb3="00000000" w:csb0="00040000" w:csb1="00000000"/>
    <w:embedRegular r:id="rId3" w:fontKey="{4A60A39B-8477-41B8-97FB-7B99AF506B38}"/>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4" w:fontKey="{DE847E99-1AC1-43A5-B9E1-85D465FA599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sz w:val="22"/>
        <w:szCs w:val="36"/>
      </w:rPr>
    </w:pPr>
    <w:r>
      <w:rPr>
        <w:sz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7835"/>
                          </w:sdtPr>
                          <w:sdtEndPr>
                            <w:rPr>
                              <w:sz w:val="22"/>
                              <w:szCs w:val="36"/>
                            </w:rPr>
                          </w:sdtEndPr>
                          <w:sdtContent>
                            <w:p>
                              <w:pPr>
                                <w:pStyle w:val="9"/>
                                <w:jc w:val="center"/>
                                <w:rPr>
                                  <w:sz w:val="22"/>
                                  <w:szCs w:val="36"/>
                                </w:rPr>
                              </w:pPr>
                              <w:r>
                                <w:rPr>
                                  <w:sz w:val="22"/>
                                  <w:szCs w:val="36"/>
                                </w:rPr>
                                <w:fldChar w:fldCharType="begin"/>
                              </w:r>
                              <w:r>
                                <w:rPr>
                                  <w:sz w:val="22"/>
                                  <w:szCs w:val="36"/>
                                </w:rPr>
                                <w:instrText xml:space="preserve">PAGE   \* MERGEFORMAT</w:instrText>
                              </w:r>
                              <w:r>
                                <w:rPr>
                                  <w:sz w:val="22"/>
                                  <w:szCs w:val="36"/>
                                </w:rPr>
                                <w:fldChar w:fldCharType="separate"/>
                              </w:r>
                              <w:r>
                                <w:rPr>
                                  <w:sz w:val="22"/>
                                  <w:szCs w:val="36"/>
                                  <w:lang w:val="zh-CN"/>
                                </w:rPr>
                                <w:t>2</w:t>
                              </w:r>
                              <w:r>
                                <w:rPr>
                                  <w:sz w:val="22"/>
                                  <w:szCs w:val="36"/>
                                </w:rPr>
                                <w:fldChar w:fldCharType="end"/>
                              </w:r>
                            </w:p>
                          </w:sdtContent>
                        </w:sdt>
                        <w:p>
                          <w:pPr>
                            <w:rPr>
                              <w:sz w:val="22"/>
                              <w:szCs w:val="36"/>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sdt>
                    <w:sdtPr>
                      <w:id w:val="147467835"/>
                    </w:sdtPr>
                    <w:sdtEndPr>
                      <w:rPr>
                        <w:sz w:val="22"/>
                        <w:szCs w:val="36"/>
                      </w:rPr>
                    </w:sdtEndPr>
                    <w:sdtContent>
                      <w:p>
                        <w:pPr>
                          <w:pStyle w:val="9"/>
                          <w:jc w:val="center"/>
                          <w:rPr>
                            <w:sz w:val="22"/>
                            <w:szCs w:val="36"/>
                          </w:rPr>
                        </w:pPr>
                        <w:r>
                          <w:rPr>
                            <w:sz w:val="22"/>
                            <w:szCs w:val="36"/>
                          </w:rPr>
                          <w:fldChar w:fldCharType="begin"/>
                        </w:r>
                        <w:r>
                          <w:rPr>
                            <w:sz w:val="22"/>
                            <w:szCs w:val="36"/>
                          </w:rPr>
                          <w:instrText xml:space="preserve">PAGE   \* MERGEFORMAT</w:instrText>
                        </w:r>
                        <w:r>
                          <w:rPr>
                            <w:sz w:val="22"/>
                            <w:szCs w:val="36"/>
                          </w:rPr>
                          <w:fldChar w:fldCharType="separate"/>
                        </w:r>
                        <w:r>
                          <w:rPr>
                            <w:sz w:val="22"/>
                            <w:szCs w:val="36"/>
                            <w:lang w:val="zh-CN"/>
                          </w:rPr>
                          <w:t>2</w:t>
                        </w:r>
                        <w:r>
                          <w:rPr>
                            <w:sz w:val="22"/>
                            <w:szCs w:val="36"/>
                          </w:rPr>
                          <w:fldChar w:fldCharType="end"/>
                        </w:r>
                      </w:p>
                    </w:sdtContent>
                  </w:sdt>
                  <w:p>
                    <w:pPr>
                      <w:rPr>
                        <w:sz w:val="22"/>
                        <w:szCs w:val="36"/>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2E"/>
    <w:rsid w:val="00031A00"/>
    <w:rsid w:val="0013154B"/>
    <w:rsid w:val="001B0A26"/>
    <w:rsid w:val="0021272E"/>
    <w:rsid w:val="00214FD2"/>
    <w:rsid w:val="00242E47"/>
    <w:rsid w:val="00243C1C"/>
    <w:rsid w:val="00292BAB"/>
    <w:rsid w:val="00293DEA"/>
    <w:rsid w:val="002B6923"/>
    <w:rsid w:val="00301EDD"/>
    <w:rsid w:val="00392A6C"/>
    <w:rsid w:val="0042651C"/>
    <w:rsid w:val="0046071E"/>
    <w:rsid w:val="004B2B21"/>
    <w:rsid w:val="004D40A6"/>
    <w:rsid w:val="00651E0F"/>
    <w:rsid w:val="00675752"/>
    <w:rsid w:val="006B4270"/>
    <w:rsid w:val="0071660E"/>
    <w:rsid w:val="00780467"/>
    <w:rsid w:val="007B0A78"/>
    <w:rsid w:val="00825DAA"/>
    <w:rsid w:val="00831890"/>
    <w:rsid w:val="00843D7D"/>
    <w:rsid w:val="00885B23"/>
    <w:rsid w:val="008878D1"/>
    <w:rsid w:val="00906052"/>
    <w:rsid w:val="009172EF"/>
    <w:rsid w:val="00931DCD"/>
    <w:rsid w:val="009B3561"/>
    <w:rsid w:val="009F5089"/>
    <w:rsid w:val="00A4569D"/>
    <w:rsid w:val="00A9613B"/>
    <w:rsid w:val="00AA3007"/>
    <w:rsid w:val="00AE2279"/>
    <w:rsid w:val="00BA25CB"/>
    <w:rsid w:val="00BC3A1F"/>
    <w:rsid w:val="00C252E4"/>
    <w:rsid w:val="00C339C4"/>
    <w:rsid w:val="00C43C81"/>
    <w:rsid w:val="00C43DE9"/>
    <w:rsid w:val="00CB77BE"/>
    <w:rsid w:val="00D36EE8"/>
    <w:rsid w:val="00D62131"/>
    <w:rsid w:val="00DD32CF"/>
    <w:rsid w:val="00DF447A"/>
    <w:rsid w:val="00DF7AAE"/>
    <w:rsid w:val="00E23611"/>
    <w:rsid w:val="00E901CF"/>
    <w:rsid w:val="00F22F9D"/>
    <w:rsid w:val="00FD6836"/>
    <w:rsid w:val="00FF11AC"/>
    <w:rsid w:val="010A1716"/>
    <w:rsid w:val="011473B7"/>
    <w:rsid w:val="01282E62"/>
    <w:rsid w:val="012B0128"/>
    <w:rsid w:val="01424108"/>
    <w:rsid w:val="01457886"/>
    <w:rsid w:val="01461960"/>
    <w:rsid w:val="01703E3E"/>
    <w:rsid w:val="01717389"/>
    <w:rsid w:val="017442FA"/>
    <w:rsid w:val="01782095"/>
    <w:rsid w:val="018246BB"/>
    <w:rsid w:val="01971DE7"/>
    <w:rsid w:val="019F5B76"/>
    <w:rsid w:val="01AA3877"/>
    <w:rsid w:val="01AA6DBD"/>
    <w:rsid w:val="01AD4130"/>
    <w:rsid w:val="01BA1D3E"/>
    <w:rsid w:val="01D53389"/>
    <w:rsid w:val="01DC15B7"/>
    <w:rsid w:val="01DF4911"/>
    <w:rsid w:val="01E2755F"/>
    <w:rsid w:val="01FB2226"/>
    <w:rsid w:val="02005B8D"/>
    <w:rsid w:val="02063994"/>
    <w:rsid w:val="020B49BA"/>
    <w:rsid w:val="021222D3"/>
    <w:rsid w:val="0212463C"/>
    <w:rsid w:val="021427CE"/>
    <w:rsid w:val="021A5835"/>
    <w:rsid w:val="02241DFE"/>
    <w:rsid w:val="022D1862"/>
    <w:rsid w:val="023B01BC"/>
    <w:rsid w:val="024737BC"/>
    <w:rsid w:val="02483192"/>
    <w:rsid w:val="02490D3B"/>
    <w:rsid w:val="024D2F55"/>
    <w:rsid w:val="025C5348"/>
    <w:rsid w:val="026628DF"/>
    <w:rsid w:val="028B18FB"/>
    <w:rsid w:val="029727EA"/>
    <w:rsid w:val="0299738B"/>
    <w:rsid w:val="02A46519"/>
    <w:rsid w:val="02A60CC5"/>
    <w:rsid w:val="02B16458"/>
    <w:rsid w:val="02C37B4B"/>
    <w:rsid w:val="02C60D8A"/>
    <w:rsid w:val="02C848FD"/>
    <w:rsid w:val="02D2752A"/>
    <w:rsid w:val="02D92273"/>
    <w:rsid w:val="02DE4871"/>
    <w:rsid w:val="02E564C1"/>
    <w:rsid w:val="02EB239A"/>
    <w:rsid w:val="02F13C64"/>
    <w:rsid w:val="030A1D8C"/>
    <w:rsid w:val="030D3AC4"/>
    <w:rsid w:val="03132CE9"/>
    <w:rsid w:val="03144885"/>
    <w:rsid w:val="03262D5A"/>
    <w:rsid w:val="03433852"/>
    <w:rsid w:val="03441DED"/>
    <w:rsid w:val="034C3602"/>
    <w:rsid w:val="034C72DC"/>
    <w:rsid w:val="03515886"/>
    <w:rsid w:val="03534F54"/>
    <w:rsid w:val="03561F09"/>
    <w:rsid w:val="035E3634"/>
    <w:rsid w:val="03697165"/>
    <w:rsid w:val="036D7252"/>
    <w:rsid w:val="03773C2D"/>
    <w:rsid w:val="038B2759"/>
    <w:rsid w:val="038C5082"/>
    <w:rsid w:val="038D16A3"/>
    <w:rsid w:val="03976A1B"/>
    <w:rsid w:val="039D70A9"/>
    <w:rsid w:val="039E00E0"/>
    <w:rsid w:val="03A34A22"/>
    <w:rsid w:val="03B76C4E"/>
    <w:rsid w:val="03BE185C"/>
    <w:rsid w:val="03C42CC6"/>
    <w:rsid w:val="03C436EA"/>
    <w:rsid w:val="03CF5111"/>
    <w:rsid w:val="03D522D4"/>
    <w:rsid w:val="03FE2706"/>
    <w:rsid w:val="040B47D2"/>
    <w:rsid w:val="040F20B8"/>
    <w:rsid w:val="04187028"/>
    <w:rsid w:val="04282065"/>
    <w:rsid w:val="042A2F4E"/>
    <w:rsid w:val="04325E67"/>
    <w:rsid w:val="043B59A9"/>
    <w:rsid w:val="04553F6E"/>
    <w:rsid w:val="045F612A"/>
    <w:rsid w:val="04675A50"/>
    <w:rsid w:val="046A3DD7"/>
    <w:rsid w:val="04707A90"/>
    <w:rsid w:val="04791528"/>
    <w:rsid w:val="047C599F"/>
    <w:rsid w:val="048337F4"/>
    <w:rsid w:val="049625FA"/>
    <w:rsid w:val="04A75FEE"/>
    <w:rsid w:val="04B62469"/>
    <w:rsid w:val="04BD2693"/>
    <w:rsid w:val="04CE143A"/>
    <w:rsid w:val="04E51F88"/>
    <w:rsid w:val="04E52EB8"/>
    <w:rsid w:val="04F73278"/>
    <w:rsid w:val="050B208B"/>
    <w:rsid w:val="050D1A12"/>
    <w:rsid w:val="05107BBD"/>
    <w:rsid w:val="0522149A"/>
    <w:rsid w:val="05281683"/>
    <w:rsid w:val="05353307"/>
    <w:rsid w:val="054443A6"/>
    <w:rsid w:val="05464258"/>
    <w:rsid w:val="05492DC2"/>
    <w:rsid w:val="054C7DEB"/>
    <w:rsid w:val="05557F9E"/>
    <w:rsid w:val="05613B66"/>
    <w:rsid w:val="05740424"/>
    <w:rsid w:val="05783020"/>
    <w:rsid w:val="057834D5"/>
    <w:rsid w:val="057E5747"/>
    <w:rsid w:val="05851891"/>
    <w:rsid w:val="05A36F5B"/>
    <w:rsid w:val="05A4135A"/>
    <w:rsid w:val="05AE4BD4"/>
    <w:rsid w:val="05C40672"/>
    <w:rsid w:val="05CF6057"/>
    <w:rsid w:val="05D62161"/>
    <w:rsid w:val="05E01427"/>
    <w:rsid w:val="05F13FC2"/>
    <w:rsid w:val="05F975F3"/>
    <w:rsid w:val="060E5BA3"/>
    <w:rsid w:val="060F4E17"/>
    <w:rsid w:val="06126336"/>
    <w:rsid w:val="06190FCC"/>
    <w:rsid w:val="06207B25"/>
    <w:rsid w:val="062B2E65"/>
    <w:rsid w:val="06325E39"/>
    <w:rsid w:val="063766A4"/>
    <w:rsid w:val="063E0673"/>
    <w:rsid w:val="064160FC"/>
    <w:rsid w:val="064A0F11"/>
    <w:rsid w:val="06560CF3"/>
    <w:rsid w:val="0659586C"/>
    <w:rsid w:val="06606BFB"/>
    <w:rsid w:val="066C26ED"/>
    <w:rsid w:val="06747BA1"/>
    <w:rsid w:val="0680547E"/>
    <w:rsid w:val="068E23A7"/>
    <w:rsid w:val="069A3EBB"/>
    <w:rsid w:val="06C54CB0"/>
    <w:rsid w:val="06C57DDA"/>
    <w:rsid w:val="06C61153"/>
    <w:rsid w:val="06DB7679"/>
    <w:rsid w:val="06E026DB"/>
    <w:rsid w:val="06F35FB1"/>
    <w:rsid w:val="06FC4999"/>
    <w:rsid w:val="07005812"/>
    <w:rsid w:val="07041C7C"/>
    <w:rsid w:val="070A472D"/>
    <w:rsid w:val="07136CF3"/>
    <w:rsid w:val="071F4F0D"/>
    <w:rsid w:val="072720DF"/>
    <w:rsid w:val="072B4269"/>
    <w:rsid w:val="072D132D"/>
    <w:rsid w:val="07317A72"/>
    <w:rsid w:val="07321941"/>
    <w:rsid w:val="073F0BF8"/>
    <w:rsid w:val="074072DC"/>
    <w:rsid w:val="0746145D"/>
    <w:rsid w:val="075A534D"/>
    <w:rsid w:val="075F5104"/>
    <w:rsid w:val="077B7F68"/>
    <w:rsid w:val="077C0C82"/>
    <w:rsid w:val="07884F3F"/>
    <w:rsid w:val="078E1545"/>
    <w:rsid w:val="07A1571D"/>
    <w:rsid w:val="07AA546D"/>
    <w:rsid w:val="07B2273C"/>
    <w:rsid w:val="07B62F76"/>
    <w:rsid w:val="07BC106A"/>
    <w:rsid w:val="07D6545A"/>
    <w:rsid w:val="07E76AA7"/>
    <w:rsid w:val="07EB4A4B"/>
    <w:rsid w:val="07F03681"/>
    <w:rsid w:val="07FB67F7"/>
    <w:rsid w:val="07FC6546"/>
    <w:rsid w:val="07FE7BA0"/>
    <w:rsid w:val="08021D84"/>
    <w:rsid w:val="08036419"/>
    <w:rsid w:val="080A7AC8"/>
    <w:rsid w:val="080C2180"/>
    <w:rsid w:val="082352B6"/>
    <w:rsid w:val="08257650"/>
    <w:rsid w:val="08276E2E"/>
    <w:rsid w:val="08286C05"/>
    <w:rsid w:val="082F4AD6"/>
    <w:rsid w:val="0834245F"/>
    <w:rsid w:val="08401A76"/>
    <w:rsid w:val="08413508"/>
    <w:rsid w:val="08431E7C"/>
    <w:rsid w:val="084A41A0"/>
    <w:rsid w:val="084E593B"/>
    <w:rsid w:val="08543DF6"/>
    <w:rsid w:val="085C5BF3"/>
    <w:rsid w:val="086165F2"/>
    <w:rsid w:val="086D5FBC"/>
    <w:rsid w:val="086E4657"/>
    <w:rsid w:val="0874714B"/>
    <w:rsid w:val="0878716E"/>
    <w:rsid w:val="087F5A5E"/>
    <w:rsid w:val="08844E22"/>
    <w:rsid w:val="088E72A2"/>
    <w:rsid w:val="08997BA9"/>
    <w:rsid w:val="089F7EAE"/>
    <w:rsid w:val="08A90D2D"/>
    <w:rsid w:val="08AD7514"/>
    <w:rsid w:val="08B3215B"/>
    <w:rsid w:val="08BD778E"/>
    <w:rsid w:val="08C63D58"/>
    <w:rsid w:val="08C73CC2"/>
    <w:rsid w:val="08C85208"/>
    <w:rsid w:val="08CD2BD6"/>
    <w:rsid w:val="08CF0949"/>
    <w:rsid w:val="08D963B8"/>
    <w:rsid w:val="08DB69D8"/>
    <w:rsid w:val="08DE0ABA"/>
    <w:rsid w:val="08DF03B0"/>
    <w:rsid w:val="08E31DAB"/>
    <w:rsid w:val="08F26A5E"/>
    <w:rsid w:val="090A5A61"/>
    <w:rsid w:val="09121640"/>
    <w:rsid w:val="09173EE8"/>
    <w:rsid w:val="09216B15"/>
    <w:rsid w:val="092B1312"/>
    <w:rsid w:val="095073FA"/>
    <w:rsid w:val="0952458B"/>
    <w:rsid w:val="0958443C"/>
    <w:rsid w:val="09597747"/>
    <w:rsid w:val="095A0970"/>
    <w:rsid w:val="09611C3A"/>
    <w:rsid w:val="09644C54"/>
    <w:rsid w:val="09722ECD"/>
    <w:rsid w:val="09776AB8"/>
    <w:rsid w:val="097906FF"/>
    <w:rsid w:val="097F4E64"/>
    <w:rsid w:val="098A3EEB"/>
    <w:rsid w:val="09977155"/>
    <w:rsid w:val="099B3849"/>
    <w:rsid w:val="099B77C5"/>
    <w:rsid w:val="09B40462"/>
    <w:rsid w:val="09B51231"/>
    <w:rsid w:val="09B5725D"/>
    <w:rsid w:val="09D3643E"/>
    <w:rsid w:val="09EB142E"/>
    <w:rsid w:val="09EC0102"/>
    <w:rsid w:val="09F01883"/>
    <w:rsid w:val="09F10417"/>
    <w:rsid w:val="09F23134"/>
    <w:rsid w:val="09F358A3"/>
    <w:rsid w:val="09F91A8A"/>
    <w:rsid w:val="0A020815"/>
    <w:rsid w:val="0A075D0B"/>
    <w:rsid w:val="0A1A26D1"/>
    <w:rsid w:val="0A1C66D1"/>
    <w:rsid w:val="0A2170A6"/>
    <w:rsid w:val="0A223C87"/>
    <w:rsid w:val="0A250DC0"/>
    <w:rsid w:val="0A267511"/>
    <w:rsid w:val="0A347112"/>
    <w:rsid w:val="0A3B1E0E"/>
    <w:rsid w:val="0A463778"/>
    <w:rsid w:val="0A4756F2"/>
    <w:rsid w:val="0A4E24DF"/>
    <w:rsid w:val="0A555586"/>
    <w:rsid w:val="0A5B4850"/>
    <w:rsid w:val="0A5D050F"/>
    <w:rsid w:val="0A6E649D"/>
    <w:rsid w:val="0A7669ED"/>
    <w:rsid w:val="0A7D5FCD"/>
    <w:rsid w:val="0A7F0CE8"/>
    <w:rsid w:val="0A803B0B"/>
    <w:rsid w:val="0A933DE7"/>
    <w:rsid w:val="0A980798"/>
    <w:rsid w:val="0A980D36"/>
    <w:rsid w:val="0AB900B6"/>
    <w:rsid w:val="0AC11B40"/>
    <w:rsid w:val="0AD13AEF"/>
    <w:rsid w:val="0AD32091"/>
    <w:rsid w:val="0AD8268D"/>
    <w:rsid w:val="0ADF67CA"/>
    <w:rsid w:val="0AE51E6F"/>
    <w:rsid w:val="0AE9400E"/>
    <w:rsid w:val="0AED65A2"/>
    <w:rsid w:val="0AEE2A27"/>
    <w:rsid w:val="0AF31067"/>
    <w:rsid w:val="0AFC119D"/>
    <w:rsid w:val="0AFD6AD9"/>
    <w:rsid w:val="0B04224A"/>
    <w:rsid w:val="0B062302"/>
    <w:rsid w:val="0B0C3A42"/>
    <w:rsid w:val="0B0F6A33"/>
    <w:rsid w:val="0B12654C"/>
    <w:rsid w:val="0B1E1179"/>
    <w:rsid w:val="0B1F1781"/>
    <w:rsid w:val="0B2226D0"/>
    <w:rsid w:val="0B2A6D41"/>
    <w:rsid w:val="0B2C17A1"/>
    <w:rsid w:val="0B3A4F30"/>
    <w:rsid w:val="0B5D7BAD"/>
    <w:rsid w:val="0B746AD1"/>
    <w:rsid w:val="0B775C8C"/>
    <w:rsid w:val="0B7912FE"/>
    <w:rsid w:val="0B845139"/>
    <w:rsid w:val="0B882E7B"/>
    <w:rsid w:val="0B925082"/>
    <w:rsid w:val="0B96065A"/>
    <w:rsid w:val="0B9B136A"/>
    <w:rsid w:val="0BA069A6"/>
    <w:rsid w:val="0BA07177"/>
    <w:rsid w:val="0BB34F02"/>
    <w:rsid w:val="0BB91287"/>
    <w:rsid w:val="0BBA3F41"/>
    <w:rsid w:val="0BBA6A46"/>
    <w:rsid w:val="0BBB048D"/>
    <w:rsid w:val="0BBC777C"/>
    <w:rsid w:val="0BC22398"/>
    <w:rsid w:val="0BC861EA"/>
    <w:rsid w:val="0BC973C0"/>
    <w:rsid w:val="0BD0037E"/>
    <w:rsid w:val="0BD1409E"/>
    <w:rsid w:val="0BD84830"/>
    <w:rsid w:val="0BDC0005"/>
    <w:rsid w:val="0BDE7DA3"/>
    <w:rsid w:val="0BE01BA8"/>
    <w:rsid w:val="0BEA12D7"/>
    <w:rsid w:val="0BF900C5"/>
    <w:rsid w:val="0BFE4EEC"/>
    <w:rsid w:val="0C0240FC"/>
    <w:rsid w:val="0C051618"/>
    <w:rsid w:val="0C063F25"/>
    <w:rsid w:val="0C1002F6"/>
    <w:rsid w:val="0C117B75"/>
    <w:rsid w:val="0C170A97"/>
    <w:rsid w:val="0C197F77"/>
    <w:rsid w:val="0C1D2A17"/>
    <w:rsid w:val="0C1F0A49"/>
    <w:rsid w:val="0C2F32F7"/>
    <w:rsid w:val="0C347916"/>
    <w:rsid w:val="0C4704C8"/>
    <w:rsid w:val="0C4746A1"/>
    <w:rsid w:val="0C5B2842"/>
    <w:rsid w:val="0C5E05FA"/>
    <w:rsid w:val="0C600A69"/>
    <w:rsid w:val="0C686809"/>
    <w:rsid w:val="0C6869C4"/>
    <w:rsid w:val="0C797D1D"/>
    <w:rsid w:val="0C7D4058"/>
    <w:rsid w:val="0C812C6E"/>
    <w:rsid w:val="0C8A7057"/>
    <w:rsid w:val="0C8F75A3"/>
    <w:rsid w:val="0C915D60"/>
    <w:rsid w:val="0C963DAB"/>
    <w:rsid w:val="0CA05B8A"/>
    <w:rsid w:val="0CA37841"/>
    <w:rsid w:val="0CAC50C2"/>
    <w:rsid w:val="0CBD0B0B"/>
    <w:rsid w:val="0CBD3E58"/>
    <w:rsid w:val="0CBE28CD"/>
    <w:rsid w:val="0CC163F7"/>
    <w:rsid w:val="0CC35822"/>
    <w:rsid w:val="0CD8398F"/>
    <w:rsid w:val="0CE51C08"/>
    <w:rsid w:val="0D026DED"/>
    <w:rsid w:val="0D044784"/>
    <w:rsid w:val="0D097FEC"/>
    <w:rsid w:val="0D1424ED"/>
    <w:rsid w:val="0D177D5A"/>
    <w:rsid w:val="0D1A00DE"/>
    <w:rsid w:val="0D2209FC"/>
    <w:rsid w:val="0D221E51"/>
    <w:rsid w:val="0D244E26"/>
    <w:rsid w:val="0D3211CA"/>
    <w:rsid w:val="0D500BC0"/>
    <w:rsid w:val="0D533015"/>
    <w:rsid w:val="0D5A5E43"/>
    <w:rsid w:val="0D5A7616"/>
    <w:rsid w:val="0D642DE6"/>
    <w:rsid w:val="0D6D03A7"/>
    <w:rsid w:val="0D7116ED"/>
    <w:rsid w:val="0D7139B4"/>
    <w:rsid w:val="0D7E4D13"/>
    <w:rsid w:val="0D847672"/>
    <w:rsid w:val="0D8669D3"/>
    <w:rsid w:val="0D9025CD"/>
    <w:rsid w:val="0D984C3B"/>
    <w:rsid w:val="0D9B2FCD"/>
    <w:rsid w:val="0DC42165"/>
    <w:rsid w:val="0DDC013C"/>
    <w:rsid w:val="0DED79C4"/>
    <w:rsid w:val="0DF34189"/>
    <w:rsid w:val="0DF42F94"/>
    <w:rsid w:val="0DF53B17"/>
    <w:rsid w:val="0E023C9B"/>
    <w:rsid w:val="0E042561"/>
    <w:rsid w:val="0E074C74"/>
    <w:rsid w:val="0E0A4EF2"/>
    <w:rsid w:val="0E0E4526"/>
    <w:rsid w:val="0E1B6352"/>
    <w:rsid w:val="0E1E1875"/>
    <w:rsid w:val="0E2B3F92"/>
    <w:rsid w:val="0E4B1F3E"/>
    <w:rsid w:val="0E516901"/>
    <w:rsid w:val="0E556FD6"/>
    <w:rsid w:val="0E5A28AC"/>
    <w:rsid w:val="0E5A4271"/>
    <w:rsid w:val="0E5F41AF"/>
    <w:rsid w:val="0E605528"/>
    <w:rsid w:val="0E703A38"/>
    <w:rsid w:val="0E7B0A75"/>
    <w:rsid w:val="0E8042DE"/>
    <w:rsid w:val="0E874FFE"/>
    <w:rsid w:val="0E87566C"/>
    <w:rsid w:val="0E8A0CB9"/>
    <w:rsid w:val="0E917D9B"/>
    <w:rsid w:val="0EA53D44"/>
    <w:rsid w:val="0EA75FF1"/>
    <w:rsid w:val="0EA97DC9"/>
    <w:rsid w:val="0EC0292C"/>
    <w:rsid w:val="0ECA77FF"/>
    <w:rsid w:val="0ECB4C35"/>
    <w:rsid w:val="0ECE4B7F"/>
    <w:rsid w:val="0EEF2898"/>
    <w:rsid w:val="0EF74410"/>
    <w:rsid w:val="0EF7561E"/>
    <w:rsid w:val="0F03756C"/>
    <w:rsid w:val="0F096220"/>
    <w:rsid w:val="0F191186"/>
    <w:rsid w:val="0F196736"/>
    <w:rsid w:val="0F1E7653"/>
    <w:rsid w:val="0F204FA9"/>
    <w:rsid w:val="0F2409E4"/>
    <w:rsid w:val="0F256C33"/>
    <w:rsid w:val="0F2646A0"/>
    <w:rsid w:val="0F3671B8"/>
    <w:rsid w:val="0F386966"/>
    <w:rsid w:val="0F3C5978"/>
    <w:rsid w:val="0F3D1472"/>
    <w:rsid w:val="0F4C3DCA"/>
    <w:rsid w:val="0F514095"/>
    <w:rsid w:val="0F5A37ED"/>
    <w:rsid w:val="0F617F00"/>
    <w:rsid w:val="0F670FFA"/>
    <w:rsid w:val="0F8340AB"/>
    <w:rsid w:val="0F955B67"/>
    <w:rsid w:val="0F9D5F2C"/>
    <w:rsid w:val="0F9E61E5"/>
    <w:rsid w:val="0F9F6E8A"/>
    <w:rsid w:val="0FAA109D"/>
    <w:rsid w:val="0FAA61BC"/>
    <w:rsid w:val="0FB542F2"/>
    <w:rsid w:val="0FD50659"/>
    <w:rsid w:val="0FD5214D"/>
    <w:rsid w:val="0FD7617F"/>
    <w:rsid w:val="0FEA22FC"/>
    <w:rsid w:val="10036510"/>
    <w:rsid w:val="10060813"/>
    <w:rsid w:val="100B7BD7"/>
    <w:rsid w:val="100F42CE"/>
    <w:rsid w:val="101C3986"/>
    <w:rsid w:val="102200DD"/>
    <w:rsid w:val="102313C5"/>
    <w:rsid w:val="10260EB5"/>
    <w:rsid w:val="102B21FA"/>
    <w:rsid w:val="103B60FE"/>
    <w:rsid w:val="104258B0"/>
    <w:rsid w:val="10623011"/>
    <w:rsid w:val="1065033C"/>
    <w:rsid w:val="106A3C74"/>
    <w:rsid w:val="106A6D76"/>
    <w:rsid w:val="106C074C"/>
    <w:rsid w:val="10796200"/>
    <w:rsid w:val="10962C63"/>
    <w:rsid w:val="109B79FF"/>
    <w:rsid w:val="109F5AB3"/>
    <w:rsid w:val="10A210D0"/>
    <w:rsid w:val="10A86BF3"/>
    <w:rsid w:val="10B65D95"/>
    <w:rsid w:val="10BB14A4"/>
    <w:rsid w:val="10C05C21"/>
    <w:rsid w:val="10C43AAC"/>
    <w:rsid w:val="10CA5CE4"/>
    <w:rsid w:val="10D27972"/>
    <w:rsid w:val="10D60878"/>
    <w:rsid w:val="10E2732D"/>
    <w:rsid w:val="10E34306"/>
    <w:rsid w:val="10E70644"/>
    <w:rsid w:val="10EE19D3"/>
    <w:rsid w:val="10FD16A6"/>
    <w:rsid w:val="10FE58C3"/>
    <w:rsid w:val="1103077A"/>
    <w:rsid w:val="11054458"/>
    <w:rsid w:val="111145F1"/>
    <w:rsid w:val="1113541C"/>
    <w:rsid w:val="112163E1"/>
    <w:rsid w:val="11346CBF"/>
    <w:rsid w:val="1134709A"/>
    <w:rsid w:val="11355C17"/>
    <w:rsid w:val="113969D5"/>
    <w:rsid w:val="11425469"/>
    <w:rsid w:val="11567578"/>
    <w:rsid w:val="11592153"/>
    <w:rsid w:val="11626A34"/>
    <w:rsid w:val="11632F7E"/>
    <w:rsid w:val="116A62B6"/>
    <w:rsid w:val="118063A3"/>
    <w:rsid w:val="118331F4"/>
    <w:rsid w:val="119530D4"/>
    <w:rsid w:val="119E5932"/>
    <w:rsid w:val="119F5290"/>
    <w:rsid w:val="11A7652E"/>
    <w:rsid w:val="11AC7198"/>
    <w:rsid w:val="11B64167"/>
    <w:rsid w:val="11BA3663"/>
    <w:rsid w:val="11BB1EFE"/>
    <w:rsid w:val="11D321A9"/>
    <w:rsid w:val="11E710E0"/>
    <w:rsid w:val="11EA4DE7"/>
    <w:rsid w:val="11F51A16"/>
    <w:rsid w:val="11F63323"/>
    <w:rsid w:val="120D5E88"/>
    <w:rsid w:val="12143012"/>
    <w:rsid w:val="121D1E44"/>
    <w:rsid w:val="121D6BE8"/>
    <w:rsid w:val="122219A0"/>
    <w:rsid w:val="122C3992"/>
    <w:rsid w:val="122E5DFF"/>
    <w:rsid w:val="12492B02"/>
    <w:rsid w:val="124F1815"/>
    <w:rsid w:val="124F7F09"/>
    <w:rsid w:val="12513235"/>
    <w:rsid w:val="12567B3F"/>
    <w:rsid w:val="125F31DA"/>
    <w:rsid w:val="12844B85"/>
    <w:rsid w:val="129A66ED"/>
    <w:rsid w:val="12A0422B"/>
    <w:rsid w:val="12A10CC7"/>
    <w:rsid w:val="12AC1E77"/>
    <w:rsid w:val="12B509B0"/>
    <w:rsid w:val="12BE53D5"/>
    <w:rsid w:val="12C55D55"/>
    <w:rsid w:val="12C86253"/>
    <w:rsid w:val="12D2438A"/>
    <w:rsid w:val="12D934EB"/>
    <w:rsid w:val="12DD1CFF"/>
    <w:rsid w:val="12E10BEC"/>
    <w:rsid w:val="12ED1816"/>
    <w:rsid w:val="12EF7D0F"/>
    <w:rsid w:val="12F20A90"/>
    <w:rsid w:val="12F23B99"/>
    <w:rsid w:val="131336F1"/>
    <w:rsid w:val="131C23FC"/>
    <w:rsid w:val="132370DF"/>
    <w:rsid w:val="132711CC"/>
    <w:rsid w:val="1331165A"/>
    <w:rsid w:val="1335529D"/>
    <w:rsid w:val="133833D9"/>
    <w:rsid w:val="13385187"/>
    <w:rsid w:val="133F0BD4"/>
    <w:rsid w:val="134B7BAA"/>
    <w:rsid w:val="135C7470"/>
    <w:rsid w:val="13610B82"/>
    <w:rsid w:val="136743F4"/>
    <w:rsid w:val="136A013D"/>
    <w:rsid w:val="136C3083"/>
    <w:rsid w:val="136E1102"/>
    <w:rsid w:val="136F20AF"/>
    <w:rsid w:val="138B0FFA"/>
    <w:rsid w:val="138D588B"/>
    <w:rsid w:val="139751CD"/>
    <w:rsid w:val="13A936BD"/>
    <w:rsid w:val="13AB3BAB"/>
    <w:rsid w:val="13BA37EF"/>
    <w:rsid w:val="13CC096A"/>
    <w:rsid w:val="13E744B7"/>
    <w:rsid w:val="13EC11A3"/>
    <w:rsid w:val="13F86B10"/>
    <w:rsid w:val="13F94918"/>
    <w:rsid w:val="140C03C2"/>
    <w:rsid w:val="142474B9"/>
    <w:rsid w:val="142C45C0"/>
    <w:rsid w:val="14301E78"/>
    <w:rsid w:val="143A0A8B"/>
    <w:rsid w:val="143C0CA7"/>
    <w:rsid w:val="143D67CD"/>
    <w:rsid w:val="144017EC"/>
    <w:rsid w:val="144910BE"/>
    <w:rsid w:val="145F1368"/>
    <w:rsid w:val="14900FF3"/>
    <w:rsid w:val="14915F3C"/>
    <w:rsid w:val="149B082E"/>
    <w:rsid w:val="14AD3731"/>
    <w:rsid w:val="14AE69B3"/>
    <w:rsid w:val="14B73D4F"/>
    <w:rsid w:val="14BB037D"/>
    <w:rsid w:val="14CB5B32"/>
    <w:rsid w:val="14D1746B"/>
    <w:rsid w:val="14D513B7"/>
    <w:rsid w:val="14D5577C"/>
    <w:rsid w:val="14D64C58"/>
    <w:rsid w:val="14D65E4F"/>
    <w:rsid w:val="14D7452C"/>
    <w:rsid w:val="14DB6F9E"/>
    <w:rsid w:val="14DD0163"/>
    <w:rsid w:val="14F00C72"/>
    <w:rsid w:val="14F21366"/>
    <w:rsid w:val="14FC21E4"/>
    <w:rsid w:val="150443FD"/>
    <w:rsid w:val="15095FBD"/>
    <w:rsid w:val="1511190B"/>
    <w:rsid w:val="151F7BF6"/>
    <w:rsid w:val="15216FB7"/>
    <w:rsid w:val="152A0C01"/>
    <w:rsid w:val="15347BD0"/>
    <w:rsid w:val="153653FF"/>
    <w:rsid w:val="153E3B9F"/>
    <w:rsid w:val="15695ACC"/>
    <w:rsid w:val="15734118"/>
    <w:rsid w:val="157639B5"/>
    <w:rsid w:val="1576720C"/>
    <w:rsid w:val="158519F0"/>
    <w:rsid w:val="158E028D"/>
    <w:rsid w:val="158E33E9"/>
    <w:rsid w:val="158E5532"/>
    <w:rsid w:val="158F7205"/>
    <w:rsid w:val="15946A69"/>
    <w:rsid w:val="159726E8"/>
    <w:rsid w:val="159C7E77"/>
    <w:rsid w:val="159E5940"/>
    <w:rsid w:val="15A31E91"/>
    <w:rsid w:val="15A41023"/>
    <w:rsid w:val="15A73929"/>
    <w:rsid w:val="15B17473"/>
    <w:rsid w:val="15B36122"/>
    <w:rsid w:val="15B80793"/>
    <w:rsid w:val="15BE6871"/>
    <w:rsid w:val="15CA22E2"/>
    <w:rsid w:val="15D36D83"/>
    <w:rsid w:val="15DB2A63"/>
    <w:rsid w:val="15E10D2D"/>
    <w:rsid w:val="15E66A75"/>
    <w:rsid w:val="15E83873"/>
    <w:rsid w:val="15EA0FCB"/>
    <w:rsid w:val="15EA65FA"/>
    <w:rsid w:val="15F555B1"/>
    <w:rsid w:val="160345E8"/>
    <w:rsid w:val="160724C1"/>
    <w:rsid w:val="16157A01"/>
    <w:rsid w:val="161812A0"/>
    <w:rsid w:val="161D0664"/>
    <w:rsid w:val="162B4B2F"/>
    <w:rsid w:val="162F0A6A"/>
    <w:rsid w:val="16365D5E"/>
    <w:rsid w:val="163A4624"/>
    <w:rsid w:val="16482563"/>
    <w:rsid w:val="164A44DE"/>
    <w:rsid w:val="165062F5"/>
    <w:rsid w:val="165340E5"/>
    <w:rsid w:val="16553AA0"/>
    <w:rsid w:val="16554D26"/>
    <w:rsid w:val="16585C6B"/>
    <w:rsid w:val="165A3666"/>
    <w:rsid w:val="1660726D"/>
    <w:rsid w:val="16633C52"/>
    <w:rsid w:val="16652404"/>
    <w:rsid w:val="16671A0E"/>
    <w:rsid w:val="166A32A8"/>
    <w:rsid w:val="167E55A7"/>
    <w:rsid w:val="1686445B"/>
    <w:rsid w:val="16891BA6"/>
    <w:rsid w:val="16922E00"/>
    <w:rsid w:val="169765DB"/>
    <w:rsid w:val="169A7F07"/>
    <w:rsid w:val="169F46D6"/>
    <w:rsid w:val="16A13798"/>
    <w:rsid w:val="16AF7C42"/>
    <w:rsid w:val="16BE1E47"/>
    <w:rsid w:val="16C77784"/>
    <w:rsid w:val="16E13640"/>
    <w:rsid w:val="16E34541"/>
    <w:rsid w:val="16E515E5"/>
    <w:rsid w:val="16E7292A"/>
    <w:rsid w:val="16EF3DAF"/>
    <w:rsid w:val="16FC6A7F"/>
    <w:rsid w:val="17084E70"/>
    <w:rsid w:val="17097C7A"/>
    <w:rsid w:val="172734F7"/>
    <w:rsid w:val="172E69C9"/>
    <w:rsid w:val="17354EAE"/>
    <w:rsid w:val="173B5246"/>
    <w:rsid w:val="174331A2"/>
    <w:rsid w:val="1744577B"/>
    <w:rsid w:val="17463BEB"/>
    <w:rsid w:val="174A46B0"/>
    <w:rsid w:val="175B1444"/>
    <w:rsid w:val="175E6F25"/>
    <w:rsid w:val="175E7186"/>
    <w:rsid w:val="17735C02"/>
    <w:rsid w:val="177711E6"/>
    <w:rsid w:val="17861089"/>
    <w:rsid w:val="178A7F7B"/>
    <w:rsid w:val="179200EF"/>
    <w:rsid w:val="179E7583"/>
    <w:rsid w:val="17AE18DA"/>
    <w:rsid w:val="17AE3C6A"/>
    <w:rsid w:val="17B03F4A"/>
    <w:rsid w:val="17B44FF8"/>
    <w:rsid w:val="17B80644"/>
    <w:rsid w:val="17BC3B81"/>
    <w:rsid w:val="17C36B18"/>
    <w:rsid w:val="17C442F0"/>
    <w:rsid w:val="17DD00AB"/>
    <w:rsid w:val="17E16AE5"/>
    <w:rsid w:val="17FA2C07"/>
    <w:rsid w:val="17FF2717"/>
    <w:rsid w:val="18055342"/>
    <w:rsid w:val="180838A8"/>
    <w:rsid w:val="180D5123"/>
    <w:rsid w:val="180D66FE"/>
    <w:rsid w:val="181F7418"/>
    <w:rsid w:val="18245CDA"/>
    <w:rsid w:val="18253800"/>
    <w:rsid w:val="1827044F"/>
    <w:rsid w:val="18323044"/>
    <w:rsid w:val="1833599B"/>
    <w:rsid w:val="18440925"/>
    <w:rsid w:val="1845716D"/>
    <w:rsid w:val="18515AC1"/>
    <w:rsid w:val="18545794"/>
    <w:rsid w:val="185A5BA0"/>
    <w:rsid w:val="186E33F9"/>
    <w:rsid w:val="186E7429"/>
    <w:rsid w:val="186F2D2B"/>
    <w:rsid w:val="18793A98"/>
    <w:rsid w:val="187C3D68"/>
    <w:rsid w:val="18842635"/>
    <w:rsid w:val="188F3FD9"/>
    <w:rsid w:val="18910E95"/>
    <w:rsid w:val="18975246"/>
    <w:rsid w:val="18A15D24"/>
    <w:rsid w:val="18A173BF"/>
    <w:rsid w:val="18BC4164"/>
    <w:rsid w:val="18BF5A03"/>
    <w:rsid w:val="18C4452F"/>
    <w:rsid w:val="18C64FE3"/>
    <w:rsid w:val="18CB084B"/>
    <w:rsid w:val="18CE7660"/>
    <w:rsid w:val="18DD4AFB"/>
    <w:rsid w:val="18EA4FB6"/>
    <w:rsid w:val="18F0669B"/>
    <w:rsid w:val="18F23A44"/>
    <w:rsid w:val="18F6295A"/>
    <w:rsid w:val="190A35A1"/>
    <w:rsid w:val="190A7F45"/>
    <w:rsid w:val="19141C76"/>
    <w:rsid w:val="191F643D"/>
    <w:rsid w:val="192D5062"/>
    <w:rsid w:val="1933023E"/>
    <w:rsid w:val="19332D0C"/>
    <w:rsid w:val="193445E4"/>
    <w:rsid w:val="19377C8F"/>
    <w:rsid w:val="193A012F"/>
    <w:rsid w:val="19406B43"/>
    <w:rsid w:val="196C074A"/>
    <w:rsid w:val="19720CC7"/>
    <w:rsid w:val="19851402"/>
    <w:rsid w:val="198A4263"/>
    <w:rsid w:val="199675E1"/>
    <w:rsid w:val="19976A5D"/>
    <w:rsid w:val="1999020F"/>
    <w:rsid w:val="199944A6"/>
    <w:rsid w:val="199E386A"/>
    <w:rsid w:val="19A065A1"/>
    <w:rsid w:val="19A57879"/>
    <w:rsid w:val="19AE7848"/>
    <w:rsid w:val="19B17A41"/>
    <w:rsid w:val="19BD63E6"/>
    <w:rsid w:val="19C05185"/>
    <w:rsid w:val="19D379B8"/>
    <w:rsid w:val="19D674A8"/>
    <w:rsid w:val="19D85F62"/>
    <w:rsid w:val="19DE635C"/>
    <w:rsid w:val="19E02C53"/>
    <w:rsid w:val="19E53826"/>
    <w:rsid w:val="19ED6467"/>
    <w:rsid w:val="19FA4C09"/>
    <w:rsid w:val="1A05491E"/>
    <w:rsid w:val="1A0758B3"/>
    <w:rsid w:val="1A13040E"/>
    <w:rsid w:val="1A141D7E"/>
    <w:rsid w:val="1A204BC7"/>
    <w:rsid w:val="1A22449B"/>
    <w:rsid w:val="1A2B6074"/>
    <w:rsid w:val="1A3A14C4"/>
    <w:rsid w:val="1A3D152A"/>
    <w:rsid w:val="1A3D3E6B"/>
    <w:rsid w:val="1A3F2009"/>
    <w:rsid w:val="1A441E0D"/>
    <w:rsid w:val="1A4753C4"/>
    <w:rsid w:val="1A4C59BC"/>
    <w:rsid w:val="1A4D1AF3"/>
    <w:rsid w:val="1A573DB5"/>
    <w:rsid w:val="1A5B4C47"/>
    <w:rsid w:val="1A674463"/>
    <w:rsid w:val="1A6B16E1"/>
    <w:rsid w:val="1A6B7368"/>
    <w:rsid w:val="1A6C249E"/>
    <w:rsid w:val="1A6C4B24"/>
    <w:rsid w:val="1A8143DB"/>
    <w:rsid w:val="1A85524B"/>
    <w:rsid w:val="1A8E38DF"/>
    <w:rsid w:val="1A954C6D"/>
    <w:rsid w:val="1A9A1998"/>
    <w:rsid w:val="1AA0140D"/>
    <w:rsid w:val="1AAF44F2"/>
    <w:rsid w:val="1AB444EB"/>
    <w:rsid w:val="1AB55051"/>
    <w:rsid w:val="1AB86BAD"/>
    <w:rsid w:val="1AC95770"/>
    <w:rsid w:val="1AD57CE2"/>
    <w:rsid w:val="1AD82DAC"/>
    <w:rsid w:val="1AF321E4"/>
    <w:rsid w:val="1B096C79"/>
    <w:rsid w:val="1B156C61"/>
    <w:rsid w:val="1B293607"/>
    <w:rsid w:val="1B340DF1"/>
    <w:rsid w:val="1B3A3153"/>
    <w:rsid w:val="1B4E63E7"/>
    <w:rsid w:val="1B5D6FB2"/>
    <w:rsid w:val="1B661EA8"/>
    <w:rsid w:val="1B71514B"/>
    <w:rsid w:val="1B8229A5"/>
    <w:rsid w:val="1B864834"/>
    <w:rsid w:val="1B8D003A"/>
    <w:rsid w:val="1B9877F2"/>
    <w:rsid w:val="1BB070E5"/>
    <w:rsid w:val="1BC056E7"/>
    <w:rsid w:val="1BC513BB"/>
    <w:rsid w:val="1BD70DC8"/>
    <w:rsid w:val="1BDF10D5"/>
    <w:rsid w:val="1BE55780"/>
    <w:rsid w:val="1BED072B"/>
    <w:rsid w:val="1BEF268F"/>
    <w:rsid w:val="1C060D09"/>
    <w:rsid w:val="1C070910"/>
    <w:rsid w:val="1C0D343A"/>
    <w:rsid w:val="1C0D37E4"/>
    <w:rsid w:val="1C124DF9"/>
    <w:rsid w:val="1C183B46"/>
    <w:rsid w:val="1C1B608B"/>
    <w:rsid w:val="1C1E101D"/>
    <w:rsid w:val="1C1F2AA5"/>
    <w:rsid w:val="1C224C26"/>
    <w:rsid w:val="1C2B76F0"/>
    <w:rsid w:val="1C30068C"/>
    <w:rsid w:val="1C3109C5"/>
    <w:rsid w:val="1C310EDE"/>
    <w:rsid w:val="1C385A68"/>
    <w:rsid w:val="1C3D40ED"/>
    <w:rsid w:val="1C3D55BC"/>
    <w:rsid w:val="1C492AAF"/>
    <w:rsid w:val="1C4B5294"/>
    <w:rsid w:val="1C5A4A47"/>
    <w:rsid w:val="1C5C7C62"/>
    <w:rsid w:val="1C6074FD"/>
    <w:rsid w:val="1C6F468F"/>
    <w:rsid w:val="1C7236B1"/>
    <w:rsid w:val="1C9114A2"/>
    <w:rsid w:val="1C9526E5"/>
    <w:rsid w:val="1C966110"/>
    <w:rsid w:val="1C976797"/>
    <w:rsid w:val="1C99014B"/>
    <w:rsid w:val="1CC163AC"/>
    <w:rsid w:val="1CD52E8B"/>
    <w:rsid w:val="1CD66FB8"/>
    <w:rsid w:val="1CDB6B83"/>
    <w:rsid w:val="1CEC0D90"/>
    <w:rsid w:val="1D014681"/>
    <w:rsid w:val="1D081E29"/>
    <w:rsid w:val="1D0918F3"/>
    <w:rsid w:val="1D0B67AD"/>
    <w:rsid w:val="1D0D4151"/>
    <w:rsid w:val="1D0E0D07"/>
    <w:rsid w:val="1D1D0BA2"/>
    <w:rsid w:val="1D231C6B"/>
    <w:rsid w:val="1D2B351D"/>
    <w:rsid w:val="1D2B7DAF"/>
    <w:rsid w:val="1D326189"/>
    <w:rsid w:val="1D330988"/>
    <w:rsid w:val="1D383FD6"/>
    <w:rsid w:val="1D3D0CA2"/>
    <w:rsid w:val="1D3D65E7"/>
    <w:rsid w:val="1D474E7A"/>
    <w:rsid w:val="1D4B7FE0"/>
    <w:rsid w:val="1D530522"/>
    <w:rsid w:val="1D542477"/>
    <w:rsid w:val="1D5D6412"/>
    <w:rsid w:val="1D6A0633"/>
    <w:rsid w:val="1D836E80"/>
    <w:rsid w:val="1D8F040A"/>
    <w:rsid w:val="1DAA4B57"/>
    <w:rsid w:val="1DAB0592"/>
    <w:rsid w:val="1DBB4102"/>
    <w:rsid w:val="1DBE2640"/>
    <w:rsid w:val="1DC1221D"/>
    <w:rsid w:val="1DDC2BB3"/>
    <w:rsid w:val="1DE545BA"/>
    <w:rsid w:val="1DE702CC"/>
    <w:rsid w:val="1DEA6CE6"/>
    <w:rsid w:val="1DEF6D8A"/>
    <w:rsid w:val="1DF20628"/>
    <w:rsid w:val="1DF44650"/>
    <w:rsid w:val="1DF53BB0"/>
    <w:rsid w:val="1DF61EC7"/>
    <w:rsid w:val="1E0232B0"/>
    <w:rsid w:val="1E044F26"/>
    <w:rsid w:val="1E0A3BC4"/>
    <w:rsid w:val="1E0A586C"/>
    <w:rsid w:val="1E0E0E91"/>
    <w:rsid w:val="1E2E30B9"/>
    <w:rsid w:val="1E526832"/>
    <w:rsid w:val="1E5B78DA"/>
    <w:rsid w:val="1E622D2D"/>
    <w:rsid w:val="1E68625B"/>
    <w:rsid w:val="1E921EBF"/>
    <w:rsid w:val="1E9729B5"/>
    <w:rsid w:val="1E991DE6"/>
    <w:rsid w:val="1E9933DA"/>
    <w:rsid w:val="1EA02FD6"/>
    <w:rsid w:val="1EB6736C"/>
    <w:rsid w:val="1EBC0E1A"/>
    <w:rsid w:val="1EBD103D"/>
    <w:rsid w:val="1EBE2853"/>
    <w:rsid w:val="1EBF49AE"/>
    <w:rsid w:val="1EC9745F"/>
    <w:rsid w:val="1ECC0F49"/>
    <w:rsid w:val="1ED2606F"/>
    <w:rsid w:val="1EE53CE9"/>
    <w:rsid w:val="1EE61F3B"/>
    <w:rsid w:val="1EED51F7"/>
    <w:rsid w:val="1EEF7754"/>
    <w:rsid w:val="1EF81C6E"/>
    <w:rsid w:val="1EFF4673"/>
    <w:rsid w:val="1F015BE8"/>
    <w:rsid w:val="1F197BB6"/>
    <w:rsid w:val="1F244595"/>
    <w:rsid w:val="1F2F3172"/>
    <w:rsid w:val="1F35421B"/>
    <w:rsid w:val="1F417CE8"/>
    <w:rsid w:val="1F4C6596"/>
    <w:rsid w:val="1F503CE8"/>
    <w:rsid w:val="1F535805"/>
    <w:rsid w:val="1F574BE7"/>
    <w:rsid w:val="1F585DEE"/>
    <w:rsid w:val="1F703EFB"/>
    <w:rsid w:val="1F7951B8"/>
    <w:rsid w:val="1F7C18CF"/>
    <w:rsid w:val="1F922ACE"/>
    <w:rsid w:val="1F991AA6"/>
    <w:rsid w:val="1FAB795D"/>
    <w:rsid w:val="1FB23404"/>
    <w:rsid w:val="1FC9730F"/>
    <w:rsid w:val="1FD20711"/>
    <w:rsid w:val="1FD53C09"/>
    <w:rsid w:val="1FD77AD6"/>
    <w:rsid w:val="1FDB5818"/>
    <w:rsid w:val="1FE02E2E"/>
    <w:rsid w:val="1FE230BF"/>
    <w:rsid w:val="1FE8246B"/>
    <w:rsid w:val="1FEA4D17"/>
    <w:rsid w:val="1FF16DE9"/>
    <w:rsid w:val="1FFC12EA"/>
    <w:rsid w:val="1FFC578E"/>
    <w:rsid w:val="20041EFD"/>
    <w:rsid w:val="20057D51"/>
    <w:rsid w:val="20120B0E"/>
    <w:rsid w:val="20295538"/>
    <w:rsid w:val="202B4E94"/>
    <w:rsid w:val="202E7F87"/>
    <w:rsid w:val="20523600"/>
    <w:rsid w:val="20536A77"/>
    <w:rsid w:val="20565620"/>
    <w:rsid w:val="205B3F14"/>
    <w:rsid w:val="205D4650"/>
    <w:rsid w:val="20722B48"/>
    <w:rsid w:val="208C6677"/>
    <w:rsid w:val="208D63E6"/>
    <w:rsid w:val="208F4DF7"/>
    <w:rsid w:val="209234CD"/>
    <w:rsid w:val="209B6D55"/>
    <w:rsid w:val="209E55E9"/>
    <w:rsid w:val="20A40242"/>
    <w:rsid w:val="20AE371B"/>
    <w:rsid w:val="20B1352E"/>
    <w:rsid w:val="20B73A26"/>
    <w:rsid w:val="20BC13A0"/>
    <w:rsid w:val="20CA6F49"/>
    <w:rsid w:val="20D65FDF"/>
    <w:rsid w:val="20DA53AA"/>
    <w:rsid w:val="20DC76EE"/>
    <w:rsid w:val="20EA3839"/>
    <w:rsid w:val="20EA654C"/>
    <w:rsid w:val="20EE50D7"/>
    <w:rsid w:val="20FC3C98"/>
    <w:rsid w:val="2100305C"/>
    <w:rsid w:val="2119268C"/>
    <w:rsid w:val="212555F1"/>
    <w:rsid w:val="21315AF3"/>
    <w:rsid w:val="21386511"/>
    <w:rsid w:val="213A031C"/>
    <w:rsid w:val="213C27D2"/>
    <w:rsid w:val="21494A03"/>
    <w:rsid w:val="21525B6D"/>
    <w:rsid w:val="21577AD8"/>
    <w:rsid w:val="21592E73"/>
    <w:rsid w:val="215A658E"/>
    <w:rsid w:val="215B0355"/>
    <w:rsid w:val="2164183D"/>
    <w:rsid w:val="217F406D"/>
    <w:rsid w:val="2187338E"/>
    <w:rsid w:val="21BB75A0"/>
    <w:rsid w:val="21C25182"/>
    <w:rsid w:val="21C42F99"/>
    <w:rsid w:val="21C67E02"/>
    <w:rsid w:val="21C94A58"/>
    <w:rsid w:val="21D72604"/>
    <w:rsid w:val="21DD584B"/>
    <w:rsid w:val="21DE387D"/>
    <w:rsid w:val="21E238C4"/>
    <w:rsid w:val="21E604A4"/>
    <w:rsid w:val="21EA1D42"/>
    <w:rsid w:val="21EF5B43"/>
    <w:rsid w:val="21F64059"/>
    <w:rsid w:val="21F96163"/>
    <w:rsid w:val="21FB3F4F"/>
    <w:rsid w:val="2208041A"/>
    <w:rsid w:val="220B72CC"/>
    <w:rsid w:val="22167453"/>
    <w:rsid w:val="221779C6"/>
    <w:rsid w:val="221B57B1"/>
    <w:rsid w:val="222C235B"/>
    <w:rsid w:val="22350AE4"/>
    <w:rsid w:val="224C0052"/>
    <w:rsid w:val="224D4EAF"/>
    <w:rsid w:val="22534030"/>
    <w:rsid w:val="22545267"/>
    <w:rsid w:val="225A3600"/>
    <w:rsid w:val="225C42C2"/>
    <w:rsid w:val="226E43C0"/>
    <w:rsid w:val="226F3FF6"/>
    <w:rsid w:val="226F5956"/>
    <w:rsid w:val="22883309"/>
    <w:rsid w:val="22992140"/>
    <w:rsid w:val="229D6DB5"/>
    <w:rsid w:val="229F6CCB"/>
    <w:rsid w:val="22A007D0"/>
    <w:rsid w:val="22AD7FFB"/>
    <w:rsid w:val="22AE1D3A"/>
    <w:rsid w:val="22B16F09"/>
    <w:rsid w:val="22C24A6D"/>
    <w:rsid w:val="22CA11D9"/>
    <w:rsid w:val="22CA2A48"/>
    <w:rsid w:val="22D46FA0"/>
    <w:rsid w:val="22D56B65"/>
    <w:rsid w:val="22D86128"/>
    <w:rsid w:val="22E67EF2"/>
    <w:rsid w:val="22ED4230"/>
    <w:rsid w:val="22FD2FB0"/>
    <w:rsid w:val="22FF57E9"/>
    <w:rsid w:val="230D1CC5"/>
    <w:rsid w:val="232273FC"/>
    <w:rsid w:val="23285D30"/>
    <w:rsid w:val="23424FFC"/>
    <w:rsid w:val="2344444C"/>
    <w:rsid w:val="2349588A"/>
    <w:rsid w:val="235002CB"/>
    <w:rsid w:val="23556B2F"/>
    <w:rsid w:val="23727202"/>
    <w:rsid w:val="23811BDB"/>
    <w:rsid w:val="23872B09"/>
    <w:rsid w:val="238751B2"/>
    <w:rsid w:val="238916A4"/>
    <w:rsid w:val="239C7549"/>
    <w:rsid w:val="23AC47ED"/>
    <w:rsid w:val="23B86870"/>
    <w:rsid w:val="23BE3486"/>
    <w:rsid w:val="23BF71FF"/>
    <w:rsid w:val="23C650FC"/>
    <w:rsid w:val="23C9261C"/>
    <w:rsid w:val="23CB4A46"/>
    <w:rsid w:val="23D17154"/>
    <w:rsid w:val="23DE2BDE"/>
    <w:rsid w:val="23DF6B20"/>
    <w:rsid w:val="23F56E1D"/>
    <w:rsid w:val="23FF0858"/>
    <w:rsid w:val="24003BFB"/>
    <w:rsid w:val="24032058"/>
    <w:rsid w:val="2403562B"/>
    <w:rsid w:val="240502FC"/>
    <w:rsid w:val="24067E0E"/>
    <w:rsid w:val="240864B0"/>
    <w:rsid w:val="241E733F"/>
    <w:rsid w:val="241F37F9"/>
    <w:rsid w:val="2423778D"/>
    <w:rsid w:val="243C7B16"/>
    <w:rsid w:val="243D263F"/>
    <w:rsid w:val="24444F16"/>
    <w:rsid w:val="24562862"/>
    <w:rsid w:val="24564250"/>
    <w:rsid w:val="245C2C9F"/>
    <w:rsid w:val="246E3BEE"/>
    <w:rsid w:val="247507D4"/>
    <w:rsid w:val="247516EE"/>
    <w:rsid w:val="24795197"/>
    <w:rsid w:val="247A7B87"/>
    <w:rsid w:val="247D50F0"/>
    <w:rsid w:val="24945F95"/>
    <w:rsid w:val="24977834"/>
    <w:rsid w:val="249A4004"/>
    <w:rsid w:val="24A518FB"/>
    <w:rsid w:val="24AC1531"/>
    <w:rsid w:val="24BA695C"/>
    <w:rsid w:val="24C5156E"/>
    <w:rsid w:val="24CD76F9"/>
    <w:rsid w:val="24DB4137"/>
    <w:rsid w:val="24DE2C70"/>
    <w:rsid w:val="24E35410"/>
    <w:rsid w:val="24E46F1D"/>
    <w:rsid w:val="24E93E3F"/>
    <w:rsid w:val="24EA3E14"/>
    <w:rsid w:val="24F609FE"/>
    <w:rsid w:val="24F737BB"/>
    <w:rsid w:val="250741E9"/>
    <w:rsid w:val="25083C61"/>
    <w:rsid w:val="25095877"/>
    <w:rsid w:val="250A35E4"/>
    <w:rsid w:val="25121AF5"/>
    <w:rsid w:val="25166CE2"/>
    <w:rsid w:val="25171040"/>
    <w:rsid w:val="251714ED"/>
    <w:rsid w:val="252E2377"/>
    <w:rsid w:val="252F3B2D"/>
    <w:rsid w:val="25304B5A"/>
    <w:rsid w:val="254718C3"/>
    <w:rsid w:val="255123E8"/>
    <w:rsid w:val="255529A6"/>
    <w:rsid w:val="25680925"/>
    <w:rsid w:val="257007B0"/>
    <w:rsid w:val="25714529"/>
    <w:rsid w:val="25787665"/>
    <w:rsid w:val="257B0F03"/>
    <w:rsid w:val="257C53A7"/>
    <w:rsid w:val="257D2ECD"/>
    <w:rsid w:val="257E13AB"/>
    <w:rsid w:val="258458A0"/>
    <w:rsid w:val="25882479"/>
    <w:rsid w:val="258A442B"/>
    <w:rsid w:val="258C3110"/>
    <w:rsid w:val="258E2BC7"/>
    <w:rsid w:val="259207B1"/>
    <w:rsid w:val="259958C5"/>
    <w:rsid w:val="2599762E"/>
    <w:rsid w:val="25AB72CC"/>
    <w:rsid w:val="25BC4D64"/>
    <w:rsid w:val="25BF1750"/>
    <w:rsid w:val="25C15752"/>
    <w:rsid w:val="25CC6A24"/>
    <w:rsid w:val="25D627BB"/>
    <w:rsid w:val="25D845A8"/>
    <w:rsid w:val="25D856FC"/>
    <w:rsid w:val="25D952AE"/>
    <w:rsid w:val="25DC3F10"/>
    <w:rsid w:val="25DF6B59"/>
    <w:rsid w:val="25E60A73"/>
    <w:rsid w:val="25F23B1E"/>
    <w:rsid w:val="25FC69CB"/>
    <w:rsid w:val="26065A6B"/>
    <w:rsid w:val="26086C3B"/>
    <w:rsid w:val="260B0216"/>
    <w:rsid w:val="260E4232"/>
    <w:rsid w:val="2610789E"/>
    <w:rsid w:val="26155751"/>
    <w:rsid w:val="26207C61"/>
    <w:rsid w:val="262A4140"/>
    <w:rsid w:val="262B46D7"/>
    <w:rsid w:val="262D56A7"/>
    <w:rsid w:val="26355556"/>
    <w:rsid w:val="263E46F9"/>
    <w:rsid w:val="26434AC0"/>
    <w:rsid w:val="264C5790"/>
    <w:rsid w:val="26502390"/>
    <w:rsid w:val="26606A77"/>
    <w:rsid w:val="266B4612"/>
    <w:rsid w:val="266B4973"/>
    <w:rsid w:val="266D4CF0"/>
    <w:rsid w:val="266D50FD"/>
    <w:rsid w:val="266E7C26"/>
    <w:rsid w:val="267A4E59"/>
    <w:rsid w:val="267F67D1"/>
    <w:rsid w:val="26940757"/>
    <w:rsid w:val="26A54DCF"/>
    <w:rsid w:val="26B97F35"/>
    <w:rsid w:val="26C1503C"/>
    <w:rsid w:val="26C64400"/>
    <w:rsid w:val="26C96D2E"/>
    <w:rsid w:val="26CF03AD"/>
    <w:rsid w:val="26CF59AB"/>
    <w:rsid w:val="26D66C97"/>
    <w:rsid w:val="26F62F37"/>
    <w:rsid w:val="26FA520F"/>
    <w:rsid w:val="26FF6A6F"/>
    <w:rsid w:val="27046327"/>
    <w:rsid w:val="27050B20"/>
    <w:rsid w:val="270B7132"/>
    <w:rsid w:val="270C62B7"/>
    <w:rsid w:val="27133AE9"/>
    <w:rsid w:val="27247E3A"/>
    <w:rsid w:val="272B1F61"/>
    <w:rsid w:val="27400126"/>
    <w:rsid w:val="275F5D33"/>
    <w:rsid w:val="27695189"/>
    <w:rsid w:val="276C2E74"/>
    <w:rsid w:val="277964E9"/>
    <w:rsid w:val="277F7DFD"/>
    <w:rsid w:val="27890AB9"/>
    <w:rsid w:val="278A5AE4"/>
    <w:rsid w:val="2798573E"/>
    <w:rsid w:val="27A55D42"/>
    <w:rsid w:val="27B62C02"/>
    <w:rsid w:val="27BC0429"/>
    <w:rsid w:val="27C04888"/>
    <w:rsid w:val="27CE7A10"/>
    <w:rsid w:val="27D746EF"/>
    <w:rsid w:val="27D74B17"/>
    <w:rsid w:val="27DA52C1"/>
    <w:rsid w:val="27E91A04"/>
    <w:rsid w:val="27F61922"/>
    <w:rsid w:val="28017DE6"/>
    <w:rsid w:val="28033B5E"/>
    <w:rsid w:val="280528C1"/>
    <w:rsid w:val="28084D60"/>
    <w:rsid w:val="280F373A"/>
    <w:rsid w:val="281731DB"/>
    <w:rsid w:val="281E7765"/>
    <w:rsid w:val="28220A46"/>
    <w:rsid w:val="28221B0A"/>
    <w:rsid w:val="28304227"/>
    <w:rsid w:val="28331903"/>
    <w:rsid w:val="28537F15"/>
    <w:rsid w:val="285A5748"/>
    <w:rsid w:val="285B364B"/>
    <w:rsid w:val="286B210C"/>
    <w:rsid w:val="286C232B"/>
    <w:rsid w:val="286D0FD7"/>
    <w:rsid w:val="286E1BAA"/>
    <w:rsid w:val="2872150F"/>
    <w:rsid w:val="28777423"/>
    <w:rsid w:val="288749EA"/>
    <w:rsid w:val="28937B7A"/>
    <w:rsid w:val="289742A6"/>
    <w:rsid w:val="28981F1C"/>
    <w:rsid w:val="28991DCC"/>
    <w:rsid w:val="28A32C4B"/>
    <w:rsid w:val="28AE1FBE"/>
    <w:rsid w:val="28B658B1"/>
    <w:rsid w:val="28C5664C"/>
    <w:rsid w:val="28D34CE1"/>
    <w:rsid w:val="28D45620"/>
    <w:rsid w:val="28DA4193"/>
    <w:rsid w:val="28DD7BF6"/>
    <w:rsid w:val="28F10E39"/>
    <w:rsid w:val="28F955FA"/>
    <w:rsid w:val="29097A54"/>
    <w:rsid w:val="290B259E"/>
    <w:rsid w:val="290B5D62"/>
    <w:rsid w:val="2919115F"/>
    <w:rsid w:val="291A7D70"/>
    <w:rsid w:val="291E6DF3"/>
    <w:rsid w:val="292D2D12"/>
    <w:rsid w:val="29315894"/>
    <w:rsid w:val="293F224E"/>
    <w:rsid w:val="293F4D0B"/>
    <w:rsid w:val="293F7673"/>
    <w:rsid w:val="29471828"/>
    <w:rsid w:val="29624E8B"/>
    <w:rsid w:val="29640023"/>
    <w:rsid w:val="296807F0"/>
    <w:rsid w:val="29686BF8"/>
    <w:rsid w:val="29693E94"/>
    <w:rsid w:val="29712D49"/>
    <w:rsid w:val="29717034"/>
    <w:rsid w:val="29723FBC"/>
    <w:rsid w:val="2973086F"/>
    <w:rsid w:val="297456CB"/>
    <w:rsid w:val="29761752"/>
    <w:rsid w:val="297B7724"/>
    <w:rsid w:val="298052AE"/>
    <w:rsid w:val="29927A94"/>
    <w:rsid w:val="29981834"/>
    <w:rsid w:val="29AB5647"/>
    <w:rsid w:val="29B11850"/>
    <w:rsid w:val="29B46B66"/>
    <w:rsid w:val="29B82E7E"/>
    <w:rsid w:val="29BA28AC"/>
    <w:rsid w:val="29D566A1"/>
    <w:rsid w:val="29D72014"/>
    <w:rsid w:val="29E109B3"/>
    <w:rsid w:val="29E178E2"/>
    <w:rsid w:val="29E4195B"/>
    <w:rsid w:val="29E6542A"/>
    <w:rsid w:val="29E654E5"/>
    <w:rsid w:val="29E7300B"/>
    <w:rsid w:val="29E866DB"/>
    <w:rsid w:val="29F57EBF"/>
    <w:rsid w:val="29F65B41"/>
    <w:rsid w:val="29F86FC6"/>
    <w:rsid w:val="2A0155AC"/>
    <w:rsid w:val="2A0B7D17"/>
    <w:rsid w:val="2A0C5232"/>
    <w:rsid w:val="2A0F4C95"/>
    <w:rsid w:val="2A153A05"/>
    <w:rsid w:val="2A195130"/>
    <w:rsid w:val="2A197B23"/>
    <w:rsid w:val="2A1F09F7"/>
    <w:rsid w:val="2A2014F1"/>
    <w:rsid w:val="2A231F7C"/>
    <w:rsid w:val="2A2A2BA3"/>
    <w:rsid w:val="2A2B0221"/>
    <w:rsid w:val="2A361D29"/>
    <w:rsid w:val="2A36517A"/>
    <w:rsid w:val="2A39142C"/>
    <w:rsid w:val="2A464FFD"/>
    <w:rsid w:val="2A47501F"/>
    <w:rsid w:val="2A4D723B"/>
    <w:rsid w:val="2A4F1B33"/>
    <w:rsid w:val="2A55059E"/>
    <w:rsid w:val="2A632579"/>
    <w:rsid w:val="2A6C2344"/>
    <w:rsid w:val="2A761011"/>
    <w:rsid w:val="2A781618"/>
    <w:rsid w:val="2A795E40"/>
    <w:rsid w:val="2A7E589C"/>
    <w:rsid w:val="2A810D6A"/>
    <w:rsid w:val="2A9650C9"/>
    <w:rsid w:val="2A9F5694"/>
    <w:rsid w:val="2AA1140C"/>
    <w:rsid w:val="2AAE2B7D"/>
    <w:rsid w:val="2AB14D97"/>
    <w:rsid w:val="2AB55F50"/>
    <w:rsid w:val="2AC50CE1"/>
    <w:rsid w:val="2AC550A3"/>
    <w:rsid w:val="2ADF48CB"/>
    <w:rsid w:val="2AE25A6D"/>
    <w:rsid w:val="2AE9690F"/>
    <w:rsid w:val="2AF53272"/>
    <w:rsid w:val="2AF643D0"/>
    <w:rsid w:val="2AFD5DAF"/>
    <w:rsid w:val="2B1B11E1"/>
    <w:rsid w:val="2B1E2A5D"/>
    <w:rsid w:val="2B204A27"/>
    <w:rsid w:val="2B255B99"/>
    <w:rsid w:val="2B33613E"/>
    <w:rsid w:val="2B3B3BDB"/>
    <w:rsid w:val="2B3E30FF"/>
    <w:rsid w:val="2B894027"/>
    <w:rsid w:val="2BA2368E"/>
    <w:rsid w:val="2BB138D1"/>
    <w:rsid w:val="2BBC0D1F"/>
    <w:rsid w:val="2BC65B03"/>
    <w:rsid w:val="2BCC24B9"/>
    <w:rsid w:val="2BD66E93"/>
    <w:rsid w:val="2BDD46C6"/>
    <w:rsid w:val="2BF6C76C"/>
    <w:rsid w:val="2C076BEC"/>
    <w:rsid w:val="2C0954BB"/>
    <w:rsid w:val="2C0C6BEB"/>
    <w:rsid w:val="2C1B254E"/>
    <w:rsid w:val="2C1C2133"/>
    <w:rsid w:val="2C1C6592"/>
    <w:rsid w:val="2C467183"/>
    <w:rsid w:val="2C4944AB"/>
    <w:rsid w:val="2C5D3C10"/>
    <w:rsid w:val="2C5F332D"/>
    <w:rsid w:val="2C602C01"/>
    <w:rsid w:val="2C653EE2"/>
    <w:rsid w:val="2C66290D"/>
    <w:rsid w:val="2C6A0FBB"/>
    <w:rsid w:val="2C6B7A73"/>
    <w:rsid w:val="2C6C351A"/>
    <w:rsid w:val="2C6D3C9C"/>
    <w:rsid w:val="2C736F8B"/>
    <w:rsid w:val="2C7E15C1"/>
    <w:rsid w:val="2C80756D"/>
    <w:rsid w:val="2C823E3A"/>
    <w:rsid w:val="2C931DC2"/>
    <w:rsid w:val="2C954FA0"/>
    <w:rsid w:val="2C974875"/>
    <w:rsid w:val="2CA675CE"/>
    <w:rsid w:val="2CAA2B4A"/>
    <w:rsid w:val="2CB73D66"/>
    <w:rsid w:val="2CEB45C1"/>
    <w:rsid w:val="2CEC26BC"/>
    <w:rsid w:val="2CEE7588"/>
    <w:rsid w:val="2D04502B"/>
    <w:rsid w:val="2D072ECE"/>
    <w:rsid w:val="2D095047"/>
    <w:rsid w:val="2D1265F1"/>
    <w:rsid w:val="2D1C5749"/>
    <w:rsid w:val="2D23435A"/>
    <w:rsid w:val="2D274DDC"/>
    <w:rsid w:val="2D3C65BD"/>
    <w:rsid w:val="2D4D13D7"/>
    <w:rsid w:val="2D556C13"/>
    <w:rsid w:val="2D5A7ED7"/>
    <w:rsid w:val="2D5F62EE"/>
    <w:rsid w:val="2D6D3827"/>
    <w:rsid w:val="2D701DEC"/>
    <w:rsid w:val="2D711B88"/>
    <w:rsid w:val="2D855EDB"/>
    <w:rsid w:val="2D892BA1"/>
    <w:rsid w:val="2D8D2610"/>
    <w:rsid w:val="2D8F67C3"/>
    <w:rsid w:val="2D9C2974"/>
    <w:rsid w:val="2D9D235F"/>
    <w:rsid w:val="2DAA682A"/>
    <w:rsid w:val="2DAD1E76"/>
    <w:rsid w:val="2DC350CF"/>
    <w:rsid w:val="2DC378EB"/>
    <w:rsid w:val="2DC51068"/>
    <w:rsid w:val="2DC77D1D"/>
    <w:rsid w:val="2DC84403"/>
    <w:rsid w:val="2DC8748F"/>
    <w:rsid w:val="2DCC53E5"/>
    <w:rsid w:val="2DCD15F2"/>
    <w:rsid w:val="2DD32217"/>
    <w:rsid w:val="2DEF5067"/>
    <w:rsid w:val="2DFC6F79"/>
    <w:rsid w:val="2E0A18FC"/>
    <w:rsid w:val="2E0A52EF"/>
    <w:rsid w:val="2E1819D6"/>
    <w:rsid w:val="2E2B5A9A"/>
    <w:rsid w:val="2E3765F4"/>
    <w:rsid w:val="2E4E2E29"/>
    <w:rsid w:val="2E642004"/>
    <w:rsid w:val="2E6A7D67"/>
    <w:rsid w:val="2E6E7857"/>
    <w:rsid w:val="2E7216FF"/>
    <w:rsid w:val="2E7F2C6E"/>
    <w:rsid w:val="2E84600A"/>
    <w:rsid w:val="2E862DF3"/>
    <w:rsid w:val="2E8A73A2"/>
    <w:rsid w:val="2E9033B3"/>
    <w:rsid w:val="2E961458"/>
    <w:rsid w:val="2EA05393"/>
    <w:rsid w:val="2EA87F6F"/>
    <w:rsid w:val="2EB24838"/>
    <w:rsid w:val="2EBE13B7"/>
    <w:rsid w:val="2EC03AEE"/>
    <w:rsid w:val="2EC2545B"/>
    <w:rsid w:val="2EC500C8"/>
    <w:rsid w:val="2EC7458A"/>
    <w:rsid w:val="2ECB6A58"/>
    <w:rsid w:val="2ECE1240"/>
    <w:rsid w:val="2ED51684"/>
    <w:rsid w:val="2ED90ECF"/>
    <w:rsid w:val="2EDF0D8C"/>
    <w:rsid w:val="2EEA0D39"/>
    <w:rsid w:val="2F0B32F8"/>
    <w:rsid w:val="2F146A75"/>
    <w:rsid w:val="2F1A4177"/>
    <w:rsid w:val="2F593016"/>
    <w:rsid w:val="2F603644"/>
    <w:rsid w:val="2F6224F5"/>
    <w:rsid w:val="2F725125"/>
    <w:rsid w:val="2F7472E8"/>
    <w:rsid w:val="2F8F217B"/>
    <w:rsid w:val="2F921D46"/>
    <w:rsid w:val="2F984B37"/>
    <w:rsid w:val="2F9C6646"/>
    <w:rsid w:val="2F9E7CC2"/>
    <w:rsid w:val="2F9F380B"/>
    <w:rsid w:val="2FA01C92"/>
    <w:rsid w:val="2FA07EE4"/>
    <w:rsid w:val="2FA33530"/>
    <w:rsid w:val="2FA84BB9"/>
    <w:rsid w:val="2FAC64BD"/>
    <w:rsid w:val="2FB603AB"/>
    <w:rsid w:val="2FBD0A96"/>
    <w:rsid w:val="2FC72526"/>
    <w:rsid w:val="2FCF6879"/>
    <w:rsid w:val="2FD56EA1"/>
    <w:rsid w:val="2FE853E7"/>
    <w:rsid w:val="300605CC"/>
    <w:rsid w:val="300852DE"/>
    <w:rsid w:val="3041265D"/>
    <w:rsid w:val="3043220E"/>
    <w:rsid w:val="30494B25"/>
    <w:rsid w:val="304F5466"/>
    <w:rsid w:val="30511AAD"/>
    <w:rsid w:val="30570D94"/>
    <w:rsid w:val="305B5C6D"/>
    <w:rsid w:val="305B6F65"/>
    <w:rsid w:val="30721B0D"/>
    <w:rsid w:val="307F4548"/>
    <w:rsid w:val="30836110"/>
    <w:rsid w:val="30852098"/>
    <w:rsid w:val="30912F30"/>
    <w:rsid w:val="30926A39"/>
    <w:rsid w:val="30B8372E"/>
    <w:rsid w:val="30E014C3"/>
    <w:rsid w:val="30E107B4"/>
    <w:rsid w:val="30E92B7C"/>
    <w:rsid w:val="30E97669"/>
    <w:rsid w:val="30EC3EAD"/>
    <w:rsid w:val="30F32FCE"/>
    <w:rsid w:val="30FF7B5C"/>
    <w:rsid w:val="31077AEF"/>
    <w:rsid w:val="310962B6"/>
    <w:rsid w:val="310C4884"/>
    <w:rsid w:val="311037CD"/>
    <w:rsid w:val="3112096E"/>
    <w:rsid w:val="31157BC9"/>
    <w:rsid w:val="31181C25"/>
    <w:rsid w:val="31244B45"/>
    <w:rsid w:val="31280F0C"/>
    <w:rsid w:val="312E1520"/>
    <w:rsid w:val="312E78B4"/>
    <w:rsid w:val="312F4C6D"/>
    <w:rsid w:val="313A7EC4"/>
    <w:rsid w:val="314618C4"/>
    <w:rsid w:val="31555627"/>
    <w:rsid w:val="31615090"/>
    <w:rsid w:val="31683743"/>
    <w:rsid w:val="317A6673"/>
    <w:rsid w:val="318E55E7"/>
    <w:rsid w:val="3195223F"/>
    <w:rsid w:val="319D6E9C"/>
    <w:rsid w:val="31A67308"/>
    <w:rsid w:val="31AA1A97"/>
    <w:rsid w:val="31AF08C2"/>
    <w:rsid w:val="31B12436"/>
    <w:rsid w:val="31BB7257"/>
    <w:rsid w:val="31BD45C7"/>
    <w:rsid w:val="31BF1AB8"/>
    <w:rsid w:val="31C3536A"/>
    <w:rsid w:val="31CA3503"/>
    <w:rsid w:val="31CA56EC"/>
    <w:rsid w:val="31E16592"/>
    <w:rsid w:val="31F421F1"/>
    <w:rsid w:val="31F913D5"/>
    <w:rsid w:val="31FB3AF8"/>
    <w:rsid w:val="31FE0EF2"/>
    <w:rsid w:val="31FF2660"/>
    <w:rsid w:val="320C6711"/>
    <w:rsid w:val="320E2BA0"/>
    <w:rsid w:val="32193F7E"/>
    <w:rsid w:val="32201EB1"/>
    <w:rsid w:val="32226C58"/>
    <w:rsid w:val="322272D6"/>
    <w:rsid w:val="32317519"/>
    <w:rsid w:val="323B49D8"/>
    <w:rsid w:val="323E60BE"/>
    <w:rsid w:val="324059AE"/>
    <w:rsid w:val="324100C2"/>
    <w:rsid w:val="324253F3"/>
    <w:rsid w:val="3244760C"/>
    <w:rsid w:val="324B3F79"/>
    <w:rsid w:val="324E38E3"/>
    <w:rsid w:val="32537490"/>
    <w:rsid w:val="32574418"/>
    <w:rsid w:val="325925CC"/>
    <w:rsid w:val="325A6035"/>
    <w:rsid w:val="326F20C0"/>
    <w:rsid w:val="3270593F"/>
    <w:rsid w:val="327063E8"/>
    <w:rsid w:val="32847F41"/>
    <w:rsid w:val="32A37B90"/>
    <w:rsid w:val="32A4043D"/>
    <w:rsid w:val="32A47CEB"/>
    <w:rsid w:val="32AB598E"/>
    <w:rsid w:val="32BB44EA"/>
    <w:rsid w:val="32C879F7"/>
    <w:rsid w:val="32CD25AF"/>
    <w:rsid w:val="32DD48D4"/>
    <w:rsid w:val="32E7293A"/>
    <w:rsid w:val="32E7325F"/>
    <w:rsid w:val="32EF09FD"/>
    <w:rsid w:val="32FD7192"/>
    <w:rsid w:val="330A641A"/>
    <w:rsid w:val="331069D0"/>
    <w:rsid w:val="33150228"/>
    <w:rsid w:val="3321758E"/>
    <w:rsid w:val="3328386F"/>
    <w:rsid w:val="333B7080"/>
    <w:rsid w:val="334F6FAA"/>
    <w:rsid w:val="33613960"/>
    <w:rsid w:val="3361798A"/>
    <w:rsid w:val="336C2750"/>
    <w:rsid w:val="336D0D89"/>
    <w:rsid w:val="33722359"/>
    <w:rsid w:val="33752E0E"/>
    <w:rsid w:val="337722E8"/>
    <w:rsid w:val="33775357"/>
    <w:rsid w:val="33830CB2"/>
    <w:rsid w:val="33A03695"/>
    <w:rsid w:val="33A97DA2"/>
    <w:rsid w:val="33AA6517"/>
    <w:rsid w:val="33B7385C"/>
    <w:rsid w:val="33BF62D3"/>
    <w:rsid w:val="33C44A2B"/>
    <w:rsid w:val="33D159BE"/>
    <w:rsid w:val="33D562F4"/>
    <w:rsid w:val="33D954B4"/>
    <w:rsid w:val="33E16D1D"/>
    <w:rsid w:val="33E365F1"/>
    <w:rsid w:val="33EA2EAA"/>
    <w:rsid w:val="33F36420"/>
    <w:rsid w:val="34030896"/>
    <w:rsid w:val="3409221B"/>
    <w:rsid w:val="34162AF5"/>
    <w:rsid w:val="341B24FA"/>
    <w:rsid w:val="34264730"/>
    <w:rsid w:val="342804A8"/>
    <w:rsid w:val="342A2746"/>
    <w:rsid w:val="342F7A89"/>
    <w:rsid w:val="343706EB"/>
    <w:rsid w:val="343A395E"/>
    <w:rsid w:val="343E5331"/>
    <w:rsid w:val="344078BE"/>
    <w:rsid w:val="34457136"/>
    <w:rsid w:val="34467C10"/>
    <w:rsid w:val="34523F5B"/>
    <w:rsid w:val="34563267"/>
    <w:rsid w:val="345D7A29"/>
    <w:rsid w:val="346314E0"/>
    <w:rsid w:val="34677222"/>
    <w:rsid w:val="34695BBC"/>
    <w:rsid w:val="346B759A"/>
    <w:rsid w:val="346C4839"/>
    <w:rsid w:val="3474193F"/>
    <w:rsid w:val="34742431"/>
    <w:rsid w:val="347A2F0D"/>
    <w:rsid w:val="3483087B"/>
    <w:rsid w:val="348C0A37"/>
    <w:rsid w:val="348F5E6E"/>
    <w:rsid w:val="34976DDA"/>
    <w:rsid w:val="349B6ECC"/>
    <w:rsid w:val="34A60F6A"/>
    <w:rsid w:val="34A94A3D"/>
    <w:rsid w:val="34B17EFC"/>
    <w:rsid w:val="34B336F9"/>
    <w:rsid w:val="34C4731B"/>
    <w:rsid w:val="34C80F8E"/>
    <w:rsid w:val="34CE1050"/>
    <w:rsid w:val="34D47C15"/>
    <w:rsid w:val="34DD5737"/>
    <w:rsid w:val="34E4730F"/>
    <w:rsid w:val="34EA2EB6"/>
    <w:rsid w:val="34F211E2"/>
    <w:rsid w:val="34F468FE"/>
    <w:rsid w:val="34F566A7"/>
    <w:rsid w:val="34FE3CD8"/>
    <w:rsid w:val="35080B53"/>
    <w:rsid w:val="350C3926"/>
    <w:rsid w:val="35163581"/>
    <w:rsid w:val="35246D7E"/>
    <w:rsid w:val="352B1EAF"/>
    <w:rsid w:val="35307CB9"/>
    <w:rsid w:val="353A4829"/>
    <w:rsid w:val="354B4BCA"/>
    <w:rsid w:val="3560296E"/>
    <w:rsid w:val="3566393D"/>
    <w:rsid w:val="35687DFE"/>
    <w:rsid w:val="35696FE8"/>
    <w:rsid w:val="358261F1"/>
    <w:rsid w:val="358262D2"/>
    <w:rsid w:val="35852EE6"/>
    <w:rsid w:val="358556A1"/>
    <w:rsid w:val="3586192A"/>
    <w:rsid w:val="35865E9D"/>
    <w:rsid w:val="35894973"/>
    <w:rsid w:val="35902635"/>
    <w:rsid w:val="359218B1"/>
    <w:rsid w:val="35A21D64"/>
    <w:rsid w:val="35B04133"/>
    <w:rsid w:val="35B24EFF"/>
    <w:rsid w:val="35B86446"/>
    <w:rsid w:val="35B90E48"/>
    <w:rsid w:val="35BC534C"/>
    <w:rsid w:val="35C91817"/>
    <w:rsid w:val="35C97DDF"/>
    <w:rsid w:val="35CC089B"/>
    <w:rsid w:val="35F338DF"/>
    <w:rsid w:val="35F76384"/>
    <w:rsid w:val="35FB2318"/>
    <w:rsid w:val="360624CB"/>
    <w:rsid w:val="36156435"/>
    <w:rsid w:val="36365E23"/>
    <w:rsid w:val="363B46A9"/>
    <w:rsid w:val="36464523"/>
    <w:rsid w:val="36481BBD"/>
    <w:rsid w:val="364D09A4"/>
    <w:rsid w:val="364E57EA"/>
    <w:rsid w:val="365333D1"/>
    <w:rsid w:val="365C5A41"/>
    <w:rsid w:val="365E3A6F"/>
    <w:rsid w:val="36774955"/>
    <w:rsid w:val="367A14DF"/>
    <w:rsid w:val="369231E4"/>
    <w:rsid w:val="36950FBD"/>
    <w:rsid w:val="36BD312A"/>
    <w:rsid w:val="36BF41C3"/>
    <w:rsid w:val="36C05BDE"/>
    <w:rsid w:val="36C821BC"/>
    <w:rsid w:val="36CD5DBD"/>
    <w:rsid w:val="36D13079"/>
    <w:rsid w:val="36D14E27"/>
    <w:rsid w:val="36D31738"/>
    <w:rsid w:val="36D44917"/>
    <w:rsid w:val="36D719A1"/>
    <w:rsid w:val="36DD68D8"/>
    <w:rsid w:val="36E20DE2"/>
    <w:rsid w:val="36EC1C61"/>
    <w:rsid w:val="36F079A3"/>
    <w:rsid w:val="36F538B8"/>
    <w:rsid w:val="3701047E"/>
    <w:rsid w:val="37070033"/>
    <w:rsid w:val="370A5864"/>
    <w:rsid w:val="371E3B7A"/>
    <w:rsid w:val="372074F4"/>
    <w:rsid w:val="3724271D"/>
    <w:rsid w:val="3733163E"/>
    <w:rsid w:val="3735089A"/>
    <w:rsid w:val="373611BF"/>
    <w:rsid w:val="373A2F99"/>
    <w:rsid w:val="373F0227"/>
    <w:rsid w:val="374455F9"/>
    <w:rsid w:val="374D7954"/>
    <w:rsid w:val="37621E3A"/>
    <w:rsid w:val="376D2DA2"/>
    <w:rsid w:val="376E08C8"/>
    <w:rsid w:val="3775B148"/>
    <w:rsid w:val="3777202A"/>
    <w:rsid w:val="377759CE"/>
    <w:rsid w:val="37822D62"/>
    <w:rsid w:val="379717E2"/>
    <w:rsid w:val="379E1FAB"/>
    <w:rsid w:val="379F29F3"/>
    <w:rsid w:val="37A84AF5"/>
    <w:rsid w:val="37B51905"/>
    <w:rsid w:val="37BA1CA5"/>
    <w:rsid w:val="37C04489"/>
    <w:rsid w:val="37C91B90"/>
    <w:rsid w:val="37C92351"/>
    <w:rsid w:val="37CD3840"/>
    <w:rsid w:val="37CE10D1"/>
    <w:rsid w:val="37E1553E"/>
    <w:rsid w:val="37E364D3"/>
    <w:rsid w:val="37E55B14"/>
    <w:rsid w:val="37E5630E"/>
    <w:rsid w:val="37E82514"/>
    <w:rsid w:val="37E84AC5"/>
    <w:rsid w:val="37ED2F72"/>
    <w:rsid w:val="37F05556"/>
    <w:rsid w:val="3803314A"/>
    <w:rsid w:val="380611F4"/>
    <w:rsid w:val="38066AE2"/>
    <w:rsid w:val="380A4A95"/>
    <w:rsid w:val="380B6117"/>
    <w:rsid w:val="381139AC"/>
    <w:rsid w:val="3814321D"/>
    <w:rsid w:val="3817409A"/>
    <w:rsid w:val="382C64D1"/>
    <w:rsid w:val="38341B11"/>
    <w:rsid w:val="3836018E"/>
    <w:rsid w:val="38402264"/>
    <w:rsid w:val="385830F7"/>
    <w:rsid w:val="385947F8"/>
    <w:rsid w:val="385B6A0B"/>
    <w:rsid w:val="386178D9"/>
    <w:rsid w:val="386851C8"/>
    <w:rsid w:val="386963BB"/>
    <w:rsid w:val="386C6A0E"/>
    <w:rsid w:val="38797575"/>
    <w:rsid w:val="38936487"/>
    <w:rsid w:val="38974E7B"/>
    <w:rsid w:val="38AA3C7E"/>
    <w:rsid w:val="38AA5930"/>
    <w:rsid w:val="38AD1B43"/>
    <w:rsid w:val="38AD3C7C"/>
    <w:rsid w:val="38AD7FF8"/>
    <w:rsid w:val="38B55E68"/>
    <w:rsid w:val="38B72AB7"/>
    <w:rsid w:val="38C83781"/>
    <w:rsid w:val="38CA3954"/>
    <w:rsid w:val="38DA4152"/>
    <w:rsid w:val="38DB1F8D"/>
    <w:rsid w:val="38E04CA4"/>
    <w:rsid w:val="38ED3A6E"/>
    <w:rsid w:val="38ED417F"/>
    <w:rsid w:val="38EF3C8A"/>
    <w:rsid w:val="38F961F6"/>
    <w:rsid w:val="38FD0155"/>
    <w:rsid w:val="38FF68FC"/>
    <w:rsid w:val="391060DB"/>
    <w:rsid w:val="3914223C"/>
    <w:rsid w:val="391D7897"/>
    <w:rsid w:val="39232563"/>
    <w:rsid w:val="392568F8"/>
    <w:rsid w:val="39283D99"/>
    <w:rsid w:val="39373503"/>
    <w:rsid w:val="39442C31"/>
    <w:rsid w:val="394F0285"/>
    <w:rsid w:val="397573AD"/>
    <w:rsid w:val="3984249C"/>
    <w:rsid w:val="398E34A3"/>
    <w:rsid w:val="399E5818"/>
    <w:rsid w:val="39A16259"/>
    <w:rsid w:val="39A17BA1"/>
    <w:rsid w:val="39AB0B46"/>
    <w:rsid w:val="39C52958"/>
    <w:rsid w:val="39C63D5C"/>
    <w:rsid w:val="39CD7B28"/>
    <w:rsid w:val="39D33E4F"/>
    <w:rsid w:val="39D670BE"/>
    <w:rsid w:val="39E430C3"/>
    <w:rsid w:val="39F96B6F"/>
    <w:rsid w:val="39FB46A4"/>
    <w:rsid w:val="3A0B11FE"/>
    <w:rsid w:val="3A135AE3"/>
    <w:rsid w:val="3A161DA8"/>
    <w:rsid w:val="3A2B22D6"/>
    <w:rsid w:val="3A2C7AA0"/>
    <w:rsid w:val="3A2D29BA"/>
    <w:rsid w:val="3A37099F"/>
    <w:rsid w:val="3A52627F"/>
    <w:rsid w:val="3A596FCC"/>
    <w:rsid w:val="3A60101E"/>
    <w:rsid w:val="3A664529"/>
    <w:rsid w:val="3A695377"/>
    <w:rsid w:val="3A6B4AF8"/>
    <w:rsid w:val="3A6F6E31"/>
    <w:rsid w:val="3A784C44"/>
    <w:rsid w:val="3A7E0E22"/>
    <w:rsid w:val="3A8221F6"/>
    <w:rsid w:val="3A830FF5"/>
    <w:rsid w:val="3A9531B3"/>
    <w:rsid w:val="3A9B0EC1"/>
    <w:rsid w:val="3AA82343"/>
    <w:rsid w:val="3AAC5038"/>
    <w:rsid w:val="3AAE6E7B"/>
    <w:rsid w:val="3AB77C48"/>
    <w:rsid w:val="3AB807D8"/>
    <w:rsid w:val="3ABE6015"/>
    <w:rsid w:val="3AC834FB"/>
    <w:rsid w:val="3AD60C5E"/>
    <w:rsid w:val="3ADB6D47"/>
    <w:rsid w:val="3AE8273F"/>
    <w:rsid w:val="3AEE1EC2"/>
    <w:rsid w:val="3AEF28FB"/>
    <w:rsid w:val="3AFD443D"/>
    <w:rsid w:val="3AFF6407"/>
    <w:rsid w:val="3B1140EB"/>
    <w:rsid w:val="3B343B22"/>
    <w:rsid w:val="3B382C5F"/>
    <w:rsid w:val="3B47492A"/>
    <w:rsid w:val="3B4B164C"/>
    <w:rsid w:val="3B4E2EEA"/>
    <w:rsid w:val="3B5129DA"/>
    <w:rsid w:val="3B5E2A01"/>
    <w:rsid w:val="3B6627A7"/>
    <w:rsid w:val="3B697D2B"/>
    <w:rsid w:val="3B790088"/>
    <w:rsid w:val="3B851729"/>
    <w:rsid w:val="3B8A58BC"/>
    <w:rsid w:val="3B9308FD"/>
    <w:rsid w:val="3B967A25"/>
    <w:rsid w:val="3B9D181D"/>
    <w:rsid w:val="3BA90120"/>
    <w:rsid w:val="3BB1191E"/>
    <w:rsid w:val="3BBD1E1E"/>
    <w:rsid w:val="3BBF320B"/>
    <w:rsid w:val="3BC053C0"/>
    <w:rsid w:val="3BC35D64"/>
    <w:rsid w:val="3BCB33E8"/>
    <w:rsid w:val="3BD31641"/>
    <w:rsid w:val="3BEF3D85"/>
    <w:rsid w:val="3BFD460A"/>
    <w:rsid w:val="3C067321"/>
    <w:rsid w:val="3C0C1048"/>
    <w:rsid w:val="3C145EE2"/>
    <w:rsid w:val="3C2E6190"/>
    <w:rsid w:val="3C5017FE"/>
    <w:rsid w:val="3C5355F5"/>
    <w:rsid w:val="3C6329C5"/>
    <w:rsid w:val="3C681DB2"/>
    <w:rsid w:val="3C6E4EC6"/>
    <w:rsid w:val="3C771DDD"/>
    <w:rsid w:val="3C7B6A0C"/>
    <w:rsid w:val="3C8B5A78"/>
    <w:rsid w:val="3C8F7316"/>
    <w:rsid w:val="3C9509BE"/>
    <w:rsid w:val="3CAD1E92"/>
    <w:rsid w:val="3CAD51A1"/>
    <w:rsid w:val="3CB52AF5"/>
    <w:rsid w:val="3CB55DDB"/>
    <w:rsid w:val="3CB72D11"/>
    <w:rsid w:val="3CBA3B20"/>
    <w:rsid w:val="3CC0462F"/>
    <w:rsid w:val="3CC7441E"/>
    <w:rsid w:val="3CC94CBA"/>
    <w:rsid w:val="3CD15BAF"/>
    <w:rsid w:val="3CD165F1"/>
    <w:rsid w:val="3CD74B4F"/>
    <w:rsid w:val="3CD82ADD"/>
    <w:rsid w:val="3CDB4838"/>
    <w:rsid w:val="3CE64969"/>
    <w:rsid w:val="3CF25AF7"/>
    <w:rsid w:val="3CFD1478"/>
    <w:rsid w:val="3D0F2C67"/>
    <w:rsid w:val="3D202664"/>
    <w:rsid w:val="3D424389"/>
    <w:rsid w:val="3D463616"/>
    <w:rsid w:val="3D4D09E5"/>
    <w:rsid w:val="3D61628D"/>
    <w:rsid w:val="3D673DEF"/>
    <w:rsid w:val="3D7145E3"/>
    <w:rsid w:val="3D736C38"/>
    <w:rsid w:val="3D7C6F88"/>
    <w:rsid w:val="3D95653A"/>
    <w:rsid w:val="3D9B6C72"/>
    <w:rsid w:val="3DA43295"/>
    <w:rsid w:val="3DBBD45D"/>
    <w:rsid w:val="3DBF00CF"/>
    <w:rsid w:val="3DD241D6"/>
    <w:rsid w:val="3DD603FB"/>
    <w:rsid w:val="3DEA51FF"/>
    <w:rsid w:val="3DEE4511"/>
    <w:rsid w:val="3E045AE2"/>
    <w:rsid w:val="3E0B6E71"/>
    <w:rsid w:val="3E0C2BE9"/>
    <w:rsid w:val="3E1677F2"/>
    <w:rsid w:val="3E175A62"/>
    <w:rsid w:val="3E1C74E9"/>
    <w:rsid w:val="3E1E4248"/>
    <w:rsid w:val="3E23065E"/>
    <w:rsid w:val="3E297DFD"/>
    <w:rsid w:val="3E3068D7"/>
    <w:rsid w:val="3E306EED"/>
    <w:rsid w:val="3E432AAE"/>
    <w:rsid w:val="3E482166"/>
    <w:rsid w:val="3E4B70EF"/>
    <w:rsid w:val="3E550FAD"/>
    <w:rsid w:val="3E55251B"/>
    <w:rsid w:val="3E5C7C11"/>
    <w:rsid w:val="3E6E7F79"/>
    <w:rsid w:val="3E7F614D"/>
    <w:rsid w:val="3E810EE1"/>
    <w:rsid w:val="3E846C23"/>
    <w:rsid w:val="3E9414E7"/>
    <w:rsid w:val="3E9B36AB"/>
    <w:rsid w:val="3E9C145B"/>
    <w:rsid w:val="3EB26F0A"/>
    <w:rsid w:val="3EBF4F08"/>
    <w:rsid w:val="3EC3774B"/>
    <w:rsid w:val="3ECC5A2E"/>
    <w:rsid w:val="3EE1669F"/>
    <w:rsid w:val="3EE614EF"/>
    <w:rsid w:val="3EE94E3C"/>
    <w:rsid w:val="3F0971A0"/>
    <w:rsid w:val="3F0C4D38"/>
    <w:rsid w:val="3F11379C"/>
    <w:rsid w:val="3F155ED5"/>
    <w:rsid w:val="3F19380F"/>
    <w:rsid w:val="3F23578A"/>
    <w:rsid w:val="3F251BD9"/>
    <w:rsid w:val="3F2D2E17"/>
    <w:rsid w:val="3F2E1FBE"/>
    <w:rsid w:val="3F312537"/>
    <w:rsid w:val="3F3423F7"/>
    <w:rsid w:val="3F3C7170"/>
    <w:rsid w:val="3F450BCB"/>
    <w:rsid w:val="3F484A3B"/>
    <w:rsid w:val="3F542A99"/>
    <w:rsid w:val="3F56236D"/>
    <w:rsid w:val="3F595B63"/>
    <w:rsid w:val="3F6C7DE3"/>
    <w:rsid w:val="3F6F1FDE"/>
    <w:rsid w:val="3F710F55"/>
    <w:rsid w:val="3F715100"/>
    <w:rsid w:val="3F7A1AEE"/>
    <w:rsid w:val="3F7C7888"/>
    <w:rsid w:val="3F854A01"/>
    <w:rsid w:val="3F997AA5"/>
    <w:rsid w:val="3FAD3391"/>
    <w:rsid w:val="3FB452E6"/>
    <w:rsid w:val="3FC25C55"/>
    <w:rsid w:val="3FD34008"/>
    <w:rsid w:val="3FD37E62"/>
    <w:rsid w:val="3FD80FD4"/>
    <w:rsid w:val="3FE0432D"/>
    <w:rsid w:val="3FEA170D"/>
    <w:rsid w:val="3FEA7BE7"/>
    <w:rsid w:val="3FEE25A6"/>
    <w:rsid w:val="3FEFEB19"/>
    <w:rsid w:val="3FF55337"/>
    <w:rsid w:val="3FF57DD8"/>
    <w:rsid w:val="401069C0"/>
    <w:rsid w:val="401340CF"/>
    <w:rsid w:val="40153057"/>
    <w:rsid w:val="40185875"/>
    <w:rsid w:val="40271505"/>
    <w:rsid w:val="4028049C"/>
    <w:rsid w:val="402961E6"/>
    <w:rsid w:val="40302BBE"/>
    <w:rsid w:val="403326AF"/>
    <w:rsid w:val="40384EE9"/>
    <w:rsid w:val="403C5A07"/>
    <w:rsid w:val="404B12B6"/>
    <w:rsid w:val="40617C83"/>
    <w:rsid w:val="407C6B22"/>
    <w:rsid w:val="407D0DA3"/>
    <w:rsid w:val="40896772"/>
    <w:rsid w:val="408A6646"/>
    <w:rsid w:val="408B1CF9"/>
    <w:rsid w:val="408D4580"/>
    <w:rsid w:val="408E1470"/>
    <w:rsid w:val="4093139F"/>
    <w:rsid w:val="40955117"/>
    <w:rsid w:val="409C01A3"/>
    <w:rsid w:val="40AA7B23"/>
    <w:rsid w:val="40AB47AE"/>
    <w:rsid w:val="40B01F51"/>
    <w:rsid w:val="40B80FB6"/>
    <w:rsid w:val="40C2756A"/>
    <w:rsid w:val="40CD0572"/>
    <w:rsid w:val="40CF3EE0"/>
    <w:rsid w:val="40CF70C5"/>
    <w:rsid w:val="40D946D2"/>
    <w:rsid w:val="40E1035D"/>
    <w:rsid w:val="40EB11DB"/>
    <w:rsid w:val="40EB316E"/>
    <w:rsid w:val="40FD1895"/>
    <w:rsid w:val="40FF7C97"/>
    <w:rsid w:val="41083B3B"/>
    <w:rsid w:val="410D29FE"/>
    <w:rsid w:val="411321F1"/>
    <w:rsid w:val="411B2DF1"/>
    <w:rsid w:val="411B386E"/>
    <w:rsid w:val="411E510D"/>
    <w:rsid w:val="41306471"/>
    <w:rsid w:val="41320AAC"/>
    <w:rsid w:val="414032D5"/>
    <w:rsid w:val="41481BA9"/>
    <w:rsid w:val="41483F38"/>
    <w:rsid w:val="415154E2"/>
    <w:rsid w:val="41563435"/>
    <w:rsid w:val="41636FC4"/>
    <w:rsid w:val="41691DD9"/>
    <w:rsid w:val="41704377"/>
    <w:rsid w:val="41790087"/>
    <w:rsid w:val="41794C82"/>
    <w:rsid w:val="4183231D"/>
    <w:rsid w:val="418F600A"/>
    <w:rsid w:val="419D0727"/>
    <w:rsid w:val="419F1BED"/>
    <w:rsid w:val="41A1505B"/>
    <w:rsid w:val="41B1600A"/>
    <w:rsid w:val="41B53D65"/>
    <w:rsid w:val="41B8688D"/>
    <w:rsid w:val="41BC6329"/>
    <w:rsid w:val="41C35349"/>
    <w:rsid w:val="41C46461"/>
    <w:rsid w:val="41C51A2C"/>
    <w:rsid w:val="41CA57E6"/>
    <w:rsid w:val="41DD00FA"/>
    <w:rsid w:val="41E90D84"/>
    <w:rsid w:val="41F03FE7"/>
    <w:rsid w:val="41F5185F"/>
    <w:rsid w:val="41F8317C"/>
    <w:rsid w:val="420116F1"/>
    <w:rsid w:val="42063B4E"/>
    <w:rsid w:val="42181C53"/>
    <w:rsid w:val="42276243"/>
    <w:rsid w:val="422C694D"/>
    <w:rsid w:val="422C6992"/>
    <w:rsid w:val="423A56F9"/>
    <w:rsid w:val="423B5C05"/>
    <w:rsid w:val="423E5B89"/>
    <w:rsid w:val="42415A88"/>
    <w:rsid w:val="42471A0D"/>
    <w:rsid w:val="424F51B8"/>
    <w:rsid w:val="42586B73"/>
    <w:rsid w:val="42593309"/>
    <w:rsid w:val="42595B4F"/>
    <w:rsid w:val="42616D31"/>
    <w:rsid w:val="426D11ED"/>
    <w:rsid w:val="426E265F"/>
    <w:rsid w:val="42725944"/>
    <w:rsid w:val="42807077"/>
    <w:rsid w:val="42876BC2"/>
    <w:rsid w:val="428D6AA6"/>
    <w:rsid w:val="42A17DA3"/>
    <w:rsid w:val="42A60F63"/>
    <w:rsid w:val="42B20202"/>
    <w:rsid w:val="42B257AA"/>
    <w:rsid w:val="42B75819"/>
    <w:rsid w:val="42C3272B"/>
    <w:rsid w:val="42CB1BB0"/>
    <w:rsid w:val="42CD4412"/>
    <w:rsid w:val="42D70CB2"/>
    <w:rsid w:val="42DC7617"/>
    <w:rsid w:val="42E01B18"/>
    <w:rsid w:val="42E01CFF"/>
    <w:rsid w:val="42E2716E"/>
    <w:rsid w:val="42F01FAB"/>
    <w:rsid w:val="42FE5622"/>
    <w:rsid w:val="43085475"/>
    <w:rsid w:val="430F11B1"/>
    <w:rsid w:val="43140575"/>
    <w:rsid w:val="43142B2D"/>
    <w:rsid w:val="43163BC9"/>
    <w:rsid w:val="43176D25"/>
    <w:rsid w:val="43195B8C"/>
    <w:rsid w:val="431C167A"/>
    <w:rsid w:val="43482915"/>
    <w:rsid w:val="434C4C26"/>
    <w:rsid w:val="434D3509"/>
    <w:rsid w:val="4355293C"/>
    <w:rsid w:val="43656728"/>
    <w:rsid w:val="43671A31"/>
    <w:rsid w:val="4368266F"/>
    <w:rsid w:val="43897286"/>
    <w:rsid w:val="43985EC8"/>
    <w:rsid w:val="439A0ED0"/>
    <w:rsid w:val="439E0787"/>
    <w:rsid w:val="439F30CC"/>
    <w:rsid w:val="43A13448"/>
    <w:rsid w:val="43AA73CC"/>
    <w:rsid w:val="43AC4C52"/>
    <w:rsid w:val="43AD4526"/>
    <w:rsid w:val="43AF2987"/>
    <w:rsid w:val="43B43555"/>
    <w:rsid w:val="43C27FD1"/>
    <w:rsid w:val="43C62A17"/>
    <w:rsid w:val="43CF6B92"/>
    <w:rsid w:val="43D31872"/>
    <w:rsid w:val="43D96337"/>
    <w:rsid w:val="43DE4EDB"/>
    <w:rsid w:val="43DF69DA"/>
    <w:rsid w:val="43E4083A"/>
    <w:rsid w:val="43E82672"/>
    <w:rsid w:val="43EE7018"/>
    <w:rsid w:val="43EF4B3E"/>
    <w:rsid w:val="43F03AB9"/>
    <w:rsid w:val="43F14D5A"/>
    <w:rsid w:val="43F2066E"/>
    <w:rsid w:val="43F67C3D"/>
    <w:rsid w:val="43F73DB8"/>
    <w:rsid w:val="43FA0FAF"/>
    <w:rsid w:val="443D30EC"/>
    <w:rsid w:val="443F5AC6"/>
    <w:rsid w:val="44565330"/>
    <w:rsid w:val="44633FE7"/>
    <w:rsid w:val="446C50BE"/>
    <w:rsid w:val="447568C9"/>
    <w:rsid w:val="447649E2"/>
    <w:rsid w:val="44862609"/>
    <w:rsid w:val="44894F93"/>
    <w:rsid w:val="448E07FB"/>
    <w:rsid w:val="44974855"/>
    <w:rsid w:val="44995FC2"/>
    <w:rsid w:val="44A22D2C"/>
    <w:rsid w:val="44A82F34"/>
    <w:rsid w:val="44B72D5C"/>
    <w:rsid w:val="44C0645C"/>
    <w:rsid w:val="44CA3141"/>
    <w:rsid w:val="44CF5CC5"/>
    <w:rsid w:val="44D22496"/>
    <w:rsid w:val="44E15F8C"/>
    <w:rsid w:val="44ED4282"/>
    <w:rsid w:val="44EF274B"/>
    <w:rsid w:val="44F37298"/>
    <w:rsid w:val="4508464B"/>
    <w:rsid w:val="450B59A8"/>
    <w:rsid w:val="4511447F"/>
    <w:rsid w:val="45131FA9"/>
    <w:rsid w:val="45196055"/>
    <w:rsid w:val="451A1F87"/>
    <w:rsid w:val="451D0B23"/>
    <w:rsid w:val="45221F84"/>
    <w:rsid w:val="452234B8"/>
    <w:rsid w:val="45314C2D"/>
    <w:rsid w:val="453329B6"/>
    <w:rsid w:val="45407806"/>
    <w:rsid w:val="454D7D6F"/>
    <w:rsid w:val="45513DB5"/>
    <w:rsid w:val="45585924"/>
    <w:rsid w:val="457442DB"/>
    <w:rsid w:val="457D6856"/>
    <w:rsid w:val="458E1480"/>
    <w:rsid w:val="45A162A4"/>
    <w:rsid w:val="45A1630C"/>
    <w:rsid w:val="45A35BE1"/>
    <w:rsid w:val="45B66F96"/>
    <w:rsid w:val="45C344D5"/>
    <w:rsid w:val="45C62BD9"/>
    <w:rsid w:val="45C67B21"/>
    <w:rsid w:val="45CD2333"/>
    <w:rsid w:val="45D4223E"/>
    <w:rsid w:val="45EA33B3"/>
    <w:rsid w:val="45EE1F17"/>
    <w:rsid w:val="45F073E5"/>
    <w:rsid w:val="45F43F78"/>
    <w:rsid w:val="46064E74"/>
    <w:rsid w:val="460F14C8"/>
    <w:rsid w:val="4612161E"/>
    <w:rsid w:val="462353B0"/>
    <w:rsid w:val="462B17C0"/>
    <w:rsid w:val="462B7854"/>
    <w:rsid w:val="4638593A"/>
    <w:rsid w:val="464B69A4"/>
    <w:rsid w:val="4656185A"/>
    <w:rsid w:val="466E763C"/>
    <w:rsid w:val="467460B6"/>
    <w:rsid w:val="4674757D"/>
    <w:rsid w:val="467555F0"/>
    <w:rsid w:val="467852BF"/>
    <w:rsid w:val="46871B1F"/>
    <w:rsid w:val="469D0230"/>
    <w:rsid w:val="46A75BA4"/>
    <w:rsid w:val="46B12F19"/>
    <w:rsid w:val="46B32826"/>
    <w:rsid w:val="46B966C1"/>
    <w:rsid w:val="46BF40CB"/>
    <w:rsid w:val="46BF6A4A"/>
    <w:rsid w:val="46C47925"/>
    <w:rsid w:val="46D201C1"/>
    <w:rsid w:val="46EF6BE8"/>
    <w:rsid w:val="46F94651"/>
    <w:rsid w:val="47096000"/>
    <w:rsid w:val="470D3904"/>
    <w:rsid w:val="471E5E67"/>
    <w:rsid w:val="4725454A"/>
    <w:rsid w:val="4728217D"/>
    <w:rsid w:val="472D0047"/>
    <w:rsid w:val="472E428D"/>
    <w:rsid w:val="47315B41"/>
    <w:rsid w:val="473531B0"/>
    <w:rsid w:val="4743767B"/>
    <w:rsid w:val="47491FE6"/>
    <w:rsid w:val="475A5B97"/>
    <w:rsid w:val="475F022D"/>
    <w:rsid w:val="47662010"/>
    <w:rsid w:val="47690296"/>
    <w:rsid w:val="477269C9"/>
    <w:rsid w:val="4780247A"/>
    <w:rsid w:val="478F5E89"/>
    <w:rsid w:val="47A3011A"/>
    <w:rsid w:val="47B60CA9"/>
    <w:rsid w:val="47B70B52"/>
    <w:rsid w:val="47C167F2"/>
    <w:rsid w:val="47CE4E5C"/>
    <w:rsid w:val="47D12ED9"/>
    <w:rsid w:val="47D15B65"/>
    <w:rsid w:val="47DC19C8"/>
    <w:rsid w:val="47E84792"/>
    <w:rsid w:val="47EA5D49"/>
    <w:rsid w:val="47F60AA8"/>
    <w:rsid w:val="480F3A01"/>
    <w:rsid w:val="4818117E"/>
    <w:rsid w:val="481A45E1"/>
    <w:rsid w:val="482A25E9"/>
    <w:rsid w:val="48343472"/>
    <w:rsid w:val="4836018B"/>
    <w:rsid w:val="48413862"/>
    <w:rsid w:val="48423637"/>
    <w:rsid w:val="48446ACF"/>
    <w:rsid w:val="4847319B"/>
    <w:rsid w:val="48565B7F"/>
    <w:rsid w:val="485E1538"/>
    <w:rsid w:val="48671147"/>
    <w:rsid w:val="48754186"/>
    <w:rsid w:val="48763A80"/>
    <w:rsid w:val="487877F8"/>
    <w:rsid w:val="487D096B"/>
    <w:rsid w:val="487D4C88"/>
    <w:rsid w:val="48872B1F"/>
    <w:rsid w:val="488D7687"/>
    <w:rsid w:val="489108BA"/>
    <w:rsid w:val="48942204"/>
    <w:rsid w:val="489B7043"/>
    <w:rsid w:val="489D7000"/>
    <w:rsid w:val="489E35F8"/>
    <w:rsid w:val="489F7505"/>
    <w:rsid w:val="48AA23E3"/>
    <w:rsid w:val="48AD0A3B"/>
    <w:rsid w:val="48AE321A"/>
    <w:rsid w:val="48B325DE"/>
    <w:rsid w:val="48B439FC"/>
    <w:rsid w:val="48BD050C"/>
    <w:rsid w:val="48C447EC"/>
    <w:rsid w:val="48C9430F"/>
    <w:rsid w:val="48C96634"/>
    <w:rsid w:val="48CC3D64"/>
    <w:rsid w:val="48CE3B64"/>
    <w:rsid w:val="48CF70D1"/>
    <w:rsid w:val="48DC0511"/>
    <w:rsid w:val="48EE1869"/>
    <w:rsid w:val="48F27F1C"/>
    <w:rsid w:val="48F95AF9"/>
    <w:rsid w:val="490449C9"/>
    <w:rsid w:val="490E09FD"/>
    <w:rsid w:val="49107A31"/>
    <w:rsid w:val="491A08B0"/>
    <w:rsid w:val="49373210"/>
    <w:rsid w:val="49407150"/>
    <w:rsid w:val="4952198C"/>
    <w:rsid w:val="495A3133"/>
    <w:rsid w:val="49673F1C"/>
    <w:rsid w:val="496E2E6D"/>
    <w:rsid w:val="497E0E3E"/>
    <w:rsid w:val="4982744E"/>
    <w:rsid w:val="498D72D3"/>
    <w:rsid w:val="49926698"/>
    <w:rsid w:val="49AC75F3"/>
    <w:rsid w:val="49B365BE"/>
    <w:rsid w:val="49CF3448"/>
    <w:rsid w:val="49D46CB0"/>
    <w:rsid w:val="49D74418"/>
    <w:rsid w:val="49EB3C2F"/>
    <w:rsid w:val="49EF7646"/>
    <w:rsid w:val="49F11610"/>
    <w:rsid w:val="49F17862"/>
    <w:rsid w:val="49FA3FF5"/>
    <w:rsid w:val="49FC6AA9"/>
    <w:rsid w:val="4A113A61"/>
    <w:rsid w:val="4A160218"/>
    <w:rsid w:val="4A171683"/>
    <w:rsid w:val="4A1E617D"/>
    <w:rsid w:val="4A2066C8"/>
    <w:rsid w:val="4A2512BA"/>
    <w:rsid w:val="4A282981"/>
    <w:rsid w:val="4A2A4D79"/>
    <w:rsid w:val="4A333521"/>
    <w:rsid w:val="4A3532A8"/>
    <w:rsid w:val="4A3776CE"/>
    <w:rsid w:val="4A3A311B"/>
    <w:rsid w:val="4A3C5376"/>
    <w:rsid w:val="4A422212"/>
    <w:rsid w:val="4A435BE4"/>
    <w:rsid w:val="4A5777C0"/>
    <w:rsid w:val="4A720819"/>
    <w:rsid w:val="4A742241"/>
    <w:rsid w:val="4A745D9D"/>
    <w:rsid w:val="4A7A283C"/>
    <w:rsid w:val="4A8014F7"/>
    <w:rsid w:val="4A830238"/>
    <w:rsid w:val="4A83308A"/>
    <w:rsid w:val="4A850054"/>
    <w:rsid w:val="4A8A3813"/>
    <w:rsid w:val="4A8E3303"/>
    <w:rsid w:val="4AAF6DD6"/>
    <w:rsid w:val="4AB04806"/>
    <w:rsid w:val="4AB3441B"/>
    <w:rsid w:val="4AB368C6"/>
    <w:rsid w:val="4AB40E59"/>
    <w:rsid w:val="4AE271AB"/>
    <w:rsid w:val="4B032B61"/>
    <w:rsid w:val="4B047121"/>
    <w:rsid w:val="4B061D6A"/>
    <w:rsid w:val="4B4A7ED0"/>
    <w:rsid w:val="4B54774B"/>
    <w:rsid w:val="4B571EF3"/>
    <w:rsid w:val="4B595C9F"/>
    <w:rsid w:val="4B5F1F51"/>
    <w:rsid w:val="4B6026C4"/>
    <w:rsid w:val="4B6B53F2"/>
    <w:rsid w:val="4B746287"/>
    <w:rsid w:val="4B852DCF"/>
    <w:rsid w:val="4B864BF1"/>
    <w:rsid w:val="4B90254E"/>
    <w:rsid w:val="4B9106E2"/>
    <w:rsid w:val="4B9458CA"/>
    <w:rsid w:val="4B9A7A86"/>
    <w:rsid w:val="4BA97CC9"/>
    <w:rsid w:val="4BBA0128"/>
    <w:rsid w:val="4BC70E32"/>
    <w:rsid w:val="4BCC1592"/>
    <w:rsid w:val="4BDC6EEC"/>
    <w:rsid w:val="4BE82A6E"/>
    <w:rsid w:val="4BEA4542"/>
    <w:rsid w:val="4BEA5607"/>
    <w:rsid w:val="4BEB02E1"/>
    <w:rsid w:val="4BF83930"/>
    <w:rsid w:val="4BF83AF4"/>
    <w:rsid w:val="4BF90C50"/>
    <w:rsid w:val="4BF929FE"/>
    <w:rsid w:val="4BFA22D2"/>
    <w:rsid w:val="4BFA3DC0"/>
    <w:rsid w:val="4BFC604B"/>
    <w:rsid w:val="4C014D06"/>
    <w:rsid w:val="4C0B0F8B"/>
    <w:rsid w:val="4C1C609D"/>
    <w:rsid w:val="4C213D03"/>
    <w:rsid w:val="4C251AF9"/>
    <w:rsid w:val="4C2C3966"/>
    <w:rsid w:val="4C2E3F22"/>
    <w:rsid w:val="4C3103EA"/>
    <w:rsid w:val="4C3A7971"/>
    <w:rsid w:val="4C40062D"/>
    <w:rsid w:val="4C404189"/>
    <w:rsid w:val="4C426A60"/>
    <w:rsid w:val="4C44196C"/>
    <w:rsid w:val="4C4874E2"/>
    <w:rsid w:val="4C4966B9"/>
    <w:rsid w:val="4C5765F4"/>
    <w:rsid w:val="4C59524B"/>
    <w:rsid w:val="4C7A02CE"/>
    <w:rsid w:val="4C92075D"/>
    <w:rsid w:val="4C96649F"/>
    <w:rsid w:val="4C9B1065"/>
    <w:rsid w:val="4CA23096"/>
    <w:rsid w:val="4CA5688D"/>
    <w:rsid w:val="4CA67B92"/>
    <w:rsid w:val="4CAD3F7D"/>
    <w:rsid w:val="4CB33842"/>
    <w:rsid w:val="4CBD5B50"/>
    <w:rsid w:val="4CBD7ED0"/>
    <w:rsid w:val="4CBE6217"/>
    <w:rsid w:val="4CBF6E32"/>
    <w:rsid w:val="4CCE3E8B"/>
    <w:rsid w:val="4CD900A4"/>
    <w:rsid w:val="4CFF46FD"/>
    <w:rsid w:val="4D0A29E9"/>
    <w:rsid w:val="4D113D8E"/>
    <w:rsid w:val="4D1644BF"/>
    <w:rsid w:val="4D1667EC"/>
    <w:rsid w:val="4D1C1DC8"/>
    <w:rsid w:val="4D227A97"/>
    <w:rsid w:val="4D393EFF"/>
    <w:rsid w:val="4D40589B"/>
    <w:rsid w:val="4D4765B4"/>
    <w:rsid w:val="4D4E36B7"/>
    <w:rsid w:val="4D64034B"/>
    <w:rsid w:val="4D73058E"/>
    <w:rsid w:val="4D77007F"/>
    <w:rsid w:val="4D896004"/>
    <w:rsid w:val="4D8B1D7C"/>
    <w:rsid w:val="4D8C565B"/>
    <w:rsid w:val="4D8E53C8"/>
    <w:rsid w:val="4D9001A3"/>
    <w:rsid w:val="4D9A5D99"/>
    <w:rsid w:val="4D9A75AE"/>
    <w:rsid w:val="4D9C7AE5"/>
    <w:rsid w:val="4D9D385D"/>
    <w:rsid w:val="4DA150FB"/>
    <w:rsid w:val="4DA16A0C"/>
    <w:rsid w:val="4DAA38AB"/>
    <w:rsid w:val="4DB86F62"/>
    <w:rsid w:val="4DBA0750"/>
    <w:rsid w:val="4DBE5CAD"/>
    <w:rsid w:val="4DC64B62"/>
    <w:rsid w:val="4DC941BD"/>
    <w:rsid w:val="4DD27D5A"/>
    <w:rsid w:val="4DD42D68"/>
    <w:rsid w:val="4DD54DA5"/>
    <w:rsid w:val="4DE224BD"/>
    <w:rsid w:val="4DE5347D"/>
    <w:rsid w:val="4DE82D2A"/>
    <w:rsid w:val="4DED6593"/>
    <w:rsid w:val="4E0240CE"/>
    <w:rsid w:val="4E070789"/>
    <w:rsid w:val="4E084482"/>
    <w:rsid w:val="4E1E674C"/>
    <w:rsid w:val="4E214614"/>
    <w:rsid w:val="4E2152A8"/>
    <w:rsid w:val="4E381B33"/>
    <w:rsid w:val="4E401035"/>
    <w:rsid w:val="4E43755E"/>
    <w:rsid w:val="4E6F72C9"/>
    <w:rsid w:val="4E7052C1"/>
    <w:rsid w:val="4E726090"/>
    <w:rsid w:val="4E785672"/>
    <w:rsid w:val="4E83121C"/>
    <w:rsid w:val="4E86609F"/>
    <w:rsid w:val="4E8B090D"/>
    <w:rsid w:val="4EA2112B"/>
    <w:rsid w:val="4EA7423A"/>
    <w:rsid w:val="4EAC1FAA"/>
    <w:rsid w:val="4EAD1A6E"/>
    <w:rsid w:val="4EB87A5C"/>
    <w:rsid w:val="4EBD3B06"/>
    <w:rsid w:val="4EC21C05"/>
    <w:rsid w:val="4ED831E4"/>
    <w:rsid w:val="4EDD03B5"/>
    <w:rsid w:val="4EDD6607"/>
    <w:rsid w:val="4EDE5EDB"/>
    <w:rsid w:val="4EEC2F3D"/>
    <w:rsid w:val="4EF56188"/>
    <w:rsid w:val="4F027E1C"/>
    <w:rsid w:val="4F0911AA"/>
    <w:rsid w:val="4F0D16EA"/>
    <w:rsid w:val="4F0F42E7"/>
    <w:rsid w:val="4F132A59"/>
    <w:rsid w:val="4F2942E0"/>
    <w:rsid w:val="4F2F6737"/>
    <w:rsid w:val="4F3A01B4"/>
    <w:rsid w:val="4F4122DE"/>
    <w:rsid w:val="4F50717C"/>
    <w:rsid w:val="4F5A6AA0"/>
    <w:rsid w:val="4F5F1855"/>
    <w:rsid w:val="4F5F526E"/>
    <w:rsid w:val="4F696F31"/>
    <w:rsid w:val="4F6F450D"/>
    <w:rsid w:val="4F6F4D85"/>
    <w:rsid w:val="4F8357F5"/>
    <w:rsid w:val="4F8922EB"/>
    <w:rsid w:val="4F9369CC"/>
    <w:rsid w:val="4F950C90"/>
    <w:rsid w:val="4FA04E62"/>
    <w:rsid w:val="4FA90297"/>
    <w:rsid w:val="4FB12751"/>
    <w:rsid w:val="4FB235F0"/>
    <w:rsid w:val="4FC04DA8"/>
    <w:rsid w:val="4FC64EEA"/>
    <w:rsid w:val="4FC867E7"/>
    <w:rsid w:val="4FCE41A2"/>
    <w:rsid w:val="4FD61FCD"/>
    <w:rsid w:val="4FD87D0C"/>
    <w:rsid w:val="4FDF63AF"/>
    <w:rsid w:val="4FE253AD"/>
    <w:rsid w:val="4FE37C4D"/>
    <w:rsid w:val="4FF260E2"/>
    <w:rsid w:val="4FFF1BBC"/>
    <w:rsid w:val="5000131E"/>
    <w:rsid w:val="50075AA8"/>
    <w:rsid w:val="500E4CA9"/>
    <w:rsid w:val="50143B7B"/>
    <w:rsid w:val="502C37AF"/>
    <w:rsid w:val="502D4E85"/>
    <w:rsid w:val="50310445"/>
    <w:rsid w:val="503C793B"/>
    <w:rsid w:val="503F7B7B"/>
    <w:rsid w:val="504434EB"/>
    <w:rsid w:val="50504BB7"/>
    <w:rsid w:val="50574DF2"/>
    <w:rsid w:val="505A164E"/>
    <w:rsid w:val="505D0746"/>
    <w:rsid w:val="507478A2"/>
    <w:rsid w:val="50856006"/>
    <w:rsid w:val="5099030C"/>
    <w:rsid w:val="509D7FF2"/>
    <w:rsid w:val="50C05441"/>
    <w:rsid w:val="50C66E8C"/>
    <w:rsid w:val="50CF1845"/>
    <w:rsid w:val="50DB538B"/>
    <w:rsid w:val="50DE21C3"/>
    <w:rsid w:val="50E35A2B"/>
    <w:rsid w:val="50E47CC8"/>
    <w:rsid w:val="50EB66E3"/>
    <w:rsid w:val="50F32112"/>
    <w:rsid w:val="510D1493"/>
    <w:rsid w:val="510E1205"/>
    <w:rsid w:val="511B6F73"/>
    <w:rsid w:val="512B180A"/>
    <w:rsid w:val="512B67BF"/>
    <w:rsid w:val="513131D2"/>
    <w:rsid w:val="513525BD"/>
    <w:rsid w:val="514711BA"/>
    <w:rsid w:val="514A4346"/>
    <w:rsid w:val="51594493"/>
    <w:rsid w:val="516B3F14"/>
    <w:rsid w:val="51731645"/>
    <w:rsid w:val="517B622D"/>
    <w:rsid w:val="518643FD"/>
    <w:rsid w:val="51883ABE"/>
    <w:rsid w:val="518A40F8"/>
    <w:rsid w:val="518B25F1"/>
    <w:rsid w:val="518E38EB"/>
    <w:rsid w:val="519259E4"/>
    <w:rsid w:val="51973289"/>
    <w:rsid w:val="51A7212D"/>
    <w:rsid w:val="51AF325B"/>
    <w:rsid w:val="51BA41F6"/>
    <w:rsid w:val="51BC4CC0"/>
    <w:rsid w:val="51BD44CE"/>
    <w:rsid w:val="51BF0246"/>
    <w:rsid w:val="51C23892"/>
    <w:rsid w:val="51DC0DF8"/>
    <w:rsid w:val="51E8779D"/>
    <w:rsid w:val="51F06651"/>
    <w:rsid w:val="51F61246"/>
    <w:rsid w:val="51F779E0"/>
    <w:rsid w:val="51FC20BC"/>
    <w:rsid w:val="51FD48CA"/>
    <w:rsid w:val="51FE27DF"/>
    <w:rsid w:val="52017487"/>
    <w:rsid w:val="5208399B"/>
    <w:rsid w:val="52143607"/>
    <w:rsid w:val="522462FB"/>
    <w:rsid w:val="5234135F"/>
    <w:rsid w:val="523E5EFC"/>
    <w:rsid w:val="524B1ADA"/>
    <w:rsid w:val="52567B53"/>
    <w:rsid w:val="52574038"/>
    <w:rsid w:val="526315CE"/>
    <w:rsid w:val="52690B5D"/>
    <w:rsid w:val="52772102"/>
    <w:rsid w:val="527D2549"/>
    <w:rsid w:val="52843BDD"/>
    <w:rsid w:val="528B637A"/>
    <w:rsid w:val="528C2E2C"/>
    <w:rsid w:val="5293705E"/>
    <w:rsid w:val="529413BC"/>
    <w:rsid w:val="52A82A88"/>
    <w:rsid w:val="52BF432B"/>
    <w:rsid w:val="52C22EFB"/>
    <w:rsid w:val="52C368CB"/>
    <w:rsid w:val="52C92DF5"/>
    <w:rsid w:val="52CA08AE"/>
    <w:rsid w:val="52CB4A77"/>
    <w:rsid w:val="52D36BFC"/>
    <w:rsid w:val="52D9353C"/>
    <w:rsid w:val="52D94E5A"/>
    <w:rsid w:val="52DD6B18"/>
    <w:rsid w:val="52E53CDC"/>
    <w:rsid w:val="52EB0BC7"/>
    <w:rsid w:val="52ED0DE3"/>
    <w:rsid w:val="52F537F4"/>
    <w:rsid w:val="53011335"/>
    <w:rsid w:val="531A7D66"/>
    <w:rsid w:val="531B76FE"/>
    <w:rsid w:val="531D5224"/>
    <w:rsid w:val="533E55D4"/>
    <w:rsid w:val="5340781E"/>
    <w:rsid w:val="534A3713"/>
    <w:rsid w:val="534D53DE"/>
    <w:rsid w:val="534F5DB3"/>
    <w:rsid w:val="53530C46"/>
    <w:rsid w:val="535E1FAA"/>
    <w:rsid w:val="536015B5"/>
    <w:rsid w:val="536270DB"/>
    <w:rsid w:val="53650B69"/>
    <w:rsid w:val="53684AB8"/>
    <w:rsid w:val="5371060B"/>
    <w:rsid w:val="53746A39"/>
    <w:rsid w:val="53795BF3"/>
    <w:rsid w:val="537D42D1"/>
    <w:rsid w:val="53836670"/>
    <w:rsid w:val="53913817"/>
    <w:rsid w:val="53990C1F"/>
    <w:rsid w:val="539D45B7"/>
    <w:rsid w:val="539E4B7C"/>
    <w:rsid w:val="53A108F5"/>
    <w:rsid w:val="53A12015"/>
    <w:rsid w:val="53AA4948"/>
    <w:rsid w:val="53AE40CE"/>
    <w:rsid w:val="53B03160"/>
    <w:rsid w:val="53B271C1"/>
    <w:rsid w:val="53C25DCC"/>
    <w:rsid w:val="53C47D96"/>
    <w:rsid w:val="53CB04E8"/>
    <w:rsid w:val="53CB58F5"/>
    <w:rsid w:val="53D02B93"/>
    <w:rsid w:val="53DE71F2"/>
    <w:rsid w:val="53E02323"/>
    <w:rsid w:val="53FA7117"/>
    <w:rsid w:val="53FC752F"/>
    <w:rsid w:val="54005894"/>
    <w:rsid w:val="54083F9A"/>
    <w:rsid w:val="540B32CF"/>
    <w:rsid w:val="54112F25"/>
    <w:rsid w:val="541822EB"/>
    <w:rsid w:val="541A3187"/>
    <w:rsid w:val="541F2346"/>
    <w:rsid w:val="54223970"/>
    <w:rsid w:val="54240834"/>
    <w:rsid w:val="54281736"/>
    <w:rsid w:val="54282DEB"/>
    <w:rsid w:val="54331789"/>
    <w:rsid w:val="543C792C"/>
    <w:rsid w:val="543F7A17"/>
    <w:rsid w:val="544B3643"/>
    <w:rsid w:val="544C50BF"/>
    <w:rsid w:val="54567EE6"/>
    <w:rsid w:val="545A5AFC"/>
    <w:rsid w:val="54627EC3"/>
    <w:rsid w:val="546926EB"/>
    <w:rsid w:val="54697231"/>
    <w:rsid w:val="546D3F89"/>
    <w:rsid w:val="54703A7A"/>
    <w:rsid w:val="547E00EE"/>
    <w:rsid w:val="54844559"/>
    <w:rsid w:val="548A049A"/>
    <w:rsid w:val="54941C1A"/>
    <w:rsid w:val="54964EE7"/>
    <w:rsid w:val="54AB5FDB"/>
    <w:rsid w:val="54BA5A5B"/>
    <w:rsid w:val="54C93FA5"/>
    <w:rsid w:val="54CD2C7A"/>
    <w:rsid w:val="54D0239A"/>
    <w:rsid w:val="54D80C05"/>
    <w:rsid w:val="54D9517B"/>
    <w:rsid w:val="54EB3954"/>
    <w:rsid w:val="54EF47C1"/>
    <w:rsid w:val="54F55C0F"/>
    <w:rsid w:val="54F91CA9"/>
    <w:rsid w:val="54FA7965"/>
    <w:rsid w:val="550A17D8"/>
    <w:rsid w:val="55214A86"/>
    <w:rsid w:val="55293C6D"/>
    <w:rsid w:val="552D320D"/>
    <w:rsid w:val="552E6CFB"/>
    <w:rsid w:val="552F56E3"/>
    <w:rsid w:val="55311188"/>
    <w:rsid w:val="5539030F"/>
    <w:rsid w:val="553D2817"/>
    <w:rsid w:val="55413236"/>
    <w:rsid w:val="55505FA0"/>
    <w:rsid w:val="55617CA1"/>
    <w:rsid w:val="55652EB2"/>
    <w:rsid w:val="55657CA2"/>
    <w:rsid w:val="556B68E0"/>
    <w:rsid w:val="55713605"/>
    <w:rsid w:val="55757DD5"/>
    <w:rsid w:val="557E5D22"/>
    <w:rsid w:val="55833339"/>
    <w:rsid w:val="55833A09"/>
    <w:rsid w:val="5598523A"/>
    <w:rsid w:val="559F60BF"/>
    <w:rsid w:val="55A13749"/>
    <w:rsid w:val="55AC288F"/>
    <w:rsid w:val="55BA66A9"/>
    <w:rsid w:val="55C05381"/>
    <w:rsid w:val="55CD5030"/>
    <w:rsid w:val="55CD51C6"/>
    <w:rsid w:val="55CE29F3"/>
    <w:rsid w:val="55D360A4"/>
    <w:rsid w:val="55E03CA7"/>
    <w:rsid w:val="55E52DA6"/>
    <w:rsid w:val="55EC35D4"/>
    <w:rsid w:val="55FB1114"/>
    <w:rsid w:val="55FD4C24"/>
    <w:rsid w:val="56015F72"/>
    <w:rsid w:val="561623FF"/>
    <w:rsid w:val="56226579"/>
    <w:rsid w:val="56236D75"/>
    <w:rsid w:val="563E685D"/>
    <w:rsid w:val="56466840"/>
    <w:rsid w:val="564878BA"/>
    <w:rsid w:val="565D3FCF"/>
    <w:rsid w:val="565D58BD"/>
    <w:rsid w:val="566C71FF"/>
    <w:rsid w:val="567A6461"/>
    <w:rsid w:val="567B06F9"/>
    <w:rsid w:val="567D4DE2"/>
    <w:rsid w:val="568A7075"/>
    <w:rsid w:val="568B1E60"/>
    <w:rsid w:val="568B4FA4"/>
    <w:rsid w:val="56A720E4"/>
    <w:rsid w:val="56A75B62"/>
    <w:rsid w:val="56A812A9"/>
    <w:rsid w:val="56AD6E60"/>
    <w:rsid w:val="56AE6DCA"/>
    <w:rsid w:val="56C87B9D"/>
    <w:rsid w:val="56DB1F38"/>
    <w:rsid w:val="56E12653"/>
    <w:rsid w:val="56E878F7"/>
    <w:rsid w:val="56EC3A93"/>
    <w:rsid w:val="56ED2373"/>
    <w:rsid w:val="56F12C81"/>
    <w:rsid w:val="570A1F63"/>
    <w:rsid w:val="5712706A"/>
    <w:rsid w:val="57194D6F"/>
    <w:rsid w:val="57236447"/>
    <w:rsid w:val="57257505"/>
    <w:rsid w:val="57277849"/>
    <w:rsid w:val="572A6598"/>
    <w:rsid w:val="573406C3"/>
    <w:rsid w:val="57415259"/>
    <w:rsid w:val="574A2360"/>
    <w:rsid w:val="57506867"/>
    <w:rsid w:val="57550DEC"/>
    <w:rsid w:val="57586EF3"/>
    <w:rsid w:val="57704961"/>
    <w:rsid w:val="57727B09"/>
    <w:rsid w:val="57802F13"/>
    <w:rsid w:val="5781720C"/>
    <w:rsid w:val="57974D9C"/>
    <w:rsid w:val="57B45B76"/>
    <w:rsid w:val="57C06AC6"/>
    <w:rsid w:val="57C223A8"/>
    <w:rsid w:val="57D05969"/>
    <w:rsid w:val="57DB6D71"/>
    <w:rsid w:val="57DD31D4"/>
    <w:rsid w:val="57E109CE"/>
    <w:rsid w:val="57E5652D"/>
    <w:rsid w:val="57EB28B8"/>
    <w:rsid w:val="58010429"/>
    <w:rsid w:val="58112E7E"/>
    <w:rsid w:val="58224012"/>
    <w:rsid w:val="582A56F9"/>
    <w:rsid w:val="582C7139"/>
    <w:rsid w:val="58405511"/>
    <w:rsid w:val="58490BBC"/>
    <w:rsid w:val="58491AC9"/>
    <w:rsid w:val="584C4CEE"/>
    <w:rsid w:val="58515970"/>
    <w:rsid w:val="586558D3"/>
    <w:rsid w:val="586B457F"/>
    <w:rsid w:val="587240E4"/>
    <w:rsid w:val="58733B38"/>
    <w:rsid w:val="588209C9"/>
    <w:rsid w:val="58821C87"/>
    <w:rsid w:val="5883308C"/>
    <w:rsid w:val="588B319A"/>
    <w:rsid w:val="5893000F"/>
    <w:rsid w:val="58940A11"/>
    <w:rsid w:val="5894458F"/>
    <w:rsid w:val="58951CE8"/>
    <w:rsid w:val="58982CBC"/>
    <w:rsid w:val="58AA12F7"/>
    <w:rsid w:val="58AA1D03"/>
    <w:rsid w:val="58BF6D7E"/>
    <w:rsid w:val="58C470ED"/>
    <w:rsid w:val="58CF1067"/>
    <w:rsid w:val="58D8399B"/>
    <w:rsid w:val="58D964DF"/>
    <w:rsid w:val="58DE293D"/>
    <w:rsid w:val="58F76517"/>
    <w:rsid w:val="58F77C1D"/>
    <w:rsid w:val="58FB6AB1"/>
    <w:rsid w:val="59014F83"/>
    <w:rsid w:val="590673E4"/>
    <w:rsid w:val="5909364B"/>
    <w:rsid w:val="5915404E"/>
    <w:rsid w:val="591F1682"/>
    <w:rsid w:val="592C2C48"/>
    <w:rsid w:val="593432C8"/>
    <w:rsid w:val="59413C36"/>
    <w:rsid w:val="59413DCE"/>
    <w:rsid w:val="59425701"/>
    <w:rsid w:val="59455603"/>
    <w:rsid w:val="59493D7A"/>
    <w:rsid w:val="596916CA"/>
    <w:rsid w:val="597B1558"/>
    <w:rsid w:val="598B6EF9"/>
    <w:rsid w:val="598C6DF6"/>
    <w:rsid w:val="598F5A52"/>
    <w:rsid w:val="59A178DC"/>
    <w:rsid w:val="59AF55E8"/>
    <w:rsid w:val="59B152ED"/>
    <w:rsid w:val="59BA0072"/>
    <w:rsid w:val="59BE2159"/>
    <w:rsid w:val="59E43AC6"/>
    <w:rsid w:val="59E6412A"/>
    <w:rsid w:val="59E74C9B"/>
    <w:rsid w:val="59E85E60"/>
    <w:rsid w:val="59E9055B"/>
    <w:rsid w:val="59F561A0"/>
    <w:rsid w:val="59FB30B7"/>
    <w:rsid w:val="59FB624F"/>
    <w:rsid w:val="5A0013FC"/>
    <w:rsid w:val="5A072055"/>
    <w:rsid w:val="5A0F14DC"/>
    <w:rsid w:val="5A100905"/>
    <w:rsid w:val="5A152B94"/>
    <w:rsid w:val="5A160282"/>
    <w:rsid w:val="5A1D0200"/>
    <w:rsid w:val="5A2E5F69"/>
    <w:rsid w:val="5A310046"/>
    <w:rsid w:val="5A3966BC"/>
    <w:rsid w:val="5A422723"/>
    <w:rsid w:val="5A6B7894"/>
    <w:rsid w:val="5A7220FB"/>
    <w:rsid w:val="5A72779D"/>
    <w:rsid w:val="5A766620"/>
    <w:rsid w:val="5A7AAAB4"/>
    <w:rsid w:val="5A7E7FCF"/>
    <w:rsid w:val="5A827493"/>
    <w:rsid w:val="5A8963BA"/>
    <w:rsid w:val="5A951B44"/>
    <w:rsid w:val="5A963B0E"/>
    <w:rsid w:val="5A977118"/>
    <w:rsid w:val="5A9A7A80"/>
    <w:rsid w:val="5A9B35BC"/>
    <w:rsid w:val="5AA75D1B"/>
    <w:rsid w:val="5AAA473B"/>
    <w:rsid w:val="5AAB1367"/>
    <w:rsid w:val="5AB31059"/>
    <w:rsid w:val="5AC461A2"/>
    <w:rsid w:val="5AD97D6A"/>
    <w:rsid w:val="5AED7BD2"/>
    <w:rsid w:val="5AF01470"/>
    <w:rsid w:val="5AF83EB1"/>
    <w:rsid w:val="5AFA2FCC"/>
    <w:rsid w:val="5AFE1DDF"/>
    <w:rsid w:val="5B042385"/>
    <w:rsid w:val="5B1909C7"/>
    <w:rsid w:val="5B19165E"/>
    <w:rsid w:val="5B314A5A"/>
    <w:rsid w:val="5B370E4D"/>
    <w:rsid w:val="5B377D75"/>
    <w:rsid w:val="5B57329D"/>
    <w:rsid w:val="5B5E462C"/>
    <w:rsid w:val="5B671DED"/>
    <w:rsid w:val="5B6B5D90"/>
    <w:rsid w:val="5B6E650E"/>
    <w:rsid w:val="5B707145"/>
    <w:rsid w:val="5B7943E2"/>
    <w:rsid w:val="5B94004E"/>
    <w:rsid w:val="5B9E2C7A"/>
    <w:rsid w:val="5BAC2267"/>
    <w:rsid w:val="5BB12FE8"/>
    <w:rsid w:val="5BBA4C7F"/>
    <w:rsid w:val="5BBB34B0"/>
    <w:rsid w:val="5BC16969"/>
    <w:rsid w:val="5BCB16AF"/>
    <w:rsid w:val="5BCB4ACD"/>
    <w:rsid w:val="5BD1100E"/>
    <w:rsid w:val="5BD46BC8"/>
    <w:rsid w:val="5BDB3ECE"/>
    <w:rsid w:val="5BDB69BA"/>
    <w:rsid w:val="5BDD415E"/>
    <w:rsid w:val="5BE13932"/>
    <w:rsid w:val="5BE2782F"/>
    <w:rsid w:val="5BEA4111"/>
    <w:rsid w:val="5BED373F"/>
    <w:rsid w:val="5BEE3BEC"/>
    <w:rsid w:val="5BEE5B9C"/>
    <w:rsid w:val="5BF84A80"/>
    <w:rsid w:val="5BFA7AA4"/>
    <w:rsid w:val="5BFB1E7B"/>
    <w:rsid w:val="5C11169E"/>
    <w:rsid w:val="5C14118E"/>
    <w:rsid w:val="5C1473E0"/>
    <w:rsid w:val="5C270EC2"/>
    <w:rsid w:val="5C2D79F0"/>
    <w:rsid w:val="5C2F6188"/>
    <w:rsid w:val="5C311D40"/>
    <w:rsid w:val="5C3A0B80"/>
    <w:rsid w:val="5C3D63A0"/>
    <w:rsid w:val="5C445E47"/>
    <w:rsid w:val="5C4467C9"/>
    <w:rsid w:val="5C461806"/>
    <w:rsid w:val="5C4E4B25"/>
    <w:rsid w:val="5C4F21C6"/>
    <w:rsid w:val="5C53742B"/>
    <w:rsid w:val="5C537FC9"/>
    <w:rsid w:val="5C56031C"/>
    <w:rsid w:val="5C567997"/>
    <w:rsid w:val="5C5E240A"/>
    <w:rsid w:val="5C622B44"/>
    <w:rsid w:val="5C6336AA"/>
    <w:rsid w:val="5C642E64"/>
    <w:rsid w:val="5C772B8E"/>
    <w:rsid w:val="5C816FAE"/>
    <w:rsid w:val="5C9302F0"/>
    <w:rsid w:val="5C9B540C"/>
    <w:rsid w:val="5C9D4C23"/>
    <w:rsid w:val="5CA1472C"/>
    <w:rsid w:val="5CA50038"/>
    <w:rsid w:val="5CA53B73"/>
    <w:rsid w:val="5CAC33FE"/>
    <w:rsid w:val="5CB7119C"/>
    <w:rsid w:val="5CBD1826"/>
    <w:rsid w:val="5CC22998"/>
    <w:rsid w:val="5CC44CFA"/>
    <w:rsid w:val="5CC74453"/>
    <w:rsid w:val="5CD9503E"/>
    <w:rsid w:val="5D0144B0"/>
    <w:rsid w:val="5D041203"/>
    <w:rsid w:val="5D0631CD"/>
    <w:rsid w:val="5D072AA1"/>
    <w:rsid w:val="5D1551BE"/>
    <w:rsid w:val="5D1A4582"/>
    <w:rsid w:val="5D234C15"/>
    <w:rsid w:val="5D257882"/>
    <w:rsid w:val="5D414205"/>
    <w:rsid w:val="5D4541C2"/>
    <w:rsid w:val="5D4E2B1A"/>
    <w:rsid w:val="5D551A5E"/>
    <w:rsid w:val="5D6347F3"/>
    <w:rsid w:val="5D656145"/>
    <w:rsid w:val="5D6A2910"/>
    <w:rsid w:val="5D6E2727"/>
    <w:rsid w:val="5D785670"/>
    <w:rsid w:val="5D7E1A37"/>
    <w:rsid w:val="5D7E2D63"/>
    <w:rsid w:val="5D8365CC"/>
    <w:rsid w:val="5D9B7CF5"/>
    <w:rsid w:val="5D9F05C7"/>
    <w:rsid w:val="5D9F2CDA"/>
    <w:rsid w:val="5DB06C95"/>
    <w:rsid w:val="5DBA7B13"/>
    <w:rsid w:val="5DBB2413"/>
    <w:rsid w:val="5DC627F5"/>
    <w:rsid w:val="5DD42214"/>
    <w:rsid w:val="5DDB01B6"/>
    <w:rsid w:val="5DDC4BB6"/>
    <w:rsid w:val="5DF23751"/>
    <w:rsid w:val="5E063DCF"/>
    <w:rsid w:val="5E08087F"/>
    <w:rsid w:val="5E111E29"/>
    <w:rsid w:val="5E13603C"/>
    <w:rsid w:val="5E136DF5"/>
    <w:rsid w:val="5E186E42"/>
    <w:rsid w:val="5E31427A"/>
    <w:rsid w:val="5E4B0C94"/>
    <w:rsid w:val="5E4F1FBE"/>
    <w:rsid w:val="5E524F4B"/>
    <w:rsid w:val="5E5E2B95"/>
    <w:rsid w:val="5E6A7B5C"/>
    <w:rsid w:val="5E6D4B86"/>
    <w:rsid w:val="5E755CB6"/>
    <w:rsid w:val="5E7950D9"/>
    <w:rsid w:val="5E7D301B"/>
    <w:rsid w:val="5E8423D0"/>
    <w:rsid w:val="5E897E33"/>
    <w:rsid w:val="5E920E32"/>
    <w:rsid w:val="5E922228"/>
    <w:rsid w:val="5E9465B6"/>
    <w:rsid w:val="5E983D05"/>
    <w:rsid w:val="5E9A1C79"/>
    <w:rsid w:val="5E9C2A55"/>
    <w:rsid w:val="5E9D403D"/>
    <w:rsid w:val="5EA1146C"/>
    <w:rsid w:val="5EA40BB8"/>
    <w:rsid w:val="5EAB402C"/>
    <w:rsid w:val="5EC116F3"/>
    <w:rsid w:val="5EC83E3A"/>
    <w:rsid w:val="5ECE1AC8"/>
    <w:rsid w:val="5ECE3E0C"/>
    <w:rsid w:val="5ED112FA"/>
    <w:rsid w:val="5ED54C05"/>
    <w:rsid w:val="5EE0509F"/>
    <w:rsid w:val="5EE5360E"/>
    <w:rsid w:val="5EEB0733"/>
    <w:rsid w:val="5EF808F3"/>
    <w:rsid w:val="5F1345CD"/>
    <w:rsid w:val="5F1446A1"/>
    <w:rsid w:val="5F155949"/>
    <w:rsid w:val="5F1971C9"/>
    <w:rsid w:val="5F2A32FA"/>
    <w:rsid w:val="5F363466"/>
    <w:rsid w:val="5F37766E"/>
    <w:rsid w:val="5F3D1770"/>
    <w:rsid w:val="5F4E660D"/>
    <w:rsid w:val="5F5B0216"/>
    <w:rsid w:val="5F5C5326"/>
    <w:rsid w:val="5F70522A"/>
    <w:rsid w:val="5F7206A6"/>
    <w:rsid w:val="5F7A6087"/>
    <w:rsid w:val="5F8719F2"/>
    <w:rsid w:val="5F930AF8"/>
    <w:rsid w:val="5F966A2B"/>
    <w:rsid w:val="5FA108AA"/>
    <w:rsid w:val="5FA10F8B"/>
    <w:rsid w:val="5FAD0763"/>
    <w:rsid w:val="5FADEDAA"/>
    <w:rsid w:val="5FBA72DD"/>
    <w:rsid w:val="5FBC4D4E"/>
    <w:rsid w:val="5FBC7C4F"/>
    <w:rsid w:val="5FBF759A"/>
    <w:rsid w:val="5FD064E9"/>
    <w:rsid w:val="5FD7038B"/>
    <w:rsid w:val="5FDA4584"/>
    <w:rsid w:val="5FDF0EC5"/>
    <w:rsid w:val="5FE43015"/>
    <w:rsid w:val="5FE54833"/>
    <w:rsid w:val="5FF236A5"/>
    <w:rsid w:val="5FF25BC4"/>
    <w:rsid w:val="5FFB4236"/>
    <w:rsid w:val="5FFB59D8"/>
    <w:rsid w:val="5FFD749C"/>
    <w:rsid w:val="5FFE462F"/>
    <w:rsid w:val="60000D09"/>
    <w:rsid w:val="60372000"/>
    <w:rsid w:val="60391928"/>
    <w:rsid w:val="60443049"/>
    <w:rsid w:val="60487659"/>
    <w:rsid w:val="605D3104"/>
    <w:rsid w:val="606C3347"/>
    <w:rsid w:val="60874625"/>
    <w:rsid w:val="608B4D11"/>
    <w:rsid w:val="608C5BB8"/>
    <w:rsid w:val="609A35CD"/>
    <w:rsid w:val="60A72ADF"/>
    <w:rsid w:val="60AC022A"/>
    <w:rsid w:val="60AD570E"/>
    <w:rsid w:val="60B07E37"/>
    <w:rsid w:val="60B20A29"/>
    <w:rsid w:val="60B2257B"/>
    <w:rsid w:val="60B254C4"/>
    <w:rsid w:val="60B600D3"/>
    <w:rsid w:val="60BB2D0B"/>
    <w:rsid w:val="60BB7E2A"/>
    <w:rsid w:val="60DF3D20"/>
    <w:rsid w:val="60E16B24"/>
    <w:rsid w:val="60FA6BA5"/>
    <w:rsid w:val="60FF41BB"/>
    <w:rsid w:val="610932E0"/>
    <w:rsid w:val="610E08A2"/>
    <w:rsid w:val="612E08CB"/>
    <w:rsid w:val="61456544"/>
    <w:rsid w:val="61592FA0"/>
    <w:rsid w:val="615D4ECF"/>
    <w:rsid w:val="615F17FF"/>
    <w:rsid w:val="61610FEB"/>
    <w:rsid w:val="616A60B0"/>
    <w:rsid w:val="616B17E8"/>
    <w:rsid w:val="61706E67"/>
    <w:rsid w:val="61866641"/>
    <w:rsid w:val="618804A2"/>
    <w:rsid w:val="61A22E2A"/>
    <w:rsid w:val="61B50EAC"/>
    <w:rsid w:val="61C10D06"/>
    <w:rsid w:val="61CC73AA"/>
    <w:rsid w:val="61D81393"/>
    <w:rsid w:val="61E17A75"/>
    <w:rsid w:val="61E33846"/>
    <w:rsid w:val="61FC4B9F"/>
    <w:rsid w:val="62023F0C"/>
    <w:rsid w:val="62080F0F"/>
    <w:rsid w:val="620878F2"/>
    <w:rsid w:val="6225328C"/>
    <w:rsid w:val="6230616B"/>
    <w:rsid w:val="624869B3"/>
    <w:rsid w:val="624B4F40"/>
    <w:rsid w:val="625167A2"/>
    <w:rsid w:val="62570027"/>
    <w:rsid w:val="62571DD5"/>
    <w:rsid w:val="62573741"/>
    <w:rsid w:val="625A33E9"/>
    <w:rsid w:val="62614A02"/>
    <w:rsid w:val="62683FE2"/>
    <w:rsid w:val="62725B06"/>
    <w:rsid w:val="62742987"/>
    <w:rsid w:val="627A19FB"/>
    <w:rsid w:val="6289331F"/>
    <w:rsid w:val="62896145"/>
    <w:rsid w:val="628A7C2A"/>
    <w:rsid w:val="628D5B5E"/>
    <w:rsid w:val="629355BD"/>
    <w:rsid w:val="62AE304C"/>
    <w:rsid w:val="62BB05B6"/>
    <w:rsid w:val="62C418A6"/>
    <w:rsid w:val="62D014A9"/>
    <w:rsid w:val="62D3168C"/>
    <w:rsid w:val="62D53A61"/>
    <w:rsid w:val="62DF4162"/>
    <w:rsid w:val="62EB23F5"/>
    <w:rsid w:val="62F75334"/>
    <w:rsid w:val="62FD562C"/>
    <w:rsid w:val="62FE749F"/>
    <w:rsid w:val="63051831"/>
    <w:rsid w:val="630A6F40"/>
    <w:rsid w:val="631D0C9E"/>
    <w:rsid w:val="63285DF6"/>
    <w:rsid w:val="63293820"/>
    <w:rsid w:val="632B7B41"/>
    <w:rsid w:val="6332455D"/>
    <w:rsid w:val="633751D2"/>
    <w:rsid w:val="633C4080"/>
    <w:rsid w:val="63435AC6"/>
    <w:rsid w:val="634554E6"/>
    <w:rsid w:val="637075F2"/>
    <w:rsid w:val="637732D6"/>
    <w:rsid w:val="638C3D00"/>
    <w:rsid w:val="638C5AAE"/>
    <w:rsid w:val="638D1CCF"/>
    <w:rsid w:val="639608AA"/>
    <w:rsid w:val="63AC1768"/>
    <w:rsid w:val="63B62C85"/>
    <w:rsid w:val="63B86C68"/>
    <w:rsid w:val="63C33BC6"/>
    <w:rsid w:val="63CE4E93"/>
    <w:rsid w:val="63D062E3"/>
    <w:rsid w:val="63D65379"/>
    <w:rsid w:val="63D65878"/>
    <w:rsid w:val="63E24C3F"/>
    <w:rsid w:val="63E63410"/>
    <w:rsid w:val="63EB3C2C"/>
    <w:rsid w:val="63ED30B4"/>
    <w:rsid w:val="63ED8B96"/>
    <w:rsid w:val="63FE4BFE"/>
    <w:rsid w:val="63FF59EB"/>
    <w:rsid w:val="64047623"/>
    <w:rsid w:val="6417181C"/>
    <w:rsid w:val="64224CCA"/>
    <w:rsid w:val="642C493F"/>
    <w:rsid w:val="643248A8"/>
    <w:rsid w:val="64334914"/>
    <w:rsid w:val="643506F4"/>
    <w:rsid w:val="643549A5"/>
    <w:rsid w:val="643F5261"/>
    <w:rsid w:val="64430862"/>
    <w:rsid w:val="64493F78"/>
    <w:rsid w:val="64540547"/>
    <w:rsid w:val="645F46D4"/>
    <w:rsid w:val="6463357E"/>
    <w:rsid w:val="64656DD7"/>
    <w:rsid w:val="64770F0F"/>
    <w:rsid w:val="647B7FFD"/>
    <w:rsid w:val="648570CD"/>
    <w:rsid w:val="648C64CA"/>
    <w:rsid w:val="648E6258"/>
    <w:rsid w:val="64A132A0"/>
    <w:rsid w:val="64A32270"/>
    <w:rsid w:val="64A714F6"/>
    <w:rsid w:val="64AD4D63"/>
    <w:rsid w:val="64BA5258"/>
    <w:rsid w:val="64C9520C"/>
    <w:rsid w:val="64D140C0"/>
    <w:rsid w:val="64D427BC"/>
    <w:rsid w:val="64D578F5"/>
    <w:rsid w:val="64DA53CA"/>
    <w:rsid w:val="64DB34B6"/>
    <w:rsid w:val="64DB4D07"/>
    <w:rsid w:val="64E75274"/>
    <w:rsid w:val="64E83484"/>
    <w:rsid w:val="64EB0AB6"/>
    <w:rsid w:val="64F02FB8"/>
    <w:rsid w:val="64F62799"/>
    <w:rsid w:val="6506090F"/>
    <w:rsid w:val="65166015"/>
    <w:rsid w:val="65185903"/>
    <w:rsid w:val="651A46DC"/>
    <w:rsid w:val="652137CE"/>
    <w:rsid w:val="65242442"/>
    <w:rsid w:val="6526661E"/>
    <w:rsid w:val="6546684C"/>
    <w:rsid w:val="65481991"/>
    <w:rsid w:val="655A2308"/>
    <w:rsid w:val="65827271"/>
    <w:rsid w:val="658721EC"/>
    <w:rsid w:val="6590050B"/>
    <w:rsid w:val="659F174F"/>
    <w:rsid w:val="65A11D3F"/>
    <w:rsid w:val="65A2780B"/>
    <w:rsid w:val="65A76BCF"/>
    <w:rsid w:val="65B25D99"/>
    <w:rsid w:val="65B41DE1"/>
    <w:rsid w:val="65BE1A9B"/>
    <w:rsid w:val="65BE1BF7"/>
    <w:rsid w:val="65C63B99"/>
    <w:rsid w:val="65CB6D62"/>
    <w:rsid w:val="65D05019"/>
    <w:rsid w:val="65D3316F"/>
    <w:rsid w:val="65DA4795"/>
    <w:rsid w:val="65E120E1"/>
    <w:rsid w:val="65E45A5F"/>
    <w:rsid w:val="65E815B4"/>
    <w:rsid w:val="65EA12EE"/>
    <w:rsid w:val="65FC66FD"/>
    <w:rsid w:val="65FF6BAB"/>
    <w:rsid w:val="66005EA4"/>
    <w:rsid w:val="66014E53"/>
    <w:rsid w:val="66031E91"/>
    <w:rsid w:val="660840B9"/>
    <w:rsid w:val="660A3F0B"/>
    <w:rsid w:val="660B53B0"/>
    <w:rsid w:val="661204ED"/>
    <w:rsid w:val="66136A8F"/>
    <w:rsid w:val="66331C6B"/>
    <w:rsid w:val="66402289"/>
    <w:rsid w:val="6651287E"/>
    <w:rsid w:val="66566E93"/>
    <w:rsid w:val="665E4F2C"/>
    <w:rsid w:val="66680A54"/>
    <w:rsid w:val="669C3715"/>
    <w:rsid w:val="669D3859"/>
    <w:rsid w:val="66AC7A28"/>
    <w:rsid w:val="66D106F8"/>
    <w:rsid w:val="66D32372"/>
    <w:rsid w:val="66EC0EE7"/>
    <w:rsid w:val="66ED547A"/>
    <w:rsid w:val="66EF6A80"/>
    <w:rsid w:val="66F07B39"/>
    <w:rsid w:val="66F172A8"/>
    <w:rsid w:val="67051B86"/>
    <w:rsid w:val="67065B78"/>
    <w:rsid w:val="67087F84"/>
    <w:rsid w:val="670D5158"/>
    <w:rsid w:val="67136D1B"/>
    <w:rsid w:val="67151A2E"/>
    <w:rsid w:val="6723497B"/>
    <w:rsid w:val="67254250"/>
    <w:rsid w:val="67335294"/>
    <w:rsid w:val="67397CFB"/>
    <w:rsid w:val="673E2536"/>
    <w:rsid w:val="674E6C15"/>
    <w:rsid w:val="67504B27"/>
    <w:rsid w:val="67741B39"/>
    <w:rsid w:val="677B0AD2"/>
    <w:rsid w:val="678649DF"/>
    <w:rsid w:val="678E0566"/>
    <w:rsid w:val="67931230"/>
    <w:rsid w:val="6796514D"/>
    <w:rsid w:val="679D5AEB"/>
    <w:rsid w:val="679E5011"/>
    <w:rsid w:val="67A248F2"/>
    <w:rsid w:val="67A460D1"/>
    <w:rsid w:val="67B24D7B"/>
    <w:rsid w:val="67B6134C"/>
    <w:rsid w:val="67D35FA8"/>
    <w:rsid w:val="67E72F5E"/>
    <w:rsid w:val="67EC3173"/>
    <w:rsid w:val="67ED2E07"/>
    <w:rsid w:val="67F307F2"/>
    <w:rsid w:val="67F93369"/>
    <w:rsid w:val="680255AA"/>
    <w:rsid w:val="680447AD"/>
    <w:rsid w:val="68095B31"/>
    <w:rsid w:val="681169E5"/>
    <w:rsid w:val="681231A8"/>
    <w:rsid w:val="682E3531"/>
    <w:rsid w:val="683C0435"/>
    <w:rsid w:val="683F57E5"/>
    <w:rsid w:val="684B23DC"/>
    <w:rsid w:val="684C4B13"/>
    <w:rsid w:val="684D7F02"/>
    <w:rsid w:val="685229B6"/>
    <w:rsid w:val="685416DF"/>
    <w:rsid w:val="685748DD"/>
    <w:rsid w:val="685E3EBD"/>
    <w:rsid w:val="68643C52"/>
    <w:rsid w:val="68662D72"/>
    <w:rsid w:val="68680898"/>
    <w:rsid w:val="689069CF"/>
    <w:rsid w:val="689163A5"/>
    <w:rsid w:val="68923687"/>
    <w:rsid w:val="68925915"/>
    <w:rsid w:val="68962D48"/>
    <w:rsid w:val="68970246"/>
    <w:rsid w:val="689B7B06"/>
    <w:rsid w:val="689C645D"/>
    <w:rsid w:val="689F0032"/>
    <w:rsid w:val="68A90F2B"/>
    <w:rsid w:val="68AD293D"/>
    <w:rsid w:val="68AE2423"/>
    <w:rsid w:val="68B62B84"/>
    <w:rsid w:val="68C46C59"/>
    <w:rsid w:val="68CB7079"/>
    <w:rsid w:val="68CB7CCA"/>
    <w:rsid w:val="68D032D8"/>
    <w:rsid w:val="68D94025"/>
    <w:rsid w:val="68DB6C5C"/>
    <w:rsid w:val="68EC18B0"/>
    <w:rsid w:val="68F62F60"/>
    <w:rsid w:val="69014A99"/>
    <w:rsid w:val="690A0299"/>
    <w:rsid w:val="690B56C7"/>
    <w:rsid w:val="69125CCE"/>
    <w:rsid w:val="691A3DDD"/>
    <w:rsid w:val="691E364C"/>
    <w:rsid w:val="692639E6"/>
    <w:rsid w:val="694B127D"/>
    <w:rsid w:val="69735540"/>
    <w:rsid w:val="697C0FBC"/>
    <w:rsid w:val="698A1449"/>
    <w:rsid w:val="699623D4"/>
    <w:rsid w:val="699F27B4"/>
    <w:rsid w:val="69AF2EA3"/>
    <w:rsid w:val="69B61BB7"/>
    <w:rsid w:val="69BE6329"/>
    <w:rsid w:val="69C81143"/>
    <w:rsid w:val="69D02B99"/>
    <w:rsid w:val="69DC68F1"/>
    <w:rsid w:val="69E01579"/>
    <w:rsid w:val="69E95B74"/>
    <w:rsid w:val="69F63383"/>
    <w:rsid w:val="69F918E2"/>
    <w:rsid w:val="69FC3DBF"/>
    <w:rsid w:val="69FD7706"/>
    <w:rsid w:val="6A042842"/>
    <w:rsid w:val="6A19202D"/>
    <w:rsid w:val="6A2D57C7"/>
    <w:rsid w:val="6A2D6606"/>
    <w:rsid w:val="6A326537"/>
    <w:rsid w:val="6A5167DD"/>
    <w:rsid w:val="6A575068"/>
    <w:rsid w:val="6A590DE0"/>
    <w:rsid w:val="6A643554"/>
    <w:rsid w:val="6A64532A"/>
    <w:rsid w:val="6A72734D"/>
    <w:rsid w:val="6A75644F"/>
    <w:rsid w:val="6A9446FD"/>
    <w:rsid w:val="6A987D9B"/>
    <w:rsid w:val="6A9C2A7B"/>
    <w:rsid w:val="6AA162E3"/>
    <w:rsid w:val="6AAF67F3"/>
    <w:rsid w:val="6ABA1153"/>
    <w:rsid w:val="6AD42215"/>
    <w:rsid w:val="6ADA35A3"/>
    <w:rsid w:val="6AF4016B"/>
    <w:rsid w:val="6AFA55AE"/>
    <w:rsid w:val="6AFD5A42"/>
    <w:rsid w:val="6B0326BC"/>
    <w:rsid w:val="6B0A3E88"/>
    <w:rsid w:val="6B113469"/>
    <w:rsid w:val="6B121A63"/>
    <w:rsid w:val="6B125A29"/>
    <w:rsid w:val="6B160100"/>
    <w:rsid w:val="6B2A277C"/>
    <w:rsid w:val="6B2E09D8"/>
    <w:rsid w:val="6B303356"/>
    <w:rsid w:val="6B3521BC"/>
    <w:rsid w:val="6B364C7D"/>
    <w:rsid w:val="6B380117"/>
    <w:rsid w:val="6B397FBC"/>
    <w:rsid w:val="6B437EA7"/>
    <w:rsid w:val="6B477741"/>
    <w:rsid w:val="6B4B624F"/>
    <w:rsid w:val="6B4C26F3"/>
    <w:rsid w:val="6B7B4D86"/>
    <w:rsid w:val="6B7C1EBB"/>
    <w:rsid w:val="6B8169A3"/>
    <w:rsid w:val="6B827EC3"/>
    <w:rsid w:val="6B8734F4"/>
    <w:rsid w:val="6B893164"/>
    <w:rsid w:val="6B930BEB"/>
    <w:rsid w:val="6B9D6F2A"/>
    <w:rsid w:val="6B9F5E36"/>
    <w:rsid w:val="6BA26974"/>
    <w:rsid w:val="6BB11934"/>
    <w:rsid w:val="6BB568C3"/>
    <w:rsid w:val="6BB64010"/>
    <w:rsid w:val="6BB67F28"/>
    <w:rsid w:val="6BB838E4"/>
    <w:rsid w:val="6BC115D8"/>
    <w:rsid w:val="6BD32483"/>
    <w:rsid w:val="6BD36970"/>
    <w:rsid w:val="6BF916E5"/>
    <w:rsid w:val="6BFC7963"/>
    <w:rsid w:val="6C0121F2"/>
    <w:rsid w:val="6C0D6183"/>
    <w:rsid w:val="6C130940"/>
    <w:rsid w:val="6C145F18"/>
    <w:rsid w:val="6C22392D"/>
    <w:rsid w:val="6C22683E"/>
    <w:rsid w:val="6C235C2B"/>
    <w:rsid w:val="6C3D028D"/>
    <w:rsid w:val="6C45090D"/>
    <w:rsid w:val="6C472EBA"/>
    <w:rsid w:val="6C4D0B32"/>
    <w:rsid w:val="6C5220AD"/>
    <w:rsid w:val="6C55253B"/>
    <w:rsid w:val="6C5C5A43"/>
    <w:rsid w:val="6C692C46"/>
    <w:rsid w:val="6C711CE5"/>
    <w:rsid w:val="6C73245F"/>
    <w:rsid w:val="6C744B65"/>
    <w:rsid w:val="6C81461E"/>
    <w:rsid w:val="6C953C26"/>
    <w:rsid w:val="6C97799E"/>
    <w:rsid w:val="6C9C1458"/>
    <w:rsid w:val="6C9F2F49"/>
    <w:rsid w:val="6CA901D5"/>
    <w:rsid w:val="6CB77C66"/>
    <w:rsid w:val="6CBC2023"/>
    <w:rsid w:val="6CC369E5"/>
    <w:rsid w:val="6CC8224D"/>
    <w:rsid w:val="6CCB3383"/>
    <w:rsid w:val="6CDC173F"/>
    <w:rsid w:val="6CE32BE3"/>
    <w:rsid w:val="6CF0251C"/>
    <w:rsid w:val="6CF05300"/>
    <w:rsid w:val="6CF921AA"/>
    <w:rsid w:val="6D0022DC"/>
    <w:rsid w:val="6D027D3A"/>
    <w:rsid w:val="6D0631A5"/>
    <w:rsid w:val="6D0A4613"/>
    <w:rsid w:val="6D0D428F"/>
    <w:rsid w:val="6D1116DB"/>
    <w:rsid w:val="6D135762"/>
    <w:rsid w:val="6D140D7C"/>
    <w:rsid w:val="6D267C7A"/>
    <w:rsid w:val="6D307C84"/>
    <w:rsid w:val="6D374CDD"/>
    <w:rsid w:val="6D3850E7"/>
    <w:rsid w:val="6D3E4025"/>
    <w:rsid w:val="6D3F56EF"/>
    <w:rsid w:val="6D4405DE"/>
    <w:rsid w:val="6D45389E"/>
    <w:rsid w:val="6D4866A4"/>
    <w:rsid w:val="6D527D69"/>
    <w:rsid w:val="6D56199F"/>
    <w:rsid w:val="6D5910F7"/>
    <w:rsid w:val="6D604192"/>
    <w:rsid w:val="6D68133A"/>
    <w:rsid w:val="6D6830E8"/>
    <w:rsid w:val="6D783C5C"/>
    <w:rsid w:val="6D7D64CF"/>
    <w:rsid w:val="6D8259EC"/>
    <w:rsid w:val="6D8960A3"/>
    <w:rsid w:val="6D9A3D0F"/>
    <w:rsid w:val="6D9B526C"/>
    <w:rsid w:val="6DAB481E"/>
    <w:rsid w:val="6DB1381B"/>
    <w:rsid w:val="6DC62A30"/>
    <w:rsid w:val="6DCA5B51"/>
    <w:rsid w:val="6DD62748"/>
    <w:rsid w:val="6DDF5FEC"/>
    <w:rsid w:val="6DE36C13"/>
    <w:rsid w:val="6DF40E20"/>
    <w:rsid w:val="6DF90401"/>
    <w:rsid w:val="6E061386"/>
    <w:rsid w:val="6E071FCB"/>
    <w:rsid w:val="6E0A7336"/>
    <w:rsid w:val="6E4A0A40"/>
    <w:rsid w:val="6E523A86"/>
    <w:rsid w:val="6E571A3C"/>
    <w:rsid w:val="6E5B2C4D"/>
    <w:rsid w:val="6E681C8B"/>
    <w:rsid w:val="6E6A4722"/>
    <w:rsid w:val="6E720040"/>
    <w:rsid w:val="6E732A73"/>
    <w:rsid w:val="6E787CAC"/>
    <w:rsid w:val="6E886302"/>
    <w:rsid w:val="6E936F02"/>
    <w:rsid w:val="6E9E0A76"/>
    <w:rsid w:val="6EA2607D"/>
    <w:rsid w:val="6EA563D0"/>
    <w:rsid w:val="6EBD7464"/>
    <w:rsid w:val="6EBE3CA9"/>
    <w:rsid w:val="6EBF4F8A"/>
    <w:rsid w:val="6ED111F5"/>
    <w:rsid w:val="6EDB1642"/>
    <w:rsid w:val="6EE55758"/>
    <w:rsid w:val="6EEE4DD7"/>
    <w:rsid w:val="6EEE5200"/>
    <w:rsid w:val="6F084B83"/>
    <w:rsid w:val="6F235519"/>
    <w:rsid w:val="6F3C34E3"/>
    <w:rsid w:val="6F40772E"/>
    <w:rsid w:val="6F446760"/>
    <w:rsid w:val="6F462369"/>
    <w:rsid w:val="6F4D6A39"/>
    <w:rsid w:val="6F556011"/>
    <w:rsid w:val="6F57413F"/>
    <w:rsid w:val="6F65700C"/>
    <w:rsid w:val="6F67078E"/>
    <w:rsid w:val="6F6A09F7"/>
    <w:rsid w:val="6F6F075E"/>
    <w:rsid w:val="6F702573"/>
    <w:rsid w:val="6F8306AD"/>
    <w:rsid w:val="6F8C4380"/>
    <w:rsid w:val="6F900892"/>
    <w:rsid w:val="6F943663"/>
    <w:rsid w:val="6F996D0F"/>
    <w:rsid w:val="6FA554A5"/>
    <w:rsid w:val="6FA91B80"/>
    <w:rsid w:val="6FB078A0"/>
    <w:rsid w:val="6FB22D40"/>
    <w:rsid w:val="6FB239F6"/>
    <w:rsid w:val="6FB97D65"/>
    <w:rsid w:val="6FD131C7"/>
    <w:rsid w:val="6FD70B31"/>
    <w:rsid w:val="6FD72910"/>
    <w:rsid w:val="6FE46597"/>
    <w:rsid w:val="6FEA072C"/>
    <w:rsid w:val="6FEA4288"/>
    <w:rsid w:val="6FF67D07"/>
    <w:rsid w:val="6FF92D0E"/>
    <w:rsid w:val="70057314"/>
    <w:rsid w:val="700668A1"/>
    <w:rsid w:val="70194B6E"/>
    <w:rsid w:val="702754DC"/>
    <w:rsid w:val="70292BF1"/>
    <w:rsid w:val="702A0B29"/>
    <w:rsid w:val="702F613F"/>
    <w:rsid w:val="70300156"/>
    <w:rsid w:val="703C619A"/>
    <w:rsid w:val="703E1C6D"/>
    <w:rsid w:val="703E5E7D"/>
    <w:rsid w:val="7047382A"/>
    <w:rsid w:val="70514307"/>
    <w:rsid w:val="7055204A"/>
    <w:rsid w:val="705A729F"/>
    <w:rsid w:val="706109EE"/>
    <w:rsid w:val="706171E7"/>
    <w:rsid w:val="70640E05"/>
    <w:rsid w:val="70652AEB"/>
    <w:rsid w:val="706806CA"/>
    <w:rsid w:val="707029DF"/>
    <w:rsid w:val="7078022E"/>
    <w:rsid w:val="708A39E1"/>
    <w:rsid w:val="708B52EB"/>
    <w:rsid w:val="70967F6C"/>
    <w:rsid w:val="709C24CA"/>
    <w:rsid w:val="709C7FE7"/>
    <w:rsid w:val="70A2745E"/>
    <w:rsid w:val="70BA1EAD"/>
    <w:rsid w:val="70BE1A2A"/>
    <w:rsid w:val="70C15F69"/>
    <w:rsid w:val="70C20D61"/>
    <w:rsid w:val="70C83502"/>
    <w:rsid w:val="70D12A05"/>
    <w:rsid w:val="70DC0040"/>
    <w:rsid w:val="70EE1B56"/>
    <w:rsid w:val="70F01D72"/>
    <w:rsid w:val="70F04A0B"/>
    <w:rsid w:val="70F73101"/>
    <w:rsid w:val="71012ACA"/>
    <w:rsid w:val="710D6480"/>
    <w:rsid w:val="71175551"/>
    <w:rsid w:val="711F61B4"/>
    <w:rsid w:val="71327C95"/>
    <w:rsid w:val="7137174F"/>
    <w:rsid w:val="71432F18"/>
    <w:rsid w:val="714559FA"/>
    <w:rsid w:val="715C11B6"/>
    <w:rsid w:val="716014D0"/>
    <w:rsid w:val="71663DE2"/>
    <w:rsid w:val="716E3F46"/>
    <w:rsid w:val="717233C4"/>
    <w:rsid w:val="7177087E"/>
    <w:rsid w:val="71797038"/>
    <w:rsid w:val="718F3339"/>
    <w:rsid w:val="718F6E95"/>
    <w:rsid w:val="7190169E"/>
    <w:rsid w:val="719170B1"/>
    <w:rsid w:val="719A61D2"/>
    <w:rsid w:val="719B6072"/>
    <w:rsid w:val="719F16DB"/>
    <w:rsid w:val="71A47466"/>
    <w:rsid w:val="71B65F33"/>
    <w:rsid w:val="71CC1CC1"/>
    <w:rsid w:val="71D23226"/>
    <w:rsid w:val="71E700C3"/>
    <w:rsid w:val="71F06A5A"/>
    <w:rsid w:val="71F93D7C"/>
    <w:rsid w:val="71FA5C97"/>
    <w:rsid w:val="71FF26E3"/>
    <w:rsid w:val="72037883"/>
    <w:rsid w:val="72051D94"/>
    <w:rsid w:val="720937F1"/>
    <w:rsid w:val="720F4029"/>
    <w:rsid w:val="720F6228"/>
    <w:rsid w:val="72170632"/>
    <w:rsid w:val="721E46BD"/>
    <w:rsid w:val="722E70A1"/>
    <w:rsid w:val="723839D1"/>
    <w:rsid w:val="72433E82"/>
    <w:rsid w:val="724D24D7"/>
    <w:rsid w:val="724F5ABD"/>
    <w:rsid w:val="72542722"/>
    <w:rsid w:val="725449AF"/>
    <w:rsid w:val="72557DA2"/>
    <w:rsid w:val="725E5A7C"/>
    <w:rsid w:val="72625D89"/>
    <w:rsid w:val="726B5149"/>
    <w:rsid w:val="7271224F"/>
    <w:rsid w:val="728B1D53"/>
    <w:rsid w:val="72907369"/>
    <w:rsid w:val="729133BC"/>
    <w:rsid w:val="729F135A"/>
    <w:rsid w:val="72A058EF"/>
    <w:rsid w:val="72AB7728"/>
    <w:rsid w:val="72B37770"/>
    <w:rsid w:val="72C3183B"/>
    <w:rsid w:val="72C72555"/>
    <w:rsid w:val="72C773DB"/>
    <w:rsid w:val="72DA07DF"/>
    <w:rsid w:val="72DF01E8"/>
    <w:rsid w:val="730055FF"/>
    <w:rsid w:val="73373C88"/>
    <w:rsid w:val="7341101C"/>
    <w:rsid w:val="734862C2"/>
    <w:rsid w:val="73495E5E"/>
    <w:rsid w:val="735E5441"/>
    <w:rsid w:val="73610EFC"/>
    <w:rsid w:val="736762F1"/>
    <w:rsid w:val="73750FEF"/>
    <w:rsid w:val="7388728E"/>
    <w:rsid w:val="73987D2A"/>
    <w:rsid w:val="739A7D73"/>
    <w:rsid w:val="739F4B08"/>
    <w:rsid w:val="73A56E44"/>
    <w:rsid w:val="73A759EA"/>
    <w:rsid w:val="73B47087"/>
    <w:rsid w:val="73C03ADD"/>
    <w:rsid w:val="73C308A9"/>
    <w:rsid w:val="73CF53E7"/>
    <w:rsid w:val="73D40016"/>
    <w:rsid w:val="73DC4E8D"/>
    <w:rsid w:val="73E5664A"/>
    <w:rsid w:val="73E572CC"/>
    <w:rsid w:val="73EE7002"/>
    <w:rsid w:val="74113314"/>
    <w:rsid w:val="741167E0"/>
    <w:rsid w:val="741254AC"/>
    <w:rsid w:val="74242A37"/>
    <w:rsid w:val="74253B04"/>
    <w:rsid w:val="74324450"/>
    <w:rsid w:val="74356233"/>
    <w:rsid w:val="743B50B2"/>
    <w:rsid w:val="744715FE"/>
    <w:rsid w:val="74534AF2"/>
    <w:rsid w:val="74556698"/>
    <w:rsid w:val="745D1CA0"/>
    <w:rsid w:val="745E5245"/>
    <w:rsid w:val="746A3BEA"/>
    <w:rsid w:val="747E022E"/>
    <w:rsid w:val="74800BF3"/>
    <w:rsid w:val="74890514"/>
    <w:rsid w:val="7489231D"/>
    <w:rsid w:val="74AE6803"/>
    <w:rsid w:val="74B61EFC"/>
    <w:rsid w:val="74BA5BB7"/>
    <w:rsid w:val="74BA691F"/>
    <w:rsid w:val="74D54563"/>
    <w:rsid w:val="74DA2B1D"/>
    <w:rsid w:val="74DD626A"/>
    <w:rsid w:val="74DF4D01"/>
    <w:rsid w:val="74E309C8"/>
    <w:rsid w:val="74E31263"/>
    <w:rsid w:val="74FC6F38"/>
    <w:rsid w:val="74FE3428"/>
    <w:rsid w:val="75006FE3"/>
    <w:rsid w:val="75155E21"/>
    <w:rsid w:val="75222E9E"/>
    <w:rsid w:val="7525740C"/>
    <w:rsid w:val="752C0E9F"/>
    <w:rsid w:val="75302FD7"/>
    <w:rsid w:val="75321D1A"/>
    <w:rsid w:val="75371F54"/>
    <w:rsid w:val="75371FEE"/>
    <w:rsid w:val="753A35BC"/>
    <w:rsid w:val="75412B9C"/>
    <w:rsid w:val="75427E00"/>
    <w:rsid w:val="75540A8C"/>
    <w:rsid w:val="755723C0"/>
    <w:rsid w:val="75581C94"/>
    <w:rsid w:val="75603EAC"/>
    <w:rsid w:val="75622F87"/>
    <w:rsid w:val="75657ACC"/>
    <w:rsid w:val="757A4300"/>
    <w:rsid w:val="757B3B25"/>
    <w:rsid w:val="75803D73"/>
    <w:rsid w:val="759C66A5"/>
    <w:rsid w:val="759E24FF"/>
    <w:rsid w:val="75A650F5"/>
    <w:rsid w:val="75A82C1C"/>
    <w:rsid w:val="75AE51B3"/>
    <w:rsid w:val="75B53F5F"/>
    <w:rsid w:val="75BB2E4E"/>
    <w:rsid w:val="75D315DC"/>
    <w:rsid w:val="75E02113"/>
    <w:rsid w:val="75E83018"/>
    <w:rsid w:val="75EB48B6"/>
    <w:rsid w:val="75EFEF28"/>
    <w:rsid w:val="76097588"/>
    <w:rsid w:val="76200A04"/>
    <w:rsid w:val="7627559A"/>
    <w:rsid w:val="763C6997"/>
    <w:rsid w:val="763E36E4"/>
    <w:rsid w:val="764A3758"/>
    <w:rsid w:val="76571F4C"/>
    <w:rsid w:val="76682F7A"/>
    <w:rsid w:val="766F3C0A"/>
    <w:rsid w:val="7671742B"/>
    <w:rsid w:val="76781638"/>
    <w:rsid w:val="767C0B94"/>
    <w:rsid w:val="767D6B98"/>
    <w:rsid w:val="768B157D"/>
    <w:rsid w:val="768F5B89"/>
    <w:rsid w:val="769D4131"/>
    <w:rsid w:val="76A1606E"/>
    <w:rsid w:val="76A50F09"/>
    <w:rsid w:val="76A72ED3"/>
    <w:rsid w:val="76AC04E9"/>
    <w:rsid w:val="76B313A7"/>
    <w:rsid w:val="76D0133D"/>
    <w:rsid w:val="76D23D36"/>
    <w:rsid w:val="76D37824"/>
    <w:rsid w:val="76DF08BF"/>
    <w:rsid w:val="76EF1EA6"/>
    <w:rsid w:val="76FA5B62"/>
    <w:rsid w:val="77107706"/>
    <w:rsid w:val="77173371"/>
    <w:rsid w:val="771B42FF"/>
    <w:rsid w:val="77323A7C"/>
    <w:rsid w:val="77346200"/>
    <w:rsid w:val="77446974"/>
    <w:rsid w:val="774D3A7A"/>
    <w:rsid w:val="77547D8E"/>
    <w:rsid w:val="775751C9"/>
    <w:rsid w:val="77636CFD"/>
    <w:rsid w:val="776E1C43"/>
    <w:rsid w:val="77763678"/>
    <w:rsid w:val="777E10BE"/>
    <w:rsid w:val="77904F5D"/>
    <w:rsid w:val="77933457"/>
    <w:rsid w:val="77A74F3E"/>
    <w:rsid w:val="77AB1E64"/>
    <w:rsid w:val="77AF36B7"/>
    <w:rsid w:val="77B51988"/>
    <w:rsid w:val="77B70362"/>
    <w:rsid w:val="77BB29CC"/>
    <w:rsid w:val="77C13B96"/>
    <w:rsid w:val="77C31541"/>
    <w:rsid w:val="77C84169"/>
    <w:rsid w:val="77C87AE1"/>
    <w:rsid w:val="77CE5B33"/>
    <w:rsid w:val="77DD24EE"/>
    <w:rsid w:val="77E31DA0"/>
    <w:rsid w:val="77FB50CB"/>
    <w:rsid w:val="77FB78AA"/>
    <w:rsid w:val="77FE290E"/>
    <w:rsid w:val="78041870"/>
    <w:rsid w:val="78174088"/>
    <w:rsid w:val="782841E8"/>
    <w:rsid w:val="783158D7"/>
    <w:rsid w:val="78372663"/>
    <w:rsid w:val="783B43FA"/>
    <w:rsid w:val="78574485"/>
    <w:rsid w:val="785904E4"/>
    <w:rsid w:val="787363DC"/>
    <w:rsid w:val="788F21C7"/>
    <w:rsid w:val="78966F7F"/>
    <w:rsid w:val="78A10A47"/>
    <w:rsid w:val="78AB5796"/>
    <w:rsid w:val="78AC0D2E"/>
    <w:rsid w:val="78AC0FFD"/>
    <w:rsid w:val="78B37F81"/>
    <w:rsid w:val="78C26A79"/>
    <w:rsid w:val="78C733B9"/>
    <w:rsid w:val="78C80EDF"/>
    <w:rsid w:val="78CD5F14"/>
    <w:rsid w:val="78CE0BEB"/>
    <w:rsid w:val="78D16A57"/>
    <w:rsid w:val="78E21FA1"/>
    <w:rsid w:val="78F426B9"/>
    <w:rsid w:val="78F54912"/>
    <w:rsid w:val="78F95B16"/>
    <w:rsid w:val="791A1ED6"/>
    <w:rsid w:val="79316A18"/>
    <w:rsid w:val="793C04E8"/>
    <w:rsid w:val="793F3FF5"/>
    <w:rsid w:val="794655E4"/>
    <w:rsid w:val="794964C4"/>
    <w:rsid w:val="794E4864"/>
    <w:rsid w:val="79517AF2"/>
    <w:rsid w:val="79550BAB"/>
    <w:rsid w:val="795538E6"/>
    <w:rsid w:val="795D1F6F"/>
    <w:rsid w:val="795D7732"/>
    <w:rsid w:val="7960168D"/>
    <w:rsid w:val="796055BB"/>
    <w:rsid w:val="79667075"/>
    <w:rsid w:val="796706F8"/>
    <w:rsid w:val="797E7695"/>
    <w:rsid w:val="798E037A"/>
    <w:rsid w:val="798E5025"/>
    <w:rsid w:val="79944AA2"/>
    <w:rsid w:val="79975BE2"/>
    <w:rsid w:val="799A068C"/>
    <w:rsid w:val="799B3F03"/>
    <w:rsid w:val="79A503B5"/>
    <w:rsid w:val="79AB0BFD"/>
    <w:rsid w:val="79BA4CCB"/>
    <w:rsid w:val="79C24858"/>
    <w:rsid w:val="79D34622"/>
    <w:rsid w:val="79DB4D19"/>
    <w:rsid w:val="79DE605A"/>
    <w:rsid w:val="79E86A9E"/>
    <w:rsid w:val="79EA4A79"/>
    <w:rsid w:val="79FB55DD"/>
    <w:rsid w:val="79FC52E4"/>
    <w:rsid w:val="7A044199"/>
    <w:rsid w:val="7A067F11"/>
    <w:rsid w:val="7A0810C9"/>
    <w:rsid w:val="7A1609CC"/>
    <w:rsid w:val="7A2A23D5"/>
    <w:rsid w:val="7A2A6AA8"/>
    <w:rsid w:val="7A2D20CE"/>
    <w:rsid w:val="7A37456E"/>
    <w:rsid w:val="7A481224"/>
    <w:rsid w:val="7A581D45"/>
    <w:rsid w:val="7A712131"/>
    <w:rsid w:val="7A7217F4"/>
    <w:rsid w:val="7A75036E"/>
    <w:rsid w:val="7A786398"/>
    <w:rsid w:val="7A7A20E2"/>
    <w:rsid w:val="7A7E219D"/>
    <w:rsid w:val="7A85352B"/>
    <w:rsid w:val="7A8D418E"/>
    <w:rsid w:val="7A8E0A95"/>
    <w:rsid w:val="7A925167"/>
    <w:rsid w:val="7A9E5C4B"/>
    <w:rsid w:val="7AA31C03"/>
    <w:rsid w:val="7AAB101F"/>
    <w:rsid w:val="7ABD46C9"/>
    <w:rsid w:val="7AC027B5"/>
    <w:rsid w:val="7AC977F7"/>
    <w:rsid w:val="7ACC6E7D"/>
    <w:rsid w:val="7AD25449"/>
    <w:rsid w:val="7AE718AA"/>
    <w:rsid w:val="7AF67B71"/>
    <w:rsid w:val="7AFB1A3F"/>
    <w:rsid w:val="7AFB1EF2"/>
    <w:rsid w:val="7B05200B"/>
    <w:rsid w:val="7B0C24BA"/>
    <w:rsid w:val="7B0C6E43"/>
    <w:rsid w:val="7B120A1C"/>
    <w:rsid w:val="7B12671B"/>
    <w:rsid w:val="7B127AFD"/>
    <w:rsid w:val="7B1754E5"/>
    <w:rsid w:val="7B230F7E"/>
    <w:rsid w:val="7B276BA4"/>
    <w:rsid w:val="7B31118B"/>
    <w:rsid w:val="7B3F0368"/>
    <w:rsid w:val="7B4A2DFF"/>
    <w:rsid w:val="7B630D2E"/>
    <w:rsid w:val="7B66100C"/>
    <w:rsid w:val="7B664809"/>
    <w:rsid w:val="7B6914F5"/>
    <w:rsid w:val="7B6D59AB"/>
    <w:rsid w:val="7B782246"/>
    <w:rsid w:val="7B7D2454"/>
    <w:rsid w:val="7B7D45AF"/>
    <w:rsid w:val="7B7D722A"/>
    <w:rsid w:val="7B7E3B53"/>
    <w:rsid w:val="7B824E89"/>
    <w:rsid w:val="7B872DAB"/>
    <w:rsid w:val="7B8732D3"/>
    <w:rsid w:val="7B917C3B"/>
    <w:rsid w:val="7B972123"/>
    <w:rsid w:val="7BA9624F"/>
    <w:rsid w:val="7BAF770D"/>
    <w:rsid w:val="7BB15EA8"/>
    <w:rsid w:val="7BB21B83"/>
    <w:rsid w:val="7BBC5B9A"/>
    <w:rsid w:val="7BC260B9"/>
    <w:rsid w:val="7BCA52C6"/>
    <w:rsid w:val="7BCB42D3"/>
    <w:rsid w:val="7BCCD093"/>
    <w:rsid w:val="7BCD4645"/>
    <w:rsid w:val="7BD02338"/>
    <w:rsid w:val="7BD04E46"/>
    <w:rsid w:val="7BD209F2"/>
    <w:rsid w:val="7BD227A0"/>
    <w:rsid w:val="7BD366DB"/>
    <w:rsid w:val="7BD659DE"/>
    <w:rsid w:val="7BE06797"/>
    <w:rsid w:val="7BFF3FF0"/>
    <w:rsid w:val="7BFFF520"/>
    <w:rsid w:val="7C063B48"/>
    <w:rsid w:val="7C066719"/>
    <w:rsid w:val="7C0D4CF9"/>
    <w:rsid w:val="7C24440D"/>
    <w:rsid w:val="7C301156"/>
    <w:rsid w:val="7C574A54"/>
    <w:rsid w:val="7C583A46"/>
    <w:rsid w:val="7C5E1319"/>
    <w:rsid w:val="7C5E1373"/>
    <w:rsid w:val="7C604D78"/>
    <w:rsid w:val="7C633E3C"/>
    <w:rsid w:val="7C66113B"/>
    <w:rsid w:val="7C66427D"/>
    <w:rsid w:val="7C694787"/>
    <w:rsid w:val="7C6A0C2B"/>
    <w:rsid w:val="7C7F3FAA"/>
    <w:rsid w:val="7C87241F"/>
    <w:rsid w:val="7C882F0B"/>
    <w:rsid w:val="7C8941B2"/>
    <w:rsid w:val="7C8A5194"/>
    <w:rsid w:val="7C8D3AF9"/>
    <w:rsid w:val="7C923CDE"/>
    <w:rsid w:val="7C9E673B"/>
    <w:rsid w:val="7CBB319E"/>
    <w:rsid w:val="7CBC110D"/>
    <w:rsid w:val="7CBC7F59"/>
    <w:rsid w:val="7CC40FE0"/>
    <w:rsid w:val="7CC41FB0"/>
    <w:rsid w:val="7CC91242"/>
    <w:rsid w:val="7CCA1331"/>
    <w:rsid w:val="7CCF2380"/>
    <w:rsid w:val="7CD312DA"/>
    <w:rsid w:val="7CDA2F0B"/>
    <w:rsid w:val="7CDF05EB"/>
    <w:rsid w:val="7CE04A49"/>
    <w:rsid w:val="7CE34539"/>
    <w:rsid w:val="7CEA2C16"/>
    <w:rsid w:val="7CF84A56"/>
    <w:rsid w:val="7CFB7AD5"/>
    <w:rsid w:val="7D0B583E"/>
    <w:rsid w:val="7D1B1B29"/>
    <w:rsid w:val="7D2C7332"/>
    <w:rsid w:val="7D4C7B47"/>
    <w:rsid w:val="7D6733BC"/>
    <w:rsid w:val="7D7F4D3F"/>
    <w:rsid w:val="7D82798E"/>
    <w:rsid w:val="7D8349B7"/>
    <w:rsid w:val="7D845D1C"/>
    <w:rsid w:val="7D8D1E4B"/>
    <w:rsid w:val="7D915638"/>
    <w:rsid w:val="7D9176B5"/>
    <w:rsid w:val="7D965A4F"/>
    <w:rsid w:val="7DA97EE3"/>
    <w:rsid w:val="7DB33574"/>
    <w:rsid w:val="7DBF2BD2"/>
    <w:rsid w:val="7DBF7D47"/>
    <w:rsid w:val="7DC42E0E"/>
    <w:rsid w:val="7DC66CDF"/>
    <w:rsid w:val="7DCD49D2"/>
    <w:rsid w:val="7DD24CD9"/>
    <w:rsid w:val="7DD87E16"/>
    <w:rsid w:val="7DDB1F64"/>
    <w:rsid w:val="7DDD2217"/>
    <w:rsid w:val="7DE05E17"/>
    <w:rsid w:val="7DE26FF3"/>
    <w:rsid w:val="7DEE08D7"/>
    <w:rsid w:val="7DEF0F96"/>
    <w:rsid w:val="7E0871BD"/>
    <w:rsid w:val="7E0A2BCF"/>
    <w:rsid w:val="7E195714"/>
    <w:rsid w:val="7E214EF0"/>
    <w:rsid w:val="7E3516A1"/>
    <w:rsid w:val="7E3C65F7"/>
    <w:rsid w:val="7E3D5834"/>
    <w:rsid w:val="7E4454AB"/>
    <w:rsid w:val="7E492AC2"/>
    <w:rsid w:val="7E552C38"/>
    <w:rsid w:val="7E6B5FDA"/>
    <w:rsid w:val="7E6E42D6"/>
    <w:rsid w:val="7E7F4735"/>
    <w:rsid w:val="7E7F611B"/>
    <w:rsid w:val="7E835FD4"/>
    <w:rsid w:val="7E8F5EE9"/>
    <w:rsid w:val="7E9C52E7"/>
    <w:rsid w:val="7EAD236E"/>
    <w:rsid w:val="7ECA189C"/>
    <w:rsid w:val="7ECD301E"/>
    <w:rsid w:val="7ECD3D62"/>
    <w:rsid w:val="7ED71E7C"/>
    <w:rsid w:val="7EDC5C58"/>
    <w:rsid w:val="7EE95F2E"/>
    <w:rsid w:val="7EEE6272"/>
    <w:rsid w:val="7EF31631"/>
    <w:rsid w:val="7EFA6298"/>
    <w:rsid w:val="7EFD013F"/>
    <w:rsid w:val="7F012F2A"/>
    <w:rsid w:val="7F052570"/>
    <w:rsid w:val="7F054C3B"/>
    <w:rsid w:val="7F0C421B"/>
    <w:rsid w:val="7F151E60"/>
    <w:rsid w:val="7F197300"/>
    <w:rsid w:val="7F1B454B"/>
    <w:rsid w:val="7F3B68AE"/>
    <w:rsid w:val="7F45772D"/>
    <w:rsid w:val="7F4E6A29"/>
    <w:rsid w:val="7F5259A6"/>
    <w:rsid w:val="7F730D60"/>
    <w:rsid w:val="7F7938EE"/>
    <w:rsid w:val="7F7E7E88"/>
    <w:rsid w:val="7F7FA9CC"/>
    <w:rsid w:val="7F9E8A4F"/>
    <w:rsid w:val="7FA135F0"/>
    <w:rsid w:val="7FA667B1"/>
    <w:rsid w:val="7FAF3A0B"/>
    <w:rsid w:val="7FBCA3E1"/>
    <w:rsid w:val="7FBE4E6D"/>
    <w:rsid w:val="7FCA0CDB"/>
    <w:rsid w:val="7FCD23F9"/>
    <w:rsid w:val="7FCE327F"/>
    <w:rsid w:val="7FE0146B"/>
    <w:rsid w:val="7FE6E78B"/>
    <w:rsid w:val="7FEE7AFB"/>
    <w:rsid w:val="7FF93BCA"/>
    <w:rsid w:val="7FFBD0C7"/>
    <w:rsid w:val="7FFD5506"/>
    <w:rsid w:val="7FFFC01D"/>
    <w:rsid w:val="82038A93"/>
    <w:rsid w:val="8F3F55FE"/>
    <w:rsid w:val="97BD66AE"/>
    <w:rsid w:val="9DBFC996"/>
    <w:rsid w:val="9FBE3B40"/>
    <w:rsid w:val="AB53E432"/>
    <w:rsid w:val="AFF78924"/>
    <w:rsid w:val="B5BA075D"/>
    <w:rsid w:val="BEFE2344"/>
    <w:rsid w:val="BF37ACF3"/>
    <w:rsid w:val="BFDF2432"/>
    <w:rsid w:val="BFE1077E"/>
    <w:rsid w:val="C7973A7D"/>
    <w:rsid w:val="CFD53E90"/>
    <w:rsid w:val="D5FDC566"/>
    <w:rsid w:val="DC7EEF3E"/>
    <w:rsid w:val="DDFE8B0B"/>
    <w:rsid w:val="DFD28C89"/>
    <w:rsid w:val="DFFF1081"/>
    <w:rsid w:val="E5BE5506"/>
    <w:rsid w:val="EDB5404C"/>
    <w:rsid w:val="EF30F8A1"/>
    <w:rsid w:val="EF7C2086"/>
    <w:rsid w:val="EFDF4661"/>
    <w:rsid w:val="EFFFF986"/>
    <w:rsid w:val="F2DC3F36"/>
    <w:rsid w:val="F3DB8B8B"/>
    <w:rsid w:val="F3DD64EC"/>
    <w:rsid w:val="F6BF2BD6"/>
    <w:rsid w:val="F7F9F915"/>
    <w:rsid w:val="F8F5251F"/>
    <w:rsid w:val="F9CF864F"/>
    <w:rsid w:val="F9E7E3B7"/>
    <w:rsid w:val="F9FEA519"/>
    <w:rsid w:val="FD530C82"/>
    <w:rsid w:val="FD6110FC"/>
    <w:rsid w:val="FD7613C2"/>
    <w:rsid w:val="FD7B5F47"/>
    <w:rsid w:val="FDEFDC68"/>
    <w:rsid w:val="FEA5F6D4"/>
    <w:rsid w:val="FFEDBD7D"/>
    <w:rsid w:val="FFF35F80"/>
    <w:rsid w:val="FFF7B695"/>
    <w:rsid w:val="FFFEC2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widowControl/>
      <w:spacing w:before="120" w:after="60" w:line="500" w:lineRule="exact"/>
      <w:ind w:firstLine="800" w:firstLineChars="200"/>
      <w:jc w:val="left"/>
      <w:outlineLvl w:val="0"/>
    </w:pPr>
    <w:rPr>
      <w:rFonts w:ascii="Times New Roman" w:hAnsi="Times New Roman" w:eastAsia="黑体" w:cs="Times New Roman"/>
      <w:bCs/>
      <w:color w:val="000000"/>
      <w:kern w:val="0"/>
      <w:sz w:val="28"/>
      <w:szCs w:val="28"/>
      <w:lang w:val="zh-CN"/>
    </w:rPr>
  </w:style>
  <w:style w:type="paragraph" w:styleId="3">
    <w:name w:val="heading 2"/>
    <w:basedOn w:val="1"/>
    <w:next w:val="1"/>
    <w:qFormat/>
    <w:uiPriority w:val="0"/>
    <w:pPr>
      <w:keepNext/>
      <w:keepLines/>
      <w:widowControl/>
      <w:spacing w:before="120" w:after="60" w:line="500" w:lineRule="exact"/>
      <w:ind w:firstLine="800" w:firstLineChars="200"/>
      <w:jc w:val="left"/>
      <w:outlineLvl w:val="1"/>
    </w:pPr>
    <w:rPr>
      <w:rFonts w:ascii="Times New Roman" w:hAnsi="Times New Roman" w:eastAsia="楷体" w:cs="Times New Roman"/>
      <w:bCs/>
      <w:color w:val="000000"/>
      <w:kern w:val="0"/>
      <w:sz w:val="28"/>
      <w:szCs w:val="26"/>
      <w:lang w:val="zh-CN"/>
    </w:rPr>
  </w:style>
  <w:style w:type="paragraph" w:styleId="4">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6">
    <w:name w:val="Default Paragraph Font"/>
    <w:unhideWhenUsed/>
    <w:qFormat/>
    <w:uiPriority w:val="1"/>
  </w:style>
  <w:style w:type="table" w:default="1" w:styleId="18">
    <w:name w:val="Normal Table"/>
    <w:unhideWhenUsed/>
    <w:qFormat/>
    <w:uiPriority w:val="99"/>
    <w:tblPr>
      <w:tblLayout w:type="fixed"/>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Indent"/>
    <w:basedOn w:val="1"/>
    <w:next w:val="1"/>
    <w:qFormat/>
    <w:uiPriority w:val="0"/>
    <w:pPr>
      <w:widowControl/>
      <w:spacing w:before="100" w:beforeAutospacing="1" w:after="100" w:afterAutospacing="1"/>
      <w:jc w:val="left"/>
    </w:pPr>
    <w:rPr>
      <w:rFonts w:ascii="宋体" w:hAnsi="宋体" w:eastAsia="宋体"/>
      <w:kern w:val="0"/>
      <w:sz w:val="24"/>
    </w:rPr>
  </w:style>
  <w:style w:type="paragraph" w:styleId="8">
    <w:name w:val="Body Text Indent 2"/>
    <w:basedOn w:val="1"/>
    <w:qFormat/>
    <w:uiPriority w:val="0"/>
    <w:pPr>
      <w:widowControl/>
      <w:spacing w:line="330" w:lineRule="atLeast"/>
      <w:ind w:firstLine="420"/>
      <w:jc w:val="left"/>
    </w:pPr>
    <w:rPr>
      <w:rFonts w:ascii="宋体" w:hAnsi="宋体"/>
      <w:color w:val="000000"/>
      <w:kern w:val="0"/>
      <w:szCs w:val="21"/>
    </w:r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Body Text First Indent 2"/>
    <w:basedOn w:val="7"/>
    <w:unhideWhenUsed/>
    <w:qFormat/>
    <w:uiPriority w:val="99"/>
    <w:pPr>
      <w:ind w:firstLine="420"/>
    </w:p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Normal (Web)"/>
    <w:basedOn w:val="1"/>
    <w:qFormat/>
    <w:uiPriority w:val="0"/>
    <w:rPr>
      <w:sz w:val="24"/>
    </w:rPr>
  </w:style>
  <w:style w:type="paragraph" w:styleId="15">
    <w:name w:val="Title"/>
    <w:basedOn w:val="1"/>
    <w:next w:val="1"/>
    <w:qFormat/>
    <w:uiPriority w:val="0"/>
    <w:pPr>
      <w:adjustRightInd w:val="0"/>
      <w:snapToGrid w:val="0"/>
      <w:spacing w:line="360" w:lineRule="auto"/>
      <w:ind w:firstLine="800" w:firstLineChars="200"/>
      <w:jc w:val="left"/>
      <w:outlineLvl w:val="0"/>
    </w:pPr>
    <w:rPr>
      <w:rFonts w:ascii="Arial" w:hAnsi="Arial" w:eastAsia="仿宋"/>
      <w:sz w:val="32"/>
      <w:szCs w:val="32"/>
    </w:rPr>
  </w:style>
  <w:style w:type="character" w:styleId="17">
    <w:name w:val="Strong"/>
    <w:basedOn w:val="16"/>
    <w:qFormat/>
    <w:uiPriority w:val="0"/>
    <w:rPr>
      <w:b/>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0">
    <w:name w:val="_Style 3"/>
    <w:basedOn w:val="1"/>
    <w:next w:val="21"/>
    <w:unhideWhenUsed/>
    <w:qFormat/>
    <w:uiPriority w:val="99"/>
    <w:pPr>
      <w:spacing w:line="360" w:lineRule="auto"/>
      <w:ind w:firstLine="420" w:firstLineChars="200"/>
      <w:jc w:val="left"/>
    </w:pPr>
    <w:rPr>
      <w:rFonts w:ascii="Times New Roman" w:hAnsi="Times New Roman" w:eastAsia="仿宋"/>
      <w:sz w:val="32"/>
      <w:lang w:eastAsia="zh-TW"/>
    </w:rPr>
  </w:style>
  <w:style w:type="paragraph" w:customStyle="1" w:styleId="21">
    <w:name w:val="List Paragraph"/>
    <w:basedOn w:val="1"/>
    <w:qFormat/>
    <w:uiPriority w:val="34"/>
    <w:pPr>
      <w:ind w:firstLine="420" w:firstLineChars="200"/>
    </w:pPr>
  </w:style>
  <w:style w:type="paragraph" w:customStyle="1" w:styleId="22">
    <w:name w:val="正文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3">
    <w:name w:val="页脚 字符"/>
    <w:basedOn w:val="16"/>
    <w:link w:val="9"/>
    <w:qFormat/>
    <w:uiPriority w:val="99"/>
    <w:rPr>
      <w:rFonts w:asciiTheme="minorHAnsi" w:hAnsiTheme="minorHAnsi" w:eastAsiaTheme="minorEastAsia" w:cstheme="minorBidi"/>
      <w:kern w:val="2"/>
      <w:sz w:val="18"/>
      <w:szCs w:val="24"/>
    </w:rPr>
  </w:style>
  <w:style w:type="paragraph" w:customStyle="1" w:styleId="24">
    <w:name w:val="p0"/>
    <w:basedOn w:val="1"/>
    <w:qFormat/>
    <w:uiPriority w:val="0"/>
    <w:pPr>
      <w:widowControl w:val="0"/>
      <w:wordWrap w:val="0"/>
      <w:jc w:val="both"/>
    </w:pPr>
    <w:rPr>
      <w:rFonts w:ascii="Calibri" w:hAnsi="Calibri" w:eastAsia="仿宋"/>
      <w:kern w:val="2"/>
      <w:sz w:val="21"/>
    </w:rPr>
  </w:style>
  <w:style w:type="paragraph" w:customStyle="1" w:styleId="25">
    <w:name w:val="BodyText1I2"/>
    <w:basedOn w:val="26"/>
    <w:qFormat/>
    <w:uiPriority w:val="0"/>
    <w:pPr>
      <w:ind w:firstLine="420" w:firstLineChars="200"/>
    </w:pPr>
  </w:style>
  <w:style w:type="paragraph" w:customStyle="1" w:styleId="26">
    <w:name w:val="BodyTextIndent"/>
    <w:basedOn w:val="1"/>
    <w:qFormat/>
    <w:uiPriority w:val="0"/>
    <w:pPr>
      <w:spacing w:after="120"/>
      <w:ind w:left="420" w:leftChars="200"/>
      <w:textAlignment w:val="baseline"/>
    </w:pPr>
  </w:style>
  <w:style w:type="character" w:customStyle="1" w:styleId="27">
    <w:name w:val="fontstyle31"/>
    <w:qFormat/>
    <w:uiPriority w:val="0"/>
    <w:rPr>
      <w:rFonts w:hint="eastAsia" w:ascii="仿宋_GB2312" w:eastAsia="仿宋_GB2312"/>
      <w:color w:val="00000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d715d901-58ea-453c-951e-20ebd035ddb6</errorID>
      <errorWord>:</errorWord>
      <group>L1_Format</group>
      <groupName>格式问题</groupName>
      <ability>L2_HalfPunc_CN</ability>
      <abilityName>全半角问题</abilityName>
      <candidateList>
        <item>：</item>
      </candidateList>
      <explain>文本全半角错误。</explain>
      <paraID> 37C1984</paraID>
      <start>7</start>
      <end>8</end>
      <status>unmodified</status>
      <modifiedWord/>
      <trackRevisions>false</trackRevisions>
    </reviewItem>
    <reviewItem>
      <errorID>4d4fd493-3edd-4614-b9c7-be6874b7997f</errorID>
      <errorWord>:</errorWord>
      <group>L1_Format</group>
      <groupName>格式问题</groupName>
      <ability>L2_HalfPunc_CN</ability>
      <abilityName>全半角问题</abilityName>
      <candidateList>
        <item>：</item>
      </candidateList>
      <explain>文本全半角错误。</explain>
      <paraID>69C5BEB5</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e2b800-ed26-499b-9149-b5978c0c0e6e}">
  <ds:schemaRefs/>
</ds:datastoreItem>
</file>

<file path=docProps/app.xml><?xml version="1.0" encoding="utf-8"?>
<Properties xmlns="http://schemas.openxmlformats.org/officeDocument/2006/extended-properties" xmlns:vt="http://schemas.openxmlformats.org/officeDocument/2006/docPropsVTypes">
  <Template>Normal.dotm</Template>
  <Company>WRGHO.COM</Company>
  <Pages>28</Pages>
  <Words>1858</Words>
  <Characters>1959</Characters>
  <Lines>959</Lines>
  <Paragraphs>685</Paragraphs>
  <TotalTime>0</TotalTime>
  <ScaleCrop>false</ScaleCrop>
  <LinksUpToDate>false</LinksUpToDate>
  <CharactersWithSpaces>1964</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2023-09-18T09:07:00Z</dcterms:created>
  <dc:creator>lenovo</dc:creator>
  <cp:lastModifiedBy>Administrator</cp:lastModifiedBy>
  <cp:lastPrinted>2026-07-30T06:19:00Z</cp:lastPrinted>
  <dcterms:modified xsi:type="dcterms:W3CDTF">2026-09-18T02:36:17Z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y fmtid="{D5CDD505-2E9C-101B-9397-08002B2CF9AE}" pid="3" name="ICV">
    <vt:lpwstr>D6143281DDED13A6CE9DBC69591CFD2C_43</vt:lpwstr>
  </property>
  <property fmtid="{D5CDD505-2E9C-101B-9397-08002B2CF9AE}" pid="4" name="KSOTemplateDocerSaveRecord">
    <vt:lpwstr>eyJoZGlkIjoiY2Q5N2FjNDViM2IyNzM5NmJiZGQzMDlhM2JiN2U5ZmYiLCJ1c2VySWQiOiIyMzk3MTg4OTMifQ==</vt:lpwstr>
  </property>
</Properties>
</file>