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after="0" w:line="560" w:lineRule="exact"/>
        <w:jc w:val="center"/>
        <w:outlineLvl w:val="1"/>
        <w:rPr>
          <w:rFonts w:hint="eastAsia" w:ascii="方正小标宋_GBK" w:hAnsi="宋体" w:eastAsia="方正小标宋_GBK" w:cs="宋体"/>
          <w:bCs/>
          <w:sz w:val="44"/>
          <w:szCs w:val="44"/>
        </w:rPr>
      </w:pPr>
      <w:r>
        <w:rPr>
          <w:rFonts w:hint="eastAsia" w:ascii="方正小标宋_GBK" w:hAnsi="宋体" w:eastAsia="方正小标宋_GBK" w:cs="宋体"/>
          <w:bCs/>
          <w:sz w:val="44"/>
          <w:szCs w:val="44"/>
        </w:rPr>
        <w:t>新版《青岛市</w:t>
      </w:r>
      <w:r>
        <w:rPr>
          <w:rFonts w:hint="eastAsia" w:ascii="方正小标宋_GBK" w:hAnsi="宋体" w:eastAsia="方正小标宋_GBK" w:cs="宋体"/>
          <w:bCs/>
          <w:sz w:val="44"/>
          <w:szCs w:val="44"/>
          <w:lang w:val="en-US" w:eastAsia="zh-CN"/>
        </w:rPr>
        <w:t>市政</w:t>
      </w:r>
      <w:r>
        <w:rPr>
          <w:rFonts w:hint="eastAsia" w:ascii="方正小标宋_GBK" w:hAnsi="宋体" w:eastAsia="方正小标宋_GBK" w:cs="宋体"/>
          <w:bCs/>
          <w:sz w:val="44"/>
          <w:szCs w:val="44"/>
        </w:rPr>
        <w:t>市场</w:t>
      </w:r>
    </w:p>
    <w:p>
      <w:pPr>
        <w:adjustRightInd/>
        <w:snapToGrid/>
        <w:spacing w:after="0" w:line="560" w:lineRule="exact"/>
        <w:jc w:val="center"/>
        <w:outlineLvl w:val="1"/>
        <w:rPr>
          <w:rFonts w:hint="eastAsia" w:ascii="方正小标宋_GBK" w:hAnsi="宋体" w:eastAsia="方正小标宋_GBK" w:cs="宋体"/>
          <w:bCs/>
          <w:sz w:val="44"/>
          <w:szCs w:val="44"/>
        </w:rPr>
      </w:pPr>
      <w:r>
        <w:rPr>
          <w:rFonts w:hint="eastAsia" w:ascii="方正小标宋_GBK" w:hAnsi="宋体" w:eastAsia="方正小标宋_GBK" w:cs="宋体"/>
          <w:bCs/>
          <w:sz w:val="44"/>
          <w:szCs w:val="44"/>
        </w:rPr>
        <w:t>信用考核管理办法》政策解读</w:t>
      </w:r>
    </w:p>
    <w:p>
      <w:pPr>
        <w:adjustRightInd/>
        <w:snapToGrid/>
        <w:spacing w:after="0" w:line="560" w:lineRule="exact"/>
        <w:jc w:val="center"/>
        <w:outlineLvl w:val="1"/>
        <w:rPr>
          <w:rFonts w:hint="eastAsia" w:ascii="方正小标宋_GBK" w:hAnsi="宋体" w:eastAsia="方正小标宋_GBK" w:cs="宋体"/>
          <w:bCs/>
          <w:sz w:val="44"/>
          <w:szCs w:val="44"/>
        </w:rPr>
      </w:pPr>
    </w:p>
    <w:p>
      <w:pPr>
        <w:adjustRightInd/>
        <w:snapToGrid/>
        <w:spacing w:after="0" w:line="560" w:lineRule="exact"/>
        <w:jc w:val="center"/>
        <w:rPr>
          <w:rFonts w:ascii="宋体" w:hAnsi="宋体" w:eastAsia="宋体" w:cs="宋体"/>
          <w:sz w:val="24"/>
          <w:szCs w:val="24"/>
        </w:rPr>
      </w:pPr>
      <w:r>
        <w:rPr>
          <w:rFonts w:ascii="宋体" w:hAnsi="宋体" w:eastAsia="宋体" w:cs="宋体"/>
          <w:sz w:val="24"/>
          <w:szCs w:val="24"/>
        </w:rPr>
        <w:t>　　</w:t>
      </w:r>
    </w:p>
    <w:p>
      <w:pPr>
        <w:adjustRightInd/>
        <w:snapToGrid/>
        <w:spacing w:after="0" w:line="560" w:lineRule="exact"/>
        <w:rPr>
          <w:rFonts w:hint="eastAsia" w:ascii="仿宋_GB2312" w:hAnsi="仿宋_GB2312" w:eastAsia="仿宋_GB2312" w:cs="仿宋_GB2312"/>
          <w:kern w:val="2"/>
          <w:sz w:val="32"/>
          <w:szCs w:val="32"/>
        </w:rPr>
      </w:pPr>
      <w:r>
        <w:rPr>
          <w:rFonts w:ascii="宋体" w:hAnsi="宋体" w:eastAsia="宋体" w:cs="宋体"/>
          <w:sz w:val="24"/>
          <w:szCs w:val="24"/>
        </w:rPr>
        <w:t>　</w:t>
      </w:r>
      <w:r>
        <w:rPr>
          <w:rFonts w:hint="eastAsia" w:ascii="宋体" w:hAnsi="宋体" w:eastAsia="宋体" w:cs="宋体"/>
          <w:sz w:val="24"/>
          <w:szCs w:val="24"/>
        </w:rPr>
        <w:t xml:space="preserve">    </w:t>
      </w:r>
      <w:r>
        <w:rPr>
          <w:rFonts w:hint="eastAsia" w:ascii="仿宋_GB2312" w:hAnsi="仿宋_GB2312" w:eastAsia="仿宋_GB2312" w:cs="仿宋_GB2312"/>
          <w:kern w:val="2"/>
          <w:sz w:val="32"/>
          <w:szCs w:val="32"/>
        </w:rPr>
        <w:t>为营造公平竞争、诚信守法的市场环境，引导、鼓励</w:t>
      </w:r>
      <w:r>
        <w:rPr>
          <w:rFonts w:hint="eastAsia" w:ascii="仿宋_GB2312" w:hAnsi="仿宋_GB2312" w:eastAsia="仿宋_GB2312" w:cs="仿宋_GB2312"/>
          <w:kern w:val="2"/>
          <w:sz w:val="32"/>
          <w:szCs w:val="32"/>
          <w:lang w:val="en-US" w:eastAsia="zh-CN"/>
        </w:rPr>
        <w:t>市场</w:t>
      </w:r>
      <w:r>
        <w:rPr>
          <w:rFonts w:hint="eastAsia" w:ascii="仿宋_GB2312" w:hAnsi="仿宋_GB2312" w:eastAsia="仿宋_GB2312" w:cs="仿宋_GB2312"/>
          <w:kern w:val="2"/>
          <w:sz w:val="32"/>
          <w:szCs w:val="32"/>
        </w:rPr>
        <w:t>市场主体增强诚信意识，提高市场竞争力，市住房城乡建设局组织开展了《青岛市</w:t>
      </w:r>
      <w:r>
        <w:rPr>
          <w:rFonts w:hint="eastAsia" w:ascii="仿宋_GB2312" w:hAnsi="仿宋_GB2312" w:eastAsia="仿宋_GB2312" w:cs="仿宋_GB2312"/>
          <w:kern w:val="2"/>
          <w:sz w:val="32"/>
          <w:szCs w:val="32"/>
          <w:lang w:val="en-US" w:eastAsia="zh-CN"/>
        </w:rPr>
        <w:t>市政</w:t>
      </w:r>
      <w:r>
        <w:rPr>
          <w:rFonts w:hint="eastAsia" w:ascii="仿宋_GB2312" w:hAnsi="仿宋_GB2312" w:eastAsia="仿宋_GB2312" w:cs="仿宋_GB2312"/>
          <w:kern w:val="2"/>
          <w:sz w:val="32"/>
          <w:szCs w:val="32"/>
        </w:rPr>
        <w:t>市场信用考核管理办法》等部门规范性文件修订。本次修订的主要内容：</w:t>
      </w:r>
    </w:p>
    <w:p>
      <w:pPr>
        <w:widowControl w:val="0"/>
        <w:adjustRightInd/>
        <w:snapToGrid/>
        <w:spacing w:after="0" w:line="560" w:lineRule="exact"/>
        <w:ind w:firstLine="640" w:firstLineChars="200"/>
        <w:rPr>
          <w:rFonts w:hint="eastAsia" w:ascii="仿宋_GB2312" w:hAnsi="楷体" w:eastAsia="仿宋_GB2312" w:cs="楷体"/>
          <w:kern w:val="2"/>
          <w:sz w:val="32"/>
          <w:szCs w:val="32"/>
        </w:rPr>
      </w:pPr>
      <w:r>
        <w:rPr>
          <w:rFonts w:hint="eastAsia" w:ascii="楷体_GB2312" w:hAnsi="楷体" w:eastAsia="楷体_GB2312" w:cs="楷体"/>
          <w:kern w:val="2"/>
          <w:sz w:val="32"/>
          <w:szCs w:val="32"/>
        </w:rPr>
        <w:t>一是修订限定区域的业绩类加分条款。</w:t>
      </w:r>
      <w:r>
        <w:rPr>
          <w:rFonts w:hint="eastAsia" w:ascii="仿宋_GB2312" w:hAnsi="仿宋_GB2312" w:eastAsia="仿宋_GB2312" w:cs="仿宋_GB2312"/>
          <w:kern w:val="2"/>
          <w:sz w:val="32"/>
          <w:szCs w:val="32"/>
        </w:rPr>
        <w:t>对信用评价标准良好行为加分条款中区域的业绩类条款进行了修订。</w:t>
      </w:r>
    </w:p>
    <w:p>
      <w:pPr>
        <w:widowControl w:val="0"/>
        <w:adjustRightInd/>
        <w:snapToGrid/>
        <w:spacing w:after="0" w:line="560" w:lineRule="exact"/>
        <w:ind w:firstLine="640" w:firstLineChars="200"/>
        <w:rPr>
          <w:rFonts w:hint="eastAsia" w:ascii="仿宋_GB2312" w:hAnsi="仿宋_GB2312" w:eastAsia="仿宋_GB2312" w:cs="仿宋_GB2312"/>
          <w:kern w:val="2"/>
          <w:sz w:val="32"/>
          <w:szCs w:val="32"/>
        </w:rPr>
      </w:pPr>
      <w:r>
        <w:rPr>
          <w:rFonts w:hint="eastAsia" w:ascii="楷体_GB2312" w:hAnsi="楷体" w:eastAsia="楷体_GB2312" w:cs="楷体"/>
          <w:kern w:val="2"/>
          <w:sz w:val="32"/>
          <w:szCs w:val="32"/>
        </w:rPr>
        <w:t>二是删除区域奖项类加分条款。</w:t>
      </w:r>
      <w:r>
        <w:rPr>
          <w:rFonts w:hint="eastAsia" w:ascii="仿宋_GB2312" w:hAnsi="仿宋_GB2312" w:eastAsia="仿宋_GB2312" w:cs="仿宋_GB2312"/>
          <w:kern w:val="2"/>
          <w:sz w:val="32"/>
          <w:szCs w:val="32"/>
        </w:rPr>
        <w:t>对信用评价标准中将可加分的奖项限定在青岛等区域内的奖项类条款进行了删除，如对</w:t>
      </w:r>
      <w:r>
        <w:rPr>
          <w:rFonts w:hint="eastAsia" w:ascii="仿宋_GB2312" w:hAnsi="仿宋_GB2312" w:eastAsia="仿宋_GB2312" w:cs="仿宋_GB2312"/>
          <w:kern w:val="2"/>
          <w:sz w:val="32"/>
          <w:szCs w:val="32"/>
          <w:lang w:val="en-US" w:eastAsia="zh-CN"/>
        </w:rPr>
        <w:t>市政</w:t>
      </w:r>
      <w:r>
        <w:rPr>
          <w:rFonts w:hint="eastAsia" w:ascii="仿宋_GB2312" w:hAnsi="仿宋_GB2312" w:eastAsia="仿宋_GB2312" w:cs="仿宋_GB2312"/>
          <w:kern w:val="2"/>
          <w:sz w:val="32"/>
          <w:szCs w:val="32"/>
        </w:rPr>
        <w:t>施工企业信用考核标准—良好行为第33条“青岛市‘一带一路’及开拓境外市场优秀建筑业企业”进行了删除。</w:t>
      </w:r>
    </w:p>
    <w:p>
      <w:pPr>
        <w:widowControl w:val="0"/>
        <w:adjustRightInd/>
        <w:snapToGrid/>
        <w:spacing w:after="0" w:line="560" w:lineRule="exact"/>
        <w:ind w:firstLine="640" w:firstLineChars="200"/>
        <w:rPr>
          <w:rFonts w:hint="eastAsia" w:ascii="仿宋_GB2312" w:eastAsia="仿宋_GB2312"/>
        </w:rPr>
      </w:pPr>
      <w:r>
        <w:rPr>
          <w:rFonts w:hint="eastAsia" w:ascii="楷体_GB2312" w:hAnsi="楷体" w:eastAsia="楷体_GB2312" w:cs="楷体"/>
          <w:kern w:val="2"/>
          <w:sz w:val="32"/>
          <w:szCs w:val="32"/>
        </w:rPr>
        <w:t>三是删除分子公司类加分条款。</w:t>
      </w:r>
      <w:r>
        <w:rPr>
          <w:rFonts w:hint="eastAsia" w:ascii="仿宋_GB2312" w:hAnsi="仿宋_GB2312" w:eastAsia="仿宋_GB2312" w:cs="仿宋_GB2312"/>
          <w:kern w:val="2"/>
          <w:sz w:val="32"/>
          <w:szCs w:val="32"/>
        </w:rPr>
        <w:t>信用评价标准中对设立</w:t>
      </w:r>
      <w:r>
        <w:rPr>
          <w:rFonts w:hint="eastAsia" w:ascii="仿宋_GB2312" w:hAnsi="楷体" w:eastAsia="仿宋_GB2312" w:cs="楷体"/>
          <w:kern w:val="2"/>
          <w:sz w:val="32"/>
          <w:szCs w:val="32"/>
        </w:rPr>
        <w:t>分子公司</w:t>
      </w:r>
      <w:r>
        <w:rPr>
          <w:rFonts w:hint="eastAsia" w:ascii="仿宋_GB2312" w:hAnsi="仿宋_GB2312" w:eastAsia="仿宋_GB2312" w:cs="仿宋_GB2312"/>
          <w:kern w:val="2"/>
          <w:sz w:val="32"/>
          <w:szCs w:val="32"/>
        </w:rPr>
        <w:t>加分类条款进行了删除，如</w:t>
      </w:r>
      <w:r>
        <w:rPr>
          <w:rFonts w:hint="eastAsia" w:ascii="仿宋_GB2312" w:hAnsi="仿宋_GB2312" w:eastAsia="仿宋_GB2312" w:cs="仿宋_GB2312"/>
          <w:kern w:val="2"/>
          <w:sz w:val="32"/>
          <w:szCs w:val="32"/>
          <w:lang w:val="en-US" w:eastAsia="zh-CN"/>
        </w:rPr>
        <w:t>市政</w:t>
      </w:r>
      <w:r>
        <w:rPr>
          <w:rFonts w:hint="eastAsia" w:ascii="仿宋_GB2312" w:hAnsi="仿宋_GB2312" w:eastAsia="仿宋_GB2312" w:cs="仿宋_GB2312"/>
          <w:kern w:val="2"/>
          <w:sz w:val="32"/>
          <w:szCs w:val="32"/>
        </w:rPr>
        <w:t>施工企业信用考核标准—良好行为中第3</w:t>
      </w:r>
      <w:r>
        <w:rPr>
          <w:rFonts w:hint="eastAsia" w:ascii="仿宋_GB2312" w:hAnsi="仿宋_GB2312" w:eastAsia="仿宋_GB2312" w:cs="仿宋_GB2312"/>
          <w:kern w:val="2"/>
          <w:sz w:val="32"/>
          <w:szCs w:val="32"/>
          <w:lang w:val="en-US" w:eastAsia="zh-CN"/>
        </w:rPr>
        <w:t>6</w:t>
      </w:r>
      <w:r>
        <w:rPr>
          <w:rFonts w:hint="eastAsia" w:ascii="仿宋_GB2312" w:hAnsi="仿宋_GB2312" w:eastAsia="仿宋_GB2312" w:cs="仿宋_GB2312"/>
          <w:kern w:val="2"/>
          <w:sz w:val="32"/>
          <w:szCs w:val="32"/>
        </w:rPr>
        <w:t>条“外地建筑业资质企业将企业总部迁入我市，并在我市汇总纳税，依法诚信经营的</w:t>
      </w:r>
      <w:r>
        <w:rPr>
          <w:rFonts w:hint="eastAsia" w:ascii="仿宋_GB2312" w:hAnsi="仿宋_GB2312" w:eastAsia="仿宋_GB2312" w:cs="仿宋_GB2312"/>
          <w:kern w:val="2"/>
          <w:sz w:val="32"/>
          <w:szCs w:val="32"/>
          <w:lang w:eastAsia="zh-CN"/>
        </w:rPr>
        <w:t>”。</w:t>
      </w:r>
      <w:bookmarkStart w:id="0" w:name="_GoBack"/>
      <w:bookmarkEnd w:id="0"/>
    </w:p>
    <w:sectPr>
      <w:pgSz w:w="11906" w:h="16838"/>
      <w:pgMar w:top="2098" w:right="1474" w:bottom="1985" w:left="1588"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D31D50"/>
    <w:rsid w:val="00071263"/>
    <w:rsid w:val="00323B43"/>
    <w:rsid w:val="003D37D8"/>
    <w:rsid w:val="00414959"/>
    <w:rsid w:val="00426133"/>
    <w:rsid w:val="004358AB"/>
    <w:rsid w:val="00461700"/>
    <w:rsid w:val="004B6F2D"/>
    <w:rsid w:val="005647FC"/>
    <w:rsid w:val="006336FE"/>
    <w:rsid w:val="008B7726"/>
    <w:rsid w:val="00B41647"/>
    <w:rsid w:val="00CD5281"/>
    <w:rsid w:val="00D31D50"/>
    <w:rsid w:val="00DF761F"/>
    <w:rsid w:val="3E0A18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2"/>
    <w:basedOn w:val="1"/>
    <w:next w:val="1"/>
    <w:link w:val="6"/>
    <w:qFormat/>
    <w:uiPriority w:val="9"/>
    <w:pPr>
      <w:adjustRightInd/>
      <w:snapToGrid/>
      <w:spacing w:before="100" w:beforeAutospacing="1" w:after="100" w:afterAutospacing="1"/>
      <w:outlineLvl w:val="1"/>
    </w:pPr>
    <w:rPr>
      <w:rFonts w:ascii="宋体" w:hAnsi="宋体" w:eastAsia="宋体" w:cs="宋体"/>
      <w:b/>
      <w:bCs/>
      <w:sz w:val="36"/>
      <w:szCs w:val="36"/>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qFormat/>
    <w:uiPriority w:val="99"/>
    <w:pPr>
      <w:adjustRightInd/>
      <w:snapToGrid/>
      <w:spacing w:before="100" w:beforeAutospacing="1" w:after="100" w:afterAutospacing="1"/>
    </w:pPr>
    <w:rPr>
      <w:rFonts w:ascii="宋体" w:hAnsi="宋体" w:eastAsia="宋体" w:cs="宋体"/>
      <w:sz w:val="24"/>
      <w:szCs w:val="24"/>
    </w:rPr>
  </w:style>
  <w:style w:type="character" w:customStyle="1" w:styleId="6">
    <w:name w:val="标题 2 Char"/>
    <w:basedOn w:val="5"/>
    <w:link w:val="2"/>
    <w:uiPriority w:val="9"/>
    <w:rPr>
      <w:rFonts w:ascii="宋体" w:hAnsi="宋体" w:eastAsia="宋体" w:cs="宋体"/>
      <w:b/>
      <w:bCs/>
      <w:sz w:val="36"/>
      <w:szCs w:val="3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107</Words>
  <Characters>612</Characters>
  <Lines>5</Lines>
  <Paragraphs>1</Paragraphs>
  <TotalTime>3</TotalTime>
  <ScaleCrop>false</ScaleCrop>
  <LinksUpToDate>false</LinksUpToDate>
  <CharactersWithSpaces>718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WPS_1591142104</cp:lastModifiedBy>
  <dcterms:modified xsi:type="dcterms:W3CDTF">2021-11-05T02:10:05Z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CBE1884A61D249F3ABC63ABA5097895A</vt:lpwstr>
  </property>
</Properties>
</file>