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/>
          <w:spacing w:val="-8"/>
          <w:sz w:val="32"/>
          <w:szCs w:val="24"/>
        </w:rPr>
      </w:pPr>
      <w:r>
        <w:rPr>
          <w:rFonts w:hint="eastAsia" w:ascii="黑体" w:hAnsi="黑体" w:eastAsia="黑体" w:cs="黑体"/>
          <w:b w:val="0"/>
          <w:bCs/>
          <w:spacing w:val="-8"/>
          <w:sz w:val="32"/>
          <w:szCs w:val="24"/>
        </w:rPr>
        <w:t>附件</w:t>
      </w:r>
    </w:p>
    <w:tbl>
      <w:tblPr>
        <w:tblStyle w:val="12"/>
        <w:tblW w:w="96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"/>
        <w:gridCol w:w="176"/>
        <w:gridCol w:w="1588"/>
        <w:gridCol w:w="1902"/>
        <w:gridCol w:w="2040"/>
        <w:gridCol w:w="36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09" w:type="dxa"/>
          <w:trHeight w:val="23" w:hRule="atLeast"/>
          <w:jc w:val="center"/>
        </w:trPr>
        <w:tc>
          <w:tcPr>
            <w:tcW w:w="936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eastAsia="仿宋_GB2312" w:cs="宋体"/>
                <w:b/>
                <w:bCs/>
                <w:color w:val="000000"/>
                <w:kern w:val="0"/>
                <w:sz w:val="40"/>
                <w:szCs w:val="40"/>
                <w:highlight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/>
                <w:spacing w:val="-8"/>
                <w:sz w:val="32"/>
                <w:szCs w:val="32"/>
              </w:rPr>
              <w:t>青岛市第</w:t>
            </w:r>
            <w:r>
              <w:rPr>
                <w:rFonts w:hint="eastAsia" w:ascii="黑体" w:hAnsi="黑体" w:eastAsia="黑体" w:cs="黑体"/>
                <w:b w:val="0"/>
                <w:bCs/>
                <w:spacing w:val="-8"/>
                <w:sz w:val="32"/>
                <w:szCs w:val="32"/>
                <w:lang w:val="en-US" w:eastAsia="zh-CN"/>
              </w:rPr>
              <w:t>十八</w:t>
            </w:r>
            <w:r>
              <w:rPr>
                <w:rFonts w:hint="eastAsia" w:ascii="黑体" w:hAnsi="黑体" w:eastAsia="黑体" w:cs="黑体"/>
                <w:b w:val="0"/>
                <w:bCs/>
                <w:spacing w:val="-8"/>
                <w:sz w:val="32"/>
                <w:szCs w:val="32"/>
              </w:rPr>
              <w:t>批绿色建材采信名单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绿色建材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所属分类</w:t>
            </w:r>
          </w:p>
        </w:tc>
        <w:tc>
          <w:tcPr>
            <w:tcW w:w="190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采信产品名称</w:t>
            </w:r>
          </w:p>
        </w:tc>
        <w:tc>
          <w:tcPr>
            <w:tcW w:w="20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366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采信规格型号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1</w:t>
            </w: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4.1.2混凝土结构构件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叠合板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山东三阳筑工科技有限公司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长：300-8700宽：300-3700厚：60-120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2</w:t>
            </w: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4.1.2混凝土结构构件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预制楼梯</w:t>
            </w:r>
          </w:p>
        </w:tc>
        <w:tc>
          <w:tcPr>
            <w:tcW w:w="204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山东三阳筑工科技有限公司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长：1000-6000宽：400-3800高：1000-4000厚：120-200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3</w:t>
            </w: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4.1.2混凝土结构构件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内墙板</w:t>
            </w:r>
          </w:p>
        </w:tc>
        <w:tc>
          <w:tcPr>
            <w:tcW w:w="204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山东三阳筑工科技有限公司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长：600-4500宽：400-3600厚：100-600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4.1.3预拌混凝土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普通混凝土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青岛金鑫商品混凝土有限公司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C30,C35,C40,C45,C50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4.1.4预拌砂浆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湿拌抹灰砂浆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青岛合筑干混砂浆有限公司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WP-G M20-90-24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6</w:t>
            </w: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4.2.1门窗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内平开下悬铝合金窗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烟台市华民装饰工程有限公司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GB/T8478 WBWGR85PXLC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7</w:t>
            </w: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4.2.1门窗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建筑用中空玻璃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天津旗滨节能玻璃有限公司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6mmlow-e镀膜钢化玻璃+12mmAr+6mmlow-e镀膜钢化玻璃+12Ar+6mm钢化玻璃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8</w:t>
            </w: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4.2.1门窗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建筑用中空玻璃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山东耀华玻璃有限公司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6mmlow-e镀膜钢+12Ar（85%）+6无色透明+12Ar（85%）+6low-e镀膜钢化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9</w:t>
            </w: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4.2.1门窗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铝合金建筑型材—穿条式隔热型材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山东新裕东铝业有限公司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10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5.1.8硅酮密封胶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JS-366中性硅酮耐候胶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青岛龙泽世纪新材料有限公司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SR-1-F-20HM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11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5.2.5墙面陶瓷砖（板）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内墙砖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青岛海鹏家居建材有限公司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300*300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12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5.2.12重组材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竹木纤维集成墙面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法狮龙家居建材股份有限公司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JCQM-ZS-FM,JCQM-ZK-FM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13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5.2.13地面陶瓷砖（板）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瓷质砖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广东新中源陶瓷有限公司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有釉-墙面用 300*300,有釉-墙面用 400*400,有釉-墙面用 400*800,有釉-墙面用 600*600,有釉-墙面用 600*1200,有釉-墙面用 750*1500,有釉-墙面用 800*800,有釉-墙面用 800*2600,有釉-墙面用 900*1800,有釉-墙面用 900*2600,有釉-墙面用 1000*1000,有釉-墙面用 1200*2400,有釉-地面用 300*300,有釉-地面用 400*400,有釉-地面用 600*600,有釉-地面用 600*1200,有釉-地面用 750*1500,有釉-地面用 800*800,有釉-地面用 800*2600,有釉-地面用 900*1800,有釉-地面用 900*2600,有釉-地面用 1000*1000,有釉-地面用 1200*2400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14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5.2.14木地板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运动木地板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上海美凯地板工业有限公司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（800-2440）*（50-140）*22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15</w:t>
            </w: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5.2.17弹性地板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PVC同质透心卷材地板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丽杰特性板材(苏州)有限公司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2m*20m*2.0mm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16</w:t>
            </w: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5.2.17弹性地板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非同质聚氯乙烯卷材地板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青岛利恩源商贸有限公司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31-CB-T,32-CB-T,33-CB-T,34-CB-T,41-CB-T,42-CB-T,43-CB-T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17</w:t>
            </w: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5.2.17弹性地板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同质聚氯乙烯卷材地板</w:t>
            </w:r>
          </w:p>
        </w:tc>
        <w:tc>
          <w:tcPr>
            <w:tcW w:w="204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青岛利恩源商贸有限公司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32-T,33-T,34-T,41-T,42-T,43-T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18</w:t>
            </w: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5.2.19卫生洁具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和成卫浴轻智能一体机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和成（中国）有限公司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AFC9706TBAW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19</w:t>
            </w: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5.2.19卫生洁具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节水型单体马桶</w:t>
            </w:r>
          </w:p>
        </w:tc>
        <w:tc>
          <w:tcPr>
            <w:tcW w:w="204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和成（中国）有限公司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C6633K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20</w:t>
            </w: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5.2.19卫生洁具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 xml:space="preserve">坐便器 </w:t>
            </w:r>
          </w:p>
        </w:tc>
        <w:tc>
          <w:tcPr>
            <w:tcW w:w="204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和成（中国）有限公司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AFC5318CAW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21</w:t>
            </w: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5.3.1管材管件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变频多联式空调热泵机组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青岛鸿业美邦机电工程有限公司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HVR-22Q1/G1FZBр,HVR-28Q1/G1FZBр,HVR-36Q1/G1FZBр,HVR-56F/G2FZBр,HVR-63F/G2FZBр,HVR-71F/G2FZBр,HVR-36F/G2FZBр,HVR-45KF/G2FZBр/P,HVR-63KF/G2FZBр/P,HVR-71KF/G2FZBр/P,HVR-32KF/G2FZBр/P,HVR-56KF/G2FZBр/P,HVR-735W/SM3FZBp,HVR-850W/SM3FZBp,HVR-560W/SM3FZBp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22</w:t>
            </w: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5.3.1管材管件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变频多联式空调（热泵）机组</w:t>
            </w:r>
          </w:p>
        </w:tc>
        <w:tc>
          <w:tcPr>
            <w:tcW w:w="204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青岛鸿业美邦机电工程有限公司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HVR-735W/SM3FZBp,HVR-560W/SM3FZBp,HVR-800W/SM3FZBp,HVR-28Q1/G1FZBp,HVR-22Q1/G1FZBp,HVR-36Q1/G1FZBp,HVR-56F/G2FZBp,HVR-71F/G2FZBp,HVR-63F/G2FZBp,HVR-45F/G2FZBp,HYXC-VC01A,HPS-133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23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5.3.8冷热源设备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模块式风冷热泵机组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深圳麦克维尔空调有限公司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MAC500DR5LR,MAC500ER6LH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24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5.3.11电气照明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LED球场灯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广东北斗星体育设备有限公司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LK-500B,LK-1000U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其他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建筑装饰用氟碳铝单板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青岛宸林建筑科技有限公司</w:t>
            </w:r>
          </w:p>
        </w:tc>
        <w:tc>
          <w:tcPr>
            <w:tcW w:w="3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ind w:firstLine="220" w:firstLineChars="10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-1"/>
                <w:sz w:val="22"/>
                <w:u w:val="none"/>
              </w:rPr>
              <w:t>3.0,2.5,2.0</w:t>
            </w:r>
          </w:p>
        </w:tc>
      </w:tr>
    </w:tbl>
    <w:p>
      <w:pPr>
        <w:pStyle w:val="2"/>
        <w:rPr>
          <w:rFonts w:ascii="Calibri" w:hAnsi="Calibri" w:eastAsia="宋体" w:cs="Times New Roman"/>
          <w:szCs w:val="21"/>
        </w:rPr>
      </w:pPr>
    </w:p>
    <w:p>
      <w:pPr>
        <w:widowControl w:val="0"/>
        <w:wordWrap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327025</wp:posOffset>
                </wp:positionV>
                <wp:extent cx="5699760" cy="23495"/>
                <wp:effectExtent l="0" t="4445" r="15240" b="10160"/>
                <wp:wrapNone/>
                <wp:docPr id="2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99760" cy="2349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flip:y;margin-left:-4.5pt;margin-top:25.75pt;height:1.85pt;width:448.8pt;z-index:251660288;mso-width-relative:page;mso-height-relative:page;" filled="f" stroked="t" coordsize="21600,21600" o:gfxdata="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c7UH9oAAAAIAQAADwAAAAAAAAABACAAAAAiAAAAZHJz&#10;L2Rvd25yZXYueG1sUEsBAhQAFAAAAAgAh07iQGYGjtACAgAA/AMAAA4AAAAAAAAAAQAgAAAAKQEA&#10;AGRycy9lMm9Eb2MueG1sUEsFBgAAAAAGAAYAWQEAAJ0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/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</w:t>
      </w:r>
      <w:r>
        <w:rPr>
          <w:rFonts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379095</wp:posOffset>
                </wp:positionV>
                <wp:extent cx="5700395" cy="12065"/>
                <wp:effectExtent l="0" t="4445" r="14605" b="12065"/>
                <wp:wrapNone/>
                <wp:docPr id="1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00395" cy="1206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flip:y;margin-left:-4.5pt;margin-top:29.85pt;height:0.95pt;width:448.85pt;z-index:251659264;mso-width-relative:page;mso-height-relative:page;" filled="f" stroked="t" coordsize="21600,21600" o:gfxdata="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bP1gNoAAAAIAQAADwAAAAAAAAABACAAAAAiAAAAZHJz&#10;L2Rvd25yZXYueG1sUEsBAhQAFAAAAAgAh07iQOsvpMMCAgAA/AMAAA4AAAAAAAAAAQAgAAAAKQEA&#10;AGRycy9lMm9Eb2MueG1sUEsFBgAAAAAGAAYAWQEAAJ0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青岛市住房和城乡建设局          </w:t>
      </w:r>
      <w:r>
        <w:rPr>
          <w:rFonts w:hint="default" w:ascii="仿宋_GB2312" w:hAnsi="Times New Roman" w:eastAsia="仿宋_GB2312" w:cs="Times New Roman"/>
          <w:sz w:val="28"/>
          <w:szCs w:val="28"/>
          <w:lang w:val="en-US"/>
        </w:rPr>
        <w:t xml:space="preserve">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202</w:t>
      </w:r>
      <w:r>
        <w:rPr>
          <w:rFonts w:hint="default" w:ascii="仿宋_GB2312" w:hAnsi="Times New Roman" w:eastAsia="仿宋_GB2312" w:cs="Times New Roman"/>
          <w:sz w:val="28"/>
          <w:szCs w:val="28"/>
          <w:lang w:val="en-US"/>
        </w:rPr>
        <w:t>5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日印发  </w:t>
      </w:r>
    </w:p>
    <w:sectPr>
      <w:footerReference r:id="rId3" w:type="default"/>
      <w:pgSz w:w="11906" w:h="16838"/>
      <w:pgMar w:top="2098" w:right="1474" w:bottom="1985" w:left="1588" w:header="851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</w:pPr>
    <w:r>
      <w:rPr>
        <w:rFonts w:ascii="等线" w:hAnsi="等线" w:eastAsia="等线" w:cs="黑体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-22225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-1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jET731QAAAAcBAAAPAAAAAAAAAAEAIAAAACIAAABkcnMvZG93bnJldi54&#10;bWxQSwECFAAUAAAACACHTuJAcKT6O8QBAACPAwAADgAAAAAAAAABACAAAAAk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NTU5NTc0ZTkzY2Q1NGI1NzQxMjcxMzQxM2M0ODMifQ=="/>
  </w:docVars>
  <w:rsids>
    <w:rsidRoot w:val="002E62DC"/>
    <w:rsid w:val="00054BC7"/>
    <w:rsid w:val="000D142D"/>
    <w:rsid w:val="00180622"/>
    <w:rsid w:val="001F6BC3"/>
    <w:rsid w:val="00230C18"/>
    <w:rsid w:val="00235B11"/>
    <w:rsid w:val="002E62DC"/>
    <w:rsid w:val="00391E11"/>
    <w:rsid w:val="003972E9"/>
    <w:rsid w:val="003C6478"/>
    <w:rsid w:val="00426CFD"/>
    <w:rsid w:val="00441B17"/>
    <w:rsid w:val="004826FE"/>
    <w:rsid w:val="0049681D"/>
    <w:rsid w:val="005E27F8"/>
    <w:rsid w:val="00646D05"/>
    <w:rsid w:val="006D5345"/>
    <w:rsid w:val="0076097D"/>
    <w:rsid w:val="008B6A3E"/>
    <w:rsid w:val="008F08AA"/>
    <w:rsid w:val="00946480"/>
    <w:rsid w:val="00955D59"/>
    <w:rsid w:val="00A17D90"/>
    <w:rsid w:val="00A451BA"/>
    <w:rsid w:val="00A66316"/>
    <w:rsid w:val="00C877B7"/>
    <w:rsid w:val="00C91D82"/>
    <w:rsid w:val="00CA0C78"/>
    <w:rsid w:val="00CF2A5B"/>
    <w:rsid w:val="00D52870"/>
    <w:rsid w:val="00DA1422"/>
    <w:rsid w:val="00E0184E"/>
    <w:rsid w:val="00EA1B85"/>
    <w:rsid w:val="00ED16B0"/>
    <w:rsid w:val="00ED73A0"/>
    <w:rsid w:val="00F33D77"/>
    <w:rsid w:val="00FD0531"/>
    <w:rsid w:val="01251F41"/>
    <w:rsid w:val="01BC018B"/>
    <w:rsid w:val="02A364B4"/>
    <w:rsid w:val="03466DAF"/>
    <w:rsid w:val="056402C9"/>
    <w:rsid w:val="06772E0C"/>
    <w:rsid w:val="092E3471"/>
    <w:rsid w:val="0CB02E0E"/>
    <w:rsid w:val="0D32484A"/>
    <w:rsid w:val="0D9C5DB7"/>
    <w:rsid w:val="0E37295D"/>
    <w:rsid w:val="0EEA080D"/>
    <w:rsid w:val="0FBA6EF9"/>
    <w:rsid w:val="16616399"/>
    <w:rsid w:val="16695FF8"/>
    <w:rsid w:val="19140610"/>
    <w:rsid w:val="1ABA5495"/>
    <w:rsid w:val="1CAC582C"/>
    <w:rsid w:val="2434155E"/>
    <w:rsid w:val="26011CA1"/>
    <w:rsid w:val="2CD77178"/>
    <w:rsid w:val="2EE83B52"/>
    <w:rsid w:val="302E0E48"/>
    <w:rsid w:val="347D6DD6"/>
    <w:rsid w:val="35B65920"/>
    <w:rsid w:val="35C92AF4"/>
    <w:rsid w:val="363C0E85"/>
    <w:rsid w:val="38190CFD"/>
    <w:rsid w:val="3C3D4E7C"/>
    <w:rsid w:val="3DB36BA7"/>
    <w:rsid w:val="3DBB4E88"/>
    <w:rsid w:val="3F204B67"/>
    <w:rsid w:val="3F66114F"/>
    <w:rsid w:val="422D4E74"/>
    <w:rsid w:val="46AA6E78"/>
    <w:rsid w:val="4782223A"/>
    <w:rsid w:val="47862C4A"/>
    <w:rsid w:val="47A47F60"/>
    <w:rsid w:val="4B925FFF"/>
    <w:rsid w:val="4BDB00EC"/>
    <w:rsid w:val="4C471B80"/>
    <w:rsid w:val="4D7D0876"/>
    <w:rsid w:val="5013170C"/>
    <w:rsid w:val="506D3D50"/>
    <w:rsid w:val="50955CD7"/>
    <w:rsid w:val="53A20178"/>
    <w:rsid w:val="5419621A"/>
    <w:rsid w:val="541C1353"/>
    <w:rsid w:val="56A828B2"/>
    <w:rsid w:val="5717398E"/>
    <w:rsid w:val="589A776B"/>
    <w:rsid w:val="598C1685"/>
    <w:rsid w:val="5B3E0EC2"/>
    <w:rsid w:val="5B914930"/>
    <w:rsid w:val="5CAF0AA7"/>
    <w:rsid w:val="60195285"/>
    <w:rsid w:val="618F466C"/>
    <w:rsid w:val="61951E19"/>
    <w:rsid w:val="66701E1D"/>
    <w:rsid w:val="66741945"/>
    <w:rsid w:val="66F32F8A"/>
    <w:rsid w:val="68094F58"/>
    <w:rsid w:val="6B066867"/>
    <w:rsid w:val="6BD352CF"/>
    <w:rsid w:val="6C83547B"/>
    <w:rsid w:val="6DFE1CD8"/>
    <w:rsid w:val="72105DF0"/>
    <w:rsid w:val="7520350E"/>
    <w:rsid w:val="75625D7A"/>
    <w:rsid w:val="79791770"/>
    <w:rsid w:val="7A785DF1"/>
    <w:rsid w:val="7D2B68D6"/>
    <w:rsid w:val="7DA97F51"/>
    <w:rsid w:val="7E984B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99"/>
    <w:pPr>
      <w:widowControl/>
      <w:jc w:val="left"/>
      <w:outlineLvl w:val="0"/>
    </w:pPr>
    <w:rPr>
      <w:rFonts w:ascii="宋体" w:hAnsi="宋体" w:eastAsia="仿宋_GB2312" w:cs="宋体"/>
      <w:b/>
      <w:bCs/>
      <w:kern w:val="36"/>
      <w:sz w:val="48"/>
      <w:szCs w:val="48"/>
    </w:rPr>
  </w:style>
  <w:style w:type="paragraph" w:styleId="4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unhideWhenUsed/>
    <w:qFormat/>
    <w:uiPriority w:val="99"/>
    <w:pPr>
      <w:spacing w:after="120"/>
    </w:pPr>
  </w:style>
  <w:style w:type="paragraph" w:styleId="5">
    <w:name w:val="Body Text Indent"/>
    <w:basedOn w:val="1"/>
    <w:link w:val="21"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99"/>
    <w:rPr>
      <w:rFonts w:ascii="Times New Roman" w:hAnsi="Times New Roman" w:eastAsia="宋体" w:cs="Times New Roman"/>
      <w:szCs w:val="21"/>
    </w:rPr>
  </w:style>
  <w:style w:type="paragraph" w:styleId="11">
    <w:name w:val="Body Text First Indent 2"/>
    <w:basedOn w:val="5"/>
    <w:link w:val="22"/>
    <w:unhideWhenUsed/>
    <w:qFormat/>
    <w:uiPriority w:val="99"/>
    <w:pPr>
      <w:spacing w:before="100" w:beforeAutospacing="1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_Style 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  <w:textAlignment w:val="baseline"/>
    </w:pPr>
    <w:rPr>
      <w:rFonts w:ascii="Tahoma" w:hAnsi="Tahoma" w:eastAsia="微软雅黑"/>
      <w:sz w:val="22"/>
    </w:rPr>
  </w:style>
  <w:style w:type="paragraph" w:customStyle="1" w:styleId="16">
    <w:name w:val="Table Paragraph"/>
    <w:basedOn w:val="1"/>
    <w:qFormat/>
    <w:uiPriority w:val="0"/>
    <w:rPr>
      <w:rFonts w:ascii="宋体" w:hAnsi="宋体" w:eastAsia="宋体" w:cs="宋体"/>
      <w:sz w:val="32"/>
      <w:szCs w:val="32"/>
    </w:rPr>
  </w:style>
  <w:style w:type="paragraph" w:customStyle="1" w:styleId="17">
    <w:name w:val="Other|1"/>
    <w:basedOn w:val="1"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9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0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21">
    <w:name w:val="正文文本缩进 Char"/>
    <w:basedOn w:val="14"/>
    <w:link w:val="5"/>
    <w:semiHidden/>
    <w:qFormat/>
    <w:uiPriority w:val="99"/>
  </w:style>
  <w:style w:type="character" w:customStyle="1" w:styleId="22">
    <w:name w:val="正文首行缩进 2 Char"/>
    <w:basedOn w:val="21"/>
    <w:link w:val="11"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23">
    <w:name w:val="日期 Char"/>
    <w:basedOn w:val="14"/>
    <w:link w:val="6"/>
    <w:semiHidden/>
    <w:qFormat/>
    <w:uiPriority w:val="99"/>
  </w:style>
  <w:style w:type="character" w:customStyle="1" w:styleId="24">
    <w:name w:val="正文文本 Char"/>
    <w:basedOn w:val="14"/>
    <w:link w:val="2"/>
    <w:semiHidden/>
    <w:qFormat/>
    <w:uiPriority w:val="99"/>
  </w:style>
  <w:style w:type="character" w:customStyle="1" w:styleId="25">
    <w:name w:val="标题 1 Char"/>
    <w:basedOn w:val="14"/>
    <w:link w:val="3"/>
    <w:qFormat/>
    <w:uiPriority w:val="99"/>
    <w:rPr>
      <w:rFonts w:ascii="宋体" w:hAnsi="宋体" w:eastAsia="仿宋_GB2312" w:cs="宋体"/>
      <w:b/>
      <w:bCs/>
      <w:kern w:val="36"/>
      <w:sz w:val="48"/>
      <w:szCs w:val="48"/>
    </w:rPr>
  </w:style>
  <w:style w:type="character" w:customStyle="1" w:styleId="26">
    <w:name w:val="批注框文本 Char"/>
    <w:basedOn w:val="14"/>
    <w:link w:val="7"/>
    <w:semiHidden/>
    <w:qFormat/>
    <w:uiPriority w:val="99"/>
    <w:rPr>
      <w:sz w:val="18"/>
      <w:szCs w:val="18"/>
    </w:rPr>
  </w:style>
  <w:style w:type="character" w:customStyle="1" w:styleId="27">
    <w:name w:val="NormalCharacter"/>
    <w:semiHidden/>
    <w:qFormat/>
    <w:uiPriority w:val="0"/>
  </w:style>
  <w:style w:type="character" w:customStyle="1" w:styleId="28">
    <w:name w:val="PageNumber"/>
    <w:basedOn w:val="2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1213</Words>
  <Characters>2307</Characters>
  <Lines>2</Lines>
  <Paragraphs>1</Paragraphs>
  <TotalTime>6</TotalTime>
  <ScaleCrop>false</ScaleCrop>
  <LinksUpToDate>false</LinksUpToDate>
  <CharactersWithSpaces>2344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2024-09-03T07:26:00Z</dcterms:created>
  <dc:creator>he haidong</dc:creator>
  <cp:lastModifiedBy>青岛市住房和城乡建设局</cp:lastModifiedBy>
  <cp:lastPrinted>2025-05-28T01:01:00Z</cp:lastPrinted>
  <dcterms:modified xsi:type="dcterms:W3CDTF">2025-06-04T06:50:50Z</dcterms:modified>
  <dc:title>青岛市住房和城乡建设局文件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0B3F1A4AA16B4088BA285B1D52533290_13</vt:lpwstr>
  </property>
  <property fmtid="{D5CDD505-2E9C-101B-9397-08002B2CF9AE}" pid="4" name="KSOTemplateDocerSaveRecord">
    <vt:lpwstr>eyJoZGlkIjoiZWZiOTc3M2ZjNWVhNjlmOTA3NjU4MjllNTgzYjZiMDIiLCJ1c2VySWQiOiI5MzMyNzk3NTQifQ==</vt:lpwstr>
  </property>
</Properties>
</file>