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0E" w:rsidRDefault="005A010E">
      <w:pPr>
        <w:pStyle w:val="NormalWeb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222222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222222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222222"/>
          <w:sz w:val="44"/>
          <w:szCs w:val="44"/>
        </w:rPr>
        <w:t>年青岛前湾保税港区政府信息</w:t>
      </w:r>
    </w:p>
    <w:p w:rsidR="005A010E" w:rsidRDefault="005A010E">
      <w:pPr>
        <w:pStyle w:val="NormalWeb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22222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222222"/>
          <w:sz w:val="44"/>
          <w:szCs w:val="44"/>
        </w:rPr>
        <w:t>公开工作年度报告</w:t>
      </w:r>
    </w:p>
    <w:p w:rsidR="005A010E" w:rsidRDefault="005A010E">
      <w:pPr>
        <w:pStyle w:val="NormalWeb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222222"/>
          <w:sz w:val="44"/>
          <w:szCs w:val="44"/>
        </w:rPr>
      </w:pPr>
    </w:p>
    <w:p w:rsidR="005A010E" w:rsidRDefault="005A010E" w:rsidP="00DC7F53">
      <w:pPr>
        <w:pStyle w:val="NormalWeb"/>
        <w:spacing w:before="0" w:beforeAutospacing="0" w:after="0" w:afterAutospacing="0"/>
        <w:ind w:firstLineChars="200" w:firstLine="31680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根据《中华人民共和国政府信息公开条例》和青岛市人民政府《关于加快推进政府信息公开工作的实施意见》，特向社会公布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年度青岛前湾保税港区政府信息公开工作年度报告。</w:t>
      </w:r>
    </w:p>
    <w:p w:rsidR="005A010E" w:rsidRDefault="005A010E" w:rsidP="00DC7F53">
      <w:pPr>
        <w:pStyle w:val="NormalWeb"/>
        <w:spacing w:before="0" w:beforeAutospacing="0" w:after="0" w:afterAutospacing="0"/>
        <w:ind w:firstLineChars="200" w:firstLine="31680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本报告由总体情况、主动公开政府信息情况、收到和处理政府信息公开申请情况、政府信息公开行政复议和行政诉讼情况、存在的主要问题及改进情况共五个部分组成。本报告中所列数据的统计期限自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日起至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日止。本报告的电子版可在“青岛政务网”（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www.qingdao.gov.cn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）和青岛前湾保税港区政务网（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qdftz.qingdao.gov.cn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）下载。如对本报告有任何疑问，请与青岛前湾保税港区工委管委办公室联系（地址：青岛市黄岛区江山南路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611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号，邮编：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266555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，电话：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86768505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）。</w:t>
      </w:r>
    </w:p>
    <w:p w:rsidR="005A010E" w:rsidRDefault="005A010E" w:rsidP="00DC7F53">
      <w:pPr>
        <w:snapToGrid w:val="0"/>
        <w:spacing w:line="560" w:lineRule="exact"/>
        <w:ind w:firstLineChars="200" w:firstLine="3168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一、总体情况</w:t>
      </w:r>
    </w:p>
    <w:p w:rsidR="005A010E" w:rsidRDefault="005A010E">
      <w:pPr>
        <w:pStyle w:val="NormalWeb"/>
        <w:spacing w:before="0" w:beforeAutospacing="0" w:after="0" w:afterAutospacing="0"/>
        <w:ind w:firstLine="645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/>
          <w:color w:val="22222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年，青岛前湾保税港区以《中华人民共和国政府信息公开条例》（修订版）颁布施行为契机，按照《青岛市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年政府信息公开工作要点》要求，结合区域发展实际，主动磕对职责，做好任务分解，加强培训指导，确保全区各级各部门政府信息公开工作落到实处。</w:t>
      </w:r>
    </w:p>
    <w:p w:rsidR="005A010E" w:rsidRDefault="005A010E">
      <w:pPr>
        <w:pStyle w:val="NormalWeb"/>
        <w:spacing w:before="0" w:beforeAutospacing="0" w:after="0" w:afterAutospacing="0"/>
        <w:ind w:firstLine="645"/>
        <w:rPr>
          <w:rFonts w:ascii="楷体" w:eastAsia="楷体" w:hAnsi="楷体" w:cs="楷体"/>
          <w:b/>
          <w:bCs/>
          <w:color w:val="22222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222222"/>
          <w:sz w:val="32"/>
          <w:szCs w:val="32"/>
        </w:rPr>
        <w:t>（一）主动公开</w:t>
      </w:r>
    </w:p>
    <w:p w:rsidR="005A010E" w:rsidRDefault="005A010E">
      <w:pPr>
        <w:pStyle w:val="NormalWeb"/>
        <w:spacing w:before="0" w:beforeAutospacing="0" w:after="0" w:afterAutospacing="0"/>
        <w:ind w:firstLine="645"/>
        <w:rPr>
          <w:rFonts w:ascii="黑体" w:eastAsia="黑体" w:hAnsi="黑体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本年度共通过门户网站发布机构信息、工作计划、公文、政策解读、制度、财务、工作动态等各类信息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1298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篇，报纸、广播、电视发稿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141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篇，网络发稿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262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篇，共计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403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篇。在政务服务平台发布行政许可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223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条，处决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5228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条，行政处罚净增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条，处决数量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条。本年度发生政府集中采购数量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597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件，金额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1098.26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万元。政务公开重点领域具体工作情况如下：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b/>
          <w:bCs/>
          <w:color w:val="22222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22222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color w:val="222222"/>
          <w:sz w:val="32"/>
          <w:szCs w:val="32"/>
        </w:rPr>
        <w:t>提案办理结果公开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/>
          <w:color w:val="22222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年度通过市级平台公开政协委员提案办理结果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条。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 xml:space="preserve"> 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b/>
          <w:bCs/>
          <w:color w:val="22222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22222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color w:val="222222"/>
          <w:sz w:val="32"/>
          <w:szCs w:val="32"/>
        </w:rPr>
        <w:t>政务服务改革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/>
          <w:color w:val="222222"/>
          <w:sz w:val="32"/>
          <w:szCs w:val="32"/>
        </w:rPr>
        <w:t>2.1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深入推进“一窗受理、一次办好”改革。在前期改革基础上，按照省市部署，率先探索实践一窗综合受理，对在山东政务服务网公布的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223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个行政审批和公共服务事项全部进行了配置和测试，设置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个综合受理窗口，实现了“前台综合受理、后台分类审批、统一窗口出件”的青岛前湾保税港区服务模式，开创“一窗受理”新路径。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/>
          <w:color w:val="222222"/>
          <w:sz w:val="32"/>
          <w:szCs w:val="32"/>
        </w:rPr>
        <w:t>2.2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推进“互联网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政务服务”。增强便利服务功能，在政务服务大厅设置办事指南二维码</w:t>
      </w: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，扫描即可完成行政审批和服务事项的办事指南查询。提高网办“含钙量”，山东政务服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务网公开的事项全程网办、在线申办、在线预审事项数量达到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168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项，占总事项数的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75%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。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color w:val="22222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222222"/>
          <w:sz w:val="32"/>
          <w:szCs w:val="32"/>
        </w:rPr>
        <w:t>2.3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进一步创新“秒批”服务。开展区级“秒批”清单梳理和电子卡包共享应用工作，</w:t>
      </w: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编制“秒批”事项“明白纸”，对“秒批”事项进行解读宣传，通过山东政务服务网（青岛保税港区站）发布</w:t>
      </w:r>
      <w:r>
        <w:rPr>
          <w:rFonts w:ascii="仿宋_GB2312" w:eastAsia="仿宋_GB2312" w:hAnsi="仿宋_GB2312" w:cs="仿宋_GB2312"/>
          <w:color w:val="22222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“秒批”事项清单。目前，已实现“秒批”事项清单</w:t>
      </w:r>
      <w:r>
        <w:rPr>
          <w:rFonts w:ascii="仿宋_GB2312" w:eastAsia="仿宋_GB2312" w:hAnsi="仿宋_GB2312" w:cs="仿宋_GB2312"/>
          <w:color w:val="222222"/>
          <w:kern w:val="0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项，电子卡包应用事项清单</w:t>
      </w:r>
      <w:r>
        <w:rPr>
          <w:rFonts w:ascii="仿宋_GB2312" w:eastAsia="仿宋_GB2312" w:hAnsi="仿宋_GB2312" w:cs="仿宋_GB2312"/>
          <w:color w:val="222222"/>
          <w:kern w:val="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项。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b/>
          <w:bCs/>
          <w:color w:val="22222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222222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bCs/>
          <w:color w:val="222222"/>
          <w:kern w:val="0"/>
          <w:sz w:val="32"/>
          <w:szCs w:val="32"/>
        </w:rPr>
        <w:t>公共资源交易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color w:val="22222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222222"/>
          <w:kern w:val="0"/>
          <w:sz w:val="32"/>
          <w:szCs w:val="32"/>
        </w:rPr>
        <w:t>3.1</w:t>
      </w: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推进落实“互联网</w:t>
      </w:r>
      <w:r>
        <w:rPr>
          <w:rFonts w:ascii="仿宋_GB2312" w:eastAsia="仿宋_GB2312" w:hAnsi="仿宋_GB2312" w:cs="仿宋_GB2312"/>
          <w:color w:val="222222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公共资源交易”，延伸公共资源交易一体化信息平台到我区政务服务大厅。区内实行工程建设和政府采购项目电子招投标。组织完成电子招投标进场交易项目</w:t>
      </w:r>
      <w:r>
        <w:rPr>
          <w:rFonts w:ascii="仿宋_GB2312" w:eastAsia="仿宋_GB2312" w:hAnsi="仿宋_GB2312" w:cs="仿宋_GB2312"/>
          <w:color w:val="222222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宗。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/>
          <w:color w:val="222222"/>
          <w:kern w:val="0"/>
          <w:sz w:val="32"/>
          <w:szCs w:val="32"/>
        </w:rPr>
        <w:t>3.2</w:t>
      </w: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依托公共资源交易平台，对照法律法规，厘清交易主体与交易平台的界限，简化交易流程，取消现场报名限制和手续限制，理清“见证服务”职责。进一步梳理公共资源交易程序，严格按照招标准备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、发布招标公告、招标保证金缴纳、专家抽取、开标、等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个程序组织招标采购工作。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b/>
          <w:bCs/>
          <w:color w:val="22222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22222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/>
          <w:bCs/>
          <w:color w:val="222222"/>
          <w:sz w:val="32"/>
          <w:szCs w:val="32"/>
        </w:rPr>
        <w:t>财政信息公开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按照全市统一要求，推进财政预决算、政府债务领域信息公开，加强财务人员管理与培训，建立财务信息更新监督机制，本年度在门户网站共发布财政信息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余条。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b/>
          <w:bCs/>
          <w:color w:val="22222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22222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/>
          <w:bCs/>
          <w:color w:val="222222"/>
          <w:sz w:val="32"/>
          <w:szCs w:val="32"/>
        </w:rPr>
        <w:t>安全生产工作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本年度组织安全生产培训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次、培训人员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1600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余人次，免费为企业发放各类安全宣传挂图、书籍、资料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余份，组织消防应急体验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余人次，网格化平台推送宣传材料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127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份，短信平台发送各类短信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102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条，通过各级网站发布安全生产工作动态和安全知识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85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条。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b/>
          <w:bCs/>
          <w:color w:val="22222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22222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b/>
          <w:bCs/>
          <w:color w:val="222222"/>
          <w:sz w:val="32"/>
          <w:szCs w:val="32"/>
        </w:rPr>
        <w:t>社会保障工作</w:t>
      </w:r>
    </w:p>
    <w:p w:rsidR="005A010E" w:rsidRDefault="005A010E">
      <w:pPr>
        <w:pStyle w:val="NormalWeb"/>
        <w:spacing w:before="0" w:beforeAutospacing="0" w:after="0" w:afterAutospacing="0"/>
        <w:ind w:firstLine="645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按照全市统一要求，积极抓好社保服务工作，建设综合信息化服务平台，提高服务效率和网办效率，配合做好整体联动服务。在青岛市一体化政府采购交易平台公布采购信息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46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条，在区政务网站发布政策宣传、服务电话公布等信息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条。</w:t>
      </w:r>
    </w:p>
    <w:p w:rsidR="005A010E" w:rsidRDefault="005A010E">
      <w:pPr>
        <w:pStyle w:val="NormalWeb"/>
        <w:spacing w:before="0" w:beforeAutospacing="0" w:after="0" w:afterAutospacing="0"/>
        <w:ind w:firstLine="645"/>
        <w:rPr>
          <w:rFonts w:ascii="楷体" w:eastAsia="楷体" w:hAnsi="楷体" w:cs="楷体"/>
          <w:b/>
          <w:bCs/>
          <w:color w:val="22222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222222"/>
          <w:sz w:val="32"/>
          <w:szCs w:val="32"/>
        </w:rPr>
        <w:t>（二）依申请公开</w:t>
      </w:r>
    </w:p>
    <w:p w:rsidR="005A010E" w:rsidRDefault="005A010E">
      <w:pPr>
        <w:pStyle w:val="NormalWeb"/>
        <w:spacing w:before="0" w:beforeAutospacing="0" w:after="0" w:afterAutospacing="0"/>
        <w:ind w:firstLine="645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本年度收到政府信息公开申请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条，均在期限内答复，其中予以公开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条、属过程信息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条、属行政查询事项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条、不属于本机关信息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条。</w:t>
      </w:r>
    </w:p>
    <w:p w:rsidR="005A010E" w:rsidRDefault="005A010E">
      <w:pPr>
        <w:pStyle w:val="NormalWeb"/>
        <w:spacing w:before="0" w:beforeAutospacing="0" w:after="0" w:afterAutospacing="0"/>
        <w:ind w:firstLine="645"/>
        <w:rPr>
          <w:rFonts w:ascii="楷体" w:eastAsia="楷体" w:hAnsi="楷体" w:cs="楷体"/>
          <w:b/>
          <w:bCs/>
          <w:color w:val="22222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222222"/>
          <w:sz w:val="32"/>
          <w:szCs w:val="32"/>
        </w:rPr>
        <w:t>（三）回应社会关切以及互动交流情况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/>
          <w:color w:val="222222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年，共办理热线、政府信箱等转办单</w:t>
      </w:r>
      <w:r>
        <w:rPr>
          <w:rFonts w:ascii="仿宋_GB2312" w:eastAsia="仿宋_GB2312" w:hAnsi="仿宋_GB2312" w:cs="仿宋_GB2312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余条，处理市热线办急件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余件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涉及大宗商品、市场监管、劳动保障、建设环保等方面。形成《政务热线工作情况简报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份，《政务热线办理有关情况分析》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份，</w:t>
      </w:r>
      <w:r>
        <w:rPr>
          <w:rFonts w:ascii="仿宋" w:eastAsia="仿宋" w:hAnsi="仿宋" w:cs="仿宋" w:hint="eastAsia"/>
          <w:sz w:val="32"/>
          <w:szCs w:val="32"/>
        </w:rPr>
        <w:t>针对保税港区政务热线办理不满意情况进行专题分析，形成《青岛前湾保税港区政务热线办理不满意情况分析报告》，提出工作建议措施，不断提高工作质量。进一步完善《青岛保税港区政务热线办理规范》，提高热线办理工作质量。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 xml:space="preserve"> 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/>
          <w:color w:val="22222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按照全市部署要求，结合区域发展情况，选取群众关切的网络问政主题两个，回答问题数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个，问题通过率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，回答率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。</w:t>
      </w:r>
    </w:p>
    <w:p w:rsidR="005A010E" w:rsidRDefault="005A010E" w:rsidP="00DC7F53">
      <w:pPr>
        <w:pStyle w:val="NormalWeb"/>
        <w:spacing w:before="0" w:beforeAutospacing="0" w:after="0" w:afterAutospacing="0"/>
        <w:ind w:firstLineChars="250" w:firstLine="31680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/>
          <w:color w:val="22222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本年度我区未发生重大政务舆情事件。</w:t>
      </w:r>
    </w:p>
    <w:p w:rsidR="005A010E" w:rsidRDefault="005A010E" w:rsidP="00DC7F53">
      <w:pPr>
        <w:pStyle w:val="NormalWeb"/>
        <w:spacing w:before="0" w:beforeAutospacing="0" w:after="0" w:afterAutospacing="0"/>
        <w:ind w:firstLineChars="200" w:firstLine="31680"/>
        <w:rPr>
          <w:rFonts w:ascii="楷体" w:eastAsia="楷体" w:hAnsi="楷体" w:cs="楷体"/>
          <w:b/>
          <w:bCs/>
          <w:color w:val="22222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222222"/>
          <w:sz w:val="32"/>
          <w:szCs w:val="32"/>
        </w:rPr>
        <w:t>（四）平台建设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22222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按照全市政务信息系统整合共享的统一部署，管理我区政务新媒体并进行备案，对政务新媒体账号开设、变更、关停、注销等进行集中管理。</w:t>
      </w:r>
    </w:p>
    <w:p w:rsidR="005A010E" w:rsidRDefault="005A010E" w:rsidP="00DC7F53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制定并发布《青岛前湾保税港区政务网站及政务新媒体信息发布管理办法》，严格账号密码的安全管理、建立监测预警和应急处置，加强信息发布管理。</w:t>
      </w:r>
    </w:p>
    <w:p w:rsidR="005A010E" w:rsidRDefault="005A010E" w:rsidP="00DC7F53">
      <w:pPr>
        <w:snapToGrid w:val="0"/>
        <w:spacing w:line="560" w:lineRule="exact"/>
        <w:ind w:firstLineChars="200" w:firstLine="3168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二、主动公开政府信息情况</w:t>
      </w:r>
    </w:p>
    <w:p w:rsidR="005A010E" w:rsidRDefault="005A010E">
      <w:pPr>
        <w:snapToGrid w:val="0"/>
        <w:spacing w:line="220" w:lineRule="exact"/>
        <w:jc w:val="left"/>
        <w:rPr>
          <w:rFonts w:ascii="黑体" w:eastAsia="黑体" w:hAnsi="黑体"/>
          <w:color w:val="000000"/>
          <w:sz w:val="16"/>
          <w:szCs w:val="16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0"/>
        <w:gridCol w:w="2098"/>
        <w:gridCol w:w="2133"/>
        <w:gridCol w:w="2268"/>
      </w:tblGrid>
      <w:tr w:rsidR="005A010E" w:rsidRPr="00067F85">
        <w:trPr>
          <w:trHeight w:val="495"/>
          <w:jc w:val="center"/>
        </w:trPr>
        <w:tc>
          <w:tcPr>
            <w:tcW w:w="9039" w:type="dxa"/>
            <w:gridSpan w:val="4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第二十条第（一）项</w:t>
            </w:r>
          </w:p>
        </w:tc>
      </w:tr>
      <w:tr w:rsidR="005A010E" w:rsidRPr="00067F85">
        <w:trPr>
          <w:trHeight w:val="544"/>
          <w:jc w:val="center"/>
        </w:trPr>
        <w:tc>
          <w:tcPr>
            <w:tcW w:w="2540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本年新制作数量</w:t>
            </w:r>
          </w:p>
        </w:tc>
        <w:tc>
          <w:tcPr>
            <w:tcW w:w="2133" w:type="dxa"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本年新公开数量</w:t>
            </w:r>
          </w:p>
        </w:tc>
        <w:tc>
          <w:tcPr>
            <w:tcW w:w="226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对外公开总数量</w:t>
            </w:r>
          </w:p>
        </w:tc>
      </w:tr>
      <w:tr w:rsidR="005A010E" w:rsidRPr="00067F85">
        <w:trPr>
          <w:trHeight w:val="523"/>
          <w:jc w:val="center"/>
        </w:trPr>
        <w:tc>
          <w:tcPr>
            <w:tcW w:w="2540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规章</w:t>
            </w:r>
          </w:p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（市政府令）</w:t>
            </w:r>
          </w:p>
        </w:tc>
        <w:tc>
          <w:tcPr>
            <w:tcW w:w="209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0</w:t>
            </w:r>
          </w:p>
        </w:tc>
        <w:tc>
          <w:tcPr>
            <w:tcW w:w="2133" w:type="dxa"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0</w:t>
            </w:r>
          </w:p>
        </w:tc>
      </w:tr>
      <w:tr w:rsidR="005A010E" w:rsidRPr="00067F85">
        <w:trPr>
          <w:trHeight w:val="471"/>
          <w:jc w:val="center"/>
        </w:trPr>
        <w:tc>
          <w:tcPr>
            <w:tcW w:w="2540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规范性文件</w:t>
            </w:r>
          </w:p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（有规范性文件登记号）</w:t>
            </w:r>
          </w:p>
        </w:tc>
        <w:tc>
          <w:tcPr>
            <w:tcW w:w="209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0</w:t>
            </w:r>
          </w:p>
        </w:tc>
        <w:tc>
          <w:tcPr>
            <w:tcW w:w="2133" w:type="dxa"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0</w:t>
            </w:r>
          </w:p>
        </w:tc>
      </w:tr>
      <w:tr w:rsidR="005A010E" w:rsidRPr="00067F85">
        <w:trPr>
          <w:trHeight w:val="480"/>
          <w:jc w:val="center"/>
        </w:trPr>
        <w:tc>
          <w:tcPr>
            <w:tcW w:w="9039" w:type="dxa"/>
            <w:gridSpan w:val="4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第二十条第（五）项</w:t>
            </w:r>
          </w:p>
        </w:tc>
      </w:tr>
      <w:tr w:rsidR="005A010E" w:rsidRPr="00067F85">
        <w:trPr>
          <w:trHeight w:val="545"/>
          <w:jc w:val="center"/>
        </w:trPr>
        <w:tc>
          <w:tcPr>
            <w:tcW w:w="2540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上一年项目数量</w:t>
            </w:r>
          </w:p>
        </w:tc>
        <w:tc>
          <w:tcPr>
            <w:tcW w:w="2133" w:type="dxa"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本年增</w:t>
            </w:r>
            <w:r w:rsidRPr="00067F85">
              <w:rPr>
                <w:rFonts w:ascii="黑体" w:eastAsia="黑体" w:hAnsi="黑体"/>
                <w:sz w:val="22"/>
              </w:rPr>
              <w:t>/</w:t>
            </w:r>
            <w:r w:rsidRPr="00067F85">
              <w:rPr>
                <w:rFonts w:ascii="黑体" w:eastAsia="黑体" w:hAnsi="黑体" w:hint="eastAsia"/>
                <w:sz w:val="22"/>
              </w:rPr>
              <w:t>减</w:t>
            </w:r>
          </w:p>
        </w:tc>
        <w:tc>
          <w:tcPr>
            <w:tcW w:w="226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处理决定数量</w:t>
            </w:r>
          </w:p>
        </w:tc>
      </w:tr>
      <w:tr w:rsidR="005A010E" w:rsidRPr="00067F85">
        <w:trPr>
          <w:trHeight w:val="528"/>
          <w:jc w:val="center"/>
        </w:trPr>
        <w:tc>
          <w:tcPr>
            <w:tcW w:w="2540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行政许可</w:t>
            </w:r>
          </w:p>
        </w:tc>
        <w:tc>
          <w:tcPr>
            <w:tcW w:w="209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5469</w:t>
            </w:r>
          </w:p>
        </w:tc>
        <w:tc>
          <w:tcPr>
            <w:tcW w:w="2133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223</w:t>
            </w:r>
          </w:p>
        </w:tc>
        <w:tc>
          <w:tcPr>
            <w:tcW w:w="226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5228</w:t>
            </w:r>
          </w:p>
        </w:tc>
      </w:tr>
      <w:tr w:rsidR="005A010E" w:rsidRPr="00067F85">
        <w:trPr>
          <w:trHeight w:val="550"/>
          <w:jc w:val="center"/>
        </w:trPr>
        <w:tc>
          <w:tcPr>
            <w:tcW w:w="2540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其他对外管理服务事项</w:t>
            </w:r>
          </w:p>
        </w:tc>
        <w:tc>
          <w:tcPr>
            <w:tcW w:w="209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30</w:t>
            </w:r>
          </w:p>
        </w:tc>
        <w:tc>
          <w:tcPr>
            <w:tcW w:w="2133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0</w:t>
            </w:r>
          </w:p>
        </w:tc>
      </w:tr>
      <w:tr w:rsidR="005A010E" w:rsidRPr="00067F85">
        <w:trPr>
          <w:trHeight w:val="406"/>
          <w:jc w:val="center"/>
        </w:trPr>
        <w:tc>
          <w:tcPr>
            <w:tcW w:w="9039" w:type="dxa"/>
            <w:gridSpan w:val="4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第二十条第（六）项</w:t>
            </w:r>
          </w:p>
        </w:tc>
      </w:tr>
      <w:tr w:rsidR="005A010E" w:rsidRPr="00067F85">
        <w:trPr>
          <w:trHeight w:val="531"/>
          <w:jc w:val="center"/>
        </w:trPr>
        <w:tc>
          <w:tcPr>
            <w:tcW w:w="2540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上一年项目数量</w:t>
            </w:r>
          </w:p>
        </w:tc>
        <w:tc>
          <w:tcPr>
            <w:tcW w:w="2133" w:type="dxa"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本年增</w:t>
            </w:r>
            <w:r w:rsidRPr="00067F85">
              <w:rPr>
                <w:rFonts w:ascii="黑体" w:eastAsia="黑体" w:hAnsi="黑体"/>
                <w:sz w:val="22"/>
              </w:rPr>
              <w:t>/</w:t>
            </w:r>
            <w:r w:rsidRPr="00067F85">
              <w:rPr>
                <w:rFonts w:ascii="黑体" w:eastAsia="黑体" w:hAnsi="黑体" w:hint="eastAsia"/>
                <w:sz w:val="22"/>
              </w:rPr>
              <w:t>减</w:t>
            </w:r>
          </w:p>
        </w:tc>
        <w:tc>
          <w:tcPr>
            <w:tcW w:w="226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处理决定数量</w:t>
            </w:r>
          </w:p>
        </w:tc>
      </w:tr>
      <w:tr w:rsidR="005A010E" w:rsidRPr="00067F85">
        <w:trPr>
          <w:trHeight w:val="430"/>
          <w:jc w:val="center"/>
        </w:trPr>
        <w:tc>
          <w:tcPr>
            <w:tcW w:w="2540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行政处罚</w:t>
            </w:r>
          </w:p>
        </w:tc>
        <w:tc>
          <w:tcPr>
            <w:tcW w:w="209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36</w:t>
            </w:r>
          </w:p>
        </w:tc>
        <w:tc>
          <w:tcPr>
            <w:tcW w:w="2133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17</w:t>
            </w:r>
          </w:p>
        </w:tc>
      </w:tr>
      <w:tr w:rsidR="005A010E" w:rsidRPr="00067F85">
        <w:trPr>
          <w:trHeight w:val="409"/>
          <w:jc w:val="center"/>
        </w:trPr>
        <w:tc>
          <w:tcPr>
            <w:tcW w:w="2540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行政强制</w:t>
            </w:r>
          </w:p>
        </w:tc>
        <w:tc>
          <w:tcPr>
            <w:tcW w:w="209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1</w:t>
            </w:r>
          </w:p>
        </w:tc>
        <w:tc>
          <w:tcPr>
            <w:tcW w:w="2133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0</w:t>
            </w:r>
          </w:p>
        </w:tc>
      </w:tr>
      <w:tr w:rsidR="005A010E" w:rsidRPr="00067F85">
        <w:trPr>
          <w:trHeight w:val="474"/>
          <w:jc w:val="center"/>
        </w:trPr>
        <w:tc>
          <w:tcPr>
            <w:tcW w:w="9039" w:type="dxa"/>
            <w:gridSpan w:val="4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第二十条第（八）项</w:t>
            </w:r>
          </w:p>
        </w:tc>
      </w:tr>
      <w:tr w:rsidR="005A010E" w:rsidRPr="00067F85">
        <w:trPr>
          <w:trHeight w:val="270"/>
          <w:jc w:val="center"/>
        </w:trPr>
        <w:tc>
          <w:tcPr>
            <w:tcW w:w="2540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上一年项目数量</w:t>
            </w:r>
          </w:p>
        </w:tc>
        <w:tc>
          <w:tcPr>
            <w:tcW w:w="4401" w:type="dxa"/>
            <w:gridSpan w:val="2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本年增</w:t>
            </w:r>
            <w:r w:rsidRPr="00067F85">
              <w:rPr>
                <w:rFonts w:ascii="黑体" w:eastAsia="黑体" w:hAnsi="黑体"/>
                <w:sz w:val="22"/>
              </w:rPr>
              <w:t>/</w:t>
            </w:r>
            <w:r w:rsidRPr="00067F85">
              <w:rPr>
                <w:rFonts w:ascii="黑体" w:eastAsia="黑体" w:hAnsi="黑体" w:hint="eastAsia"/>
                <w:sz w:val="22"/>
              </w:rPr>
              <w:t>减</w:t>
            </w:r>
          </w:p>
        </w:tc>
      </w:tr>
      <w:tr w:rsidR="005A010E" w:rsidRPr="00067F85">
        <w:trPr>
          <w:trHeight w:val="551"/>
          <w:jc w:val="center"/>
        </w:trPr>
        <w:tc>
          <w:tcPr>
            <w:tcW w:w="2540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行政事业性收费</w:t>
            </w:r>
          </w:p>
        </w:tc>
        <w:tc>
          <w:tcPr>
            <w:tcW w:w="209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0</w:t>
            </w:r>
          </w:p>
        </w:tc>
        <w:tc>
          <w:tcPr>
            <w:tcW w:w="4401" w:type="dxa"/>
            <w:gridSpan w:val="2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0</w:t>
            </w:r>
          </w:p>
        </w:tc>
      </w:tr>
      <w:tr w:rsidR="005A010E" w:rsidRPr="00067F85">
        <w:trPr>
          <w:trHeight w:val="476"/>
          <w:jc w:val="center"/>
        </w:trPr>
        <w:tc>
          <w:tcPr>
            <w:tcW w:w="9039" w:type="dxa"/>
            <w:gridSpan w:val="4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第二十条第（九）项</w:t>
            </w:r>
          </w:p>
        </w:tc>
      </w:tr>
      <w:tr w:rsidR="005A010E" w:rsidRPr="00067F85">
        <w:trPr>
          <w:trHeight w:val="585"/>
          <w:jc w:val="center"/>
        </w:trPr>
        <w:tc>
          <w:tcPr>
            <w:tcW w:w="2540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采购项目数量</w:t>
            </w:r>
          </w:p>
        </w:tc>
        <w:tc>
          <w:tcPr>
            <w:tcW w:w="4401" w:type="dxa"/>
            <w:gridSpan w:val="2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采购总金额</w:t>
            </w:r>
            <w:r>
              <w:rPr>
                <w:rFonts w:ascii="黑体" w:eastAsia="黑体" w:hAnsi="黑体" w:hint="eastAsia"/>
                <w:sz w:val="22"/>
              </w:rPr>
              <w:t>（万元）</w:t>
            </w:r>
          </w:p>
        </w:tc>
      </w:tr>
      <w:tr w:rsidR="005A010E" w:rsidRPr="00067F85">
        <w:trPr>
          <w:trHeight w:val="539"/>
          <w:jc w:val="center"/>
        </w:trPr>
        <w:tc>
          <w:tcPr>
            <w:tcW w:w="2540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政府集中采购</w:t>
            </w:r>
          </w:p>
        </w:tc>
        <w:tc>
          <w:tcPr>
            <w:tcW w:w="2098" w:type="dxa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597</w:t>
            </w:r>
          </w:p>
        </w:tc>
        <w:tc>
          <w:tcPr>
            <w:tcW w:w="4401" w:type="dxa"/>
            <w:gridSpan w:val="2"/>
            <w:noWrap/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1098.26</w:t>
            </w:r>
          </w:p>
        </w:tc>
      </w:tr>
    </w:tbl>
    <w:p w:rsidR="005A010E" w:rsidRDefault="005A010E">
      <w:pPr>
        <w:snapToGri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　　三、收到和处理政府信息公开申请情况</w:t>
      </w:r>
    </w:p>
    <w:p w:rsidR="005A010E" w:rsidRDefault="005A010E">
      <w:pPr>
        <w:snapToGrid w:val="0"/>
        <w:spacing w:line="22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6"/>
        <w:gridCol w:w="876"/>
        <w:gridCol w:w="2060"/>
        <w:gridCol w:w="809"/>
        <w:gridCol w:w="750"/>
        <w:gridCol w:w="750"/>
        <w:gridCol w:w="807"/>
        <w:gridCol w:w="964"/>
        <w:gridCol w:w="707"/>
        <w:gridCol w:w="692"/>
      </w:tblGrid>
      <w:tr w:rsidR="005A010E" w:rsidRPr="00067F85">
        <w:trPr>
          <w:jc w:val="center"/>
        </w:trPr>
        <w:tc>
          <w:tcPr>
            <w:tcW w:w="35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（本列数据的勾稽关系为：第一项加第二项之和，等于第三项加第四项之和）</w:t>
            </w:r>
          </w:p>
        </w:tc>
        <w:tc>
          <w:tcPr>
            <w:tcW w:w="54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申请人情况</w:t>
            </w:r>
          </w:p>
        </w:tc>
      </w:tr>
      <w:tr w:rsidR="005A010E" w:rsidRPr="00067F85">
        <w:trPr>
          <w:jc w:val="center"/>
        </w:trPr>
        <w:tc>
          <w:tcPr>
            <w:tcW w:w="35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自然人</w:t>
            </w:r>
          </w:p>
        </w:tc>
        <w:tc>
          <w:tcPr>
            <w:tcW w:w="39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总计</w:t>
            </w:r>
          </w:p>
        </w:tc>
      </w:tr>
      <w:tr w:rsidR="005A010E" w:rsidRPr="00067F85">
        <w:trPr>
          <w:jc w:val="center"/>
        </w:trPr>
        <w:tc>
          <w:tcPr>
            <w:tcW w:w="35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科研机构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社会公益组织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法律服务机构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其他</w:t>
            </w:r>
          </w:p>
        </w:tc>
        <w:tc>
          <w:tcPr>
            <w:tcW w:w="6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</w:tr>
      <w:tr w:rsidR="005A010E" w:rsidRPr="00067F85">
        <w:trPr>
          <w:jc w:val="center"/>
        </w:trPr>
        <w:tc>
          <w:tcPr>
            <w:tcW w:w="35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一、本年新收政府信息公开申请数量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0 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11</w:t>
            </w:r>
          </w:p>
        </w:tc>
      </w:tr>
      <w:tr w:rsidR="005A010E" w:rsidRPr="00067F85">
        <w:trPr>
          <w:jc w:val="center"/>
        </w:trPr>
        <w:tc>
          <w:tcPr>
            <w:tcW w:w="35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二、上年结转政府信息公开申请数量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三、本年度办理结果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（一）予以公开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0 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3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（二）部分公开（区分处理的，只计这一情形，不计其他情形）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（三）不予公开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1.</w:t>
            </w:r>
            <w:r w:rsidRPr="00067F85">
              <w:rPr>
                <w:rFonts w:ascii="黑体" w:eastAsia="黑体" w:hAnsi="黑体" w:hint="eastAsia"/>
                <w:sz w:val="22"/>
              </w:rPr>
              <w:t>属于国家秘密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2.</w:t>
            </w:r>
            <w:r w:rsidRPr="00067F85">
              <w:rPr>
                <w:rFonts w:ascii="黑体" w:eastAsia="黑体" w:hAnsi="黑体" w:hint="eastAsia"/>
                <w:sz w:val="22"/>
              </w:rPr>
              <w:t>其他法律行政法规禁止公开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3.</w:t>
            </w:r>
            <w:r w:rsidRPr="00067F85">
              <w:rPr>
                <w:rFonts w:ascii="黑体" w:eastAsia="黑体" w:hAnsi="黑体" w:hint="eastAsia"/>
                <w:sz w:val="22"/>
              </w:rPr>
              <w:t>危及“三安全一稳定”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4.</w:t>
            </w:r>
            <w:r w:rsidRPr="00067F85">
              <w:rPr>
                <w:rFonts w:ascii="黑体" w:eastAsia="黑体" w:hAnsi="黑体" w:hint="eastAsia"/>
                <w:sz w:val="22"/>
              </w:rPr>
              <w:t>保护第三方合法权益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5.</w:t>
            </w:r>
            <w:r w:rsidRPr="00067F85">
              <w:rPr>
                <w:rFonts w:ascii="黑体" w:eastAsia="黑体" w:hAnsi="黑体" w:hint="eastAsia"/>
                <w:sz w:val="22"/>
              </w:rPr>
              <w:t>属于三类内部事务信息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6.</w:t>
            </w:r>
            <w:r w:rsidRPr="00067F85">
              <w:rPr>
                <w:rFonts w:ascii="黑体" w:eastAsia="黑体" w:hAnsi="黑体" w:hint="eastAsia"/>
                <w:sz w:val="22"/>
              </w:rPr>
              <w:t>属于四类过程性信息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1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7.</w:t>
            </w:r>
            <w:r w:rsidRPr="00067F85">
              <w:rPr>
                <w:rFonts w:ascii="黑体" w:eastAsia="黑体" w:hAnsi="黑体" w:hint="eastAsia"/>
                <w:sz w:val="22"/>
              </w:rPr>
              <w:t>属于行政执法案卷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8.</w:t>
            </w:r>
            <w:r w:rsidRPr="00067F85">
              <w:rPr>
                <w:rFonts w:ascii="黑体" w:eastAsia="黑体" w:hAnsi="黑体" w:hint="eastAsia"/>
                <w:sz w:val="22"/>
              </w:rPr>
              <w:t>属于行政查询事项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1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（四）无法提供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1.</w:t>
            </w:r>
            <w:r w:rsidRPr="00067F85">
              <w:rPr>
                <w:rFonts w:ascii="黑体" w:eastAsia="黑体" w:hAnsi="黑体" w:hint="eastAsia"/>
                <w:sz w:val="22"/>
              </w:rPr>
              <w:t>本机关不掌握相关政府信息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6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2.</w:t>
            </w:r>
            <w:r w:rsidRPr="00067F85">
              <w:rPr>
                <w:rFonts w:ascii="黑体" w:eastAsia="黑体" w:hAnsi="黑体" w:hint="eastAsia"/>
                <w:sz w:val="22"/>
              </w:rPr>
              <w:t>没有现成信息需要另行制作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3.</w:t>
            </w:r>
            <w:r w:rsidRPr="00067F85">
              <w:rPr>
                <w:rFonts w:ascii="黑体" w:eastAsia="黑体" w:hAnsi="黑体" w:hint="eastAsia"/>
                <w:sz w:val="22"/>
              </w:rPr>
              <w:t>补正后申请内容仍不明确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（五）不予处理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1.</w:t>
            </w:r>
            <w:r w:rsidRPr="00067F85">
              <w:rPr>
                <w:rFonts w:ascii="黑体" w:eastAsia="黑体" w:hAnsi="黑体" w:hint="eastAsia"/>
                <w:sz w:val="22"/>
              </w:rPr>
              <w:t>信访举报投诉类申请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2.</w:t>
            </w:r>
            <w:r w:rsidRPr="00067F85">
              <w:rPr>
                <w:rFonts w:ascii="黑体" w:eastAsia="黑体" w:hAnsi="黑体" w:hint="eastAsia"/>
                <w:sz w:val="22"/>
              </w:rPr>
              <w:t>重复申请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3.</w:t>
            </w:r>
            <w:r w:rsidRPr="00067F85">
              <w:rPr>
                <w:rFonts w:ascii="黑体" w:eastAsia="黑体" w:hAnsi="黑体" w:hint="eastAsia"/>
                <w:sz w:val="22"/>
              </w:rPr>
              <w:t>要求提供公开出版物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4.</w:t>
            </w:r>
            <w:r w:rsidRPr="00067F85">
              <w:rPr>
                <w:rFonts w:ascii="黑体" w:eastAsia="黑体" w:hAnsi="黑体" w:hint="eastAsia"/>
                <w:sz w:val="22"/>
              </w:rPr>
              <w:t>无正当理由大量反复申请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5.</w:t>
            </w:r>
            <w:r w:rsidRPr="00067F85">
              <w:rPr>
                <w:rFonts w:ascii="黑体" w:eastAsia="黑体" w:hAnsi="黑体" w:hint="eastAsia"/>
                <w:sz w:val="22"/>
              </w:rPr>
              <w:t>要求行政机关确认或重新出具已获取信息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（六）其他处理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</w:tr>
      <w:tr w:rsidR="005A010E" w:rsidRPr="00067F85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（七）总计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11</w:t>
            </w:r>
          </w:p>
        </w:tc>
      </w:tr>
      <w:tr w:rsidR="005A010E" w:rsidRPr="00067F85">
        <w:trPr>
          <w:jc w:val="center"/>
        </w:trPr>
        <w:tc>
          <w:tcPr>
            <w:tcW w:w="35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四、结转下年度继续办理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</w:tr>
    </w:tbl>
    <w:p w:rsidR="005A010E" w:rsidRDefault="005A010E">
      <w:pPr>
        <w:snapToGrid w:val="0"/>
        <w:spacing w:line="420" w:lineRule="exact"/>
        <w:jc w:val="left"/>
        <w:rPr>
          <w:rFonts w:ascii="仿宋_GB2312" w:eastAsia="仿宋_GB2312" w:hAnsi="宋体" w:cs="宋体"/>
          <w:color w:val="333333"/>
          <w:kern w:val="0"/>
          <w:sz w:val="22"/>
          <w:shd w:val="clear" w:color="auto" w:fill="FFFFFF"/>
        </w:rPr>
      </w:pPr>
      <w:r>
        <w:rPr>
          <w:rFonts w:ascii="仿宋_GB2312" w:eastAsia="仿宋_GB2312" w:hAnsi="宋体" w:cs="宋体" w:hint="eastAsia"/>
          <w:color w:val="333333"/>
          <w:kern w:val="0"/>
          <w:sz w:val="22"/>
          <w:shd w:val="clear" w:color="auto" w:fill="FFFFFF"/>
        </w:rPr>
        <w:t xml:space="preserve">　　注：“其他处理”项目，主要是考虑新旧条例执行衔接以及极少数特殊情况。原则上，所有的政府信息公开申请，都应当按照法定的处理方式做出处理。</w:t>
      </w:r>
    </w:p>
    <w:p w:rsidR="005A010E" w:rsidRDefault="005A010E">
      <w:pPr>
        <w:snapToGri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 xml:space="preserve">    </w:t>
      </w:r>
      <w:r>
        <w:rPr>
          <w:rFonts w:ascii="黑体" w:eastAsia="黑体" w:hAnsi="黑体" w:hint="eastAsia"/>
          <w:color w:val="000000"/>
          <w:sz w:val="32"/>
          <w:szCs w:val="32"/>
        </w:rPr>
        <w:t>四、政府信息公开行政复议、行政诉讼情况</w:t>
      </w:r>
    </w:p>
    <w:p w:rsidR="005A010E" w:rsidRDefault="005A010E">
      <w:pPr>
        <w:snapToGrid w:val="0"/>
        <w:spacing w:line="22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A010E" w:rsidRPr="00067F8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行政诉讼</w:t>
            </w:r>
          </w:p>
        </w:tc>
      </w:tr>
      <w:tr w:rsidR="005A010E" w:rsidRPr="00067F8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复议后起诉</w:t>
            </w:r>
          </w:p>
        </w:tc>
      </w:tr>
      <w:tr w:rsidR="005A010E" w:rsidRPr="00067F85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jc w:val="center"/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 w:hint="eastAsia"/>
                <w:sz w:val="22"/>
              </w:rPr>
              <w:t>总计</w:t>
            </w:r>
          </w:p>
        </w:tc>
      </w:tr>
      <w:tr w:rsidR="005A010E" w:rsidRPr="00067F8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eastAsia="黑体"/>
                <w:sz w:val="22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A010E" w:rsidRPr="00067F85" w:rsidRDefault="005A010E">
            <w:pPr>
              <w:rPr>
                <w:rFonts w:ascii="黑体" w:eastAsia="黑体" w:hAnsi="黑体"/>
                <w:sz w:val="22"/>
              </w:rPr>
            </w:pPr>
            <w:r w:rsidRPr="00067F85">
              <w:rPr>
                <w:rFonts w:ascii="黑体" w:eastAsia="黑体" w:hAnsi="黑体"/>
                <w:sz w:val="22"/>
              </w:rPr>
              <w:t>0</w:t>
            </w:r>
          </w:p>
        </w:tc>
      </w:tr>
    </w:tbl>
    <w:p w:rsidR="005A010E" w:rsidRDefault="005A010E">
      <w:pPr>
        <w:pStyle w:val="NormalWeb"/>
        <w:shd w:val="clear" w:color="auto" w:fill="FFFFFF"/>
        <w:spacing w:beforeAutospacing="0" w:afterAutospacing="0"/>
        <w:jc w:val="both"/>
        <w:rPr>
          <w:rFonts w:ascii="仿宋_GB2312" w:eastAsia="仿宋_GB2312"/>
          <w:color w:val="333333"/>
          <w:sz w:val="22"/>
          <w:szCs w:val="22"/>
          <w:shd w:val="clear" w:color="auto" w:fill="FFFFFF"/>
        </w:rPr>
      </w:pPr>
      <w:r>
        <w:rPr>
          <w:rFonts w:ascii="仿宋_GB2312" w:eastAsia="仿宋_GB2312"/>
          <w:color w:val="333333"/>
          <w:kern w:val="2"/>
          <w:sz w:val="20"/>
          <w:szCs w:val="20"/>
        </w:rPr>
        <w:t xml:space="preserve">    </w:t>
      </w:r>
      <w:r>
        <w:rPr>
          <w:rFonts w:ascii="仿宋_GB2312" w:eastAsia="仿宋_GB2312" w:hint="eastAsia"/>
          <w:color w:val="333333"/>
          <w:sz w:val="22"/>
          <w:szCs w:val="22"/>
          <w:shd w:val="clear" w:color="auto" w:fill="FFFFFF"/>
        </w:rPr>
        <w:t>注：行政复议机关作为共同被告的行政诉讼案件，只计算原行为主体的案件数量，不计算行政复议机关的案件数量。</w:t>
      </w:r>
    </w:p>
    <w:p w:rsidR="005A010E" w:rsidRDefault="005A010E">
      <w:pPr>
        <w:pStyle w:val="NormalWeb"/>
        <w:spacing w:before="0" w:beforeAutospacing="0" w:after="0" w:afterAutospacing="0"/>
        <w:ind w:firstLine="645"/>
        <w:rPr>
          <w:rFonts w:ascii="黑体" w:eastAsia="黑体" w:hAnsi="黑体" w:cs="仿宋_GB2312"/>
          <w:color w:val="222222"/>
          <w:sz w:val="32"/>
          <w:szCs w:val="32"/>
        </w:rPr>
      </w:pPr>
      <w:r>
        <w:rPr>
          <w:rFonts w:ascii="黑体" w:eastAsia="黑体" w:hAnsi="黑体" w:cs="仿宋_GB2312" w:hint="eastAsia"/>
          <w:color w:val="222222"/>
          <w:sz w:val="32"/>
          <w:szCs w:val="32"/>
        </w:rPr>
        <w:t>五、工作存在的主要问题和改进措施</w:t>
      </w:r>
    </w:p>
    <w:p w:rsidR="005A010E" w:rsidRDefault="005A010E">
      <w:pPr>
        <w:pStyle w:val="NormalWeb"/>
        <w:spacing w:before="0" w:beforeAutospacing="0" w:after="0" w:afterAutospacing="0"/>
        <w:ind w:firstLine="645"/>
        <w:rPr>
          <w:rFonts w:ascii="楷体" w:eastAsia="楷体" w:hAnsi="楷体" w:cs="楷体"/>
          <w:b/>
          <w:bCs/>
          <w:color w:val="22222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222222"/>
          <w:sz w:val="32"/>
          <w:szCs w:val="32"/>
        </w:rPr>
        <w:t>（一）存在问题</w:t>
      </w:r>
    </w:p>
    <w:p w:rsidR="005A010E" w:rsidRDefault="005A010E">
      <w:pPr>
        <w:pStyle w:val="NormalWeb"/>
        <w:spacing w:before="0" w:beforeAutospacing="0" w:after="0" w:afterAutospacing="0"/>
        <w:ind w:firstLine="645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一是政策解读方面做得还不够全面</w:t>
      </w:r>
      <w:r>
        <w:rPr>
          <w:rFonts w:ascii="仿宋_GB2312" w:eastAsia="仿宋_GB2312" w:hAnsi="仿宋_GB2312" w:cs="仿宋_GB2312"/>
          <w:color w:val="22222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个别部门缺乏主动解读政策意识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。二是人员业务水平有待提高，因各部门工作人员都是兼职，工作任务重，人员调动多，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部分信息公开不够及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时，工作缺乏连贯性。</w:t>
      </w:r>
    </w:p>
    <w:p w:rsidR="005A010E" w:rsidRDefault="005A010E">
      <w:pPr>
        <w:pStyle w:val="NormalWeb"/>
        <w:spacing w:before="0" w:beforeAutospacing="0" w:after="0" w:afterAutospacing="0"/>
        <w:ind w:firstLine="645"/>
        <w:rPr>
          <w:rFonts w:ascii="楷体" w:eastAsia="楷体" w:hAnsi="楷体" w:cs="楷体"/>
          <w:b/>
          <w:bCs/>
          <w:color w:val="22222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222222"/>
          <w:sz w:val="32"/>
          <w:szCs w:val="32"/>
        </w:rPr>
        <w:t>（二）改进措施</w:t>
      </w:r>
    </w:p>
    <w:p w:rsidR="005A010E" w:rsidRDefault="005A010E" w:rsidP="00DC7F53">
      <w:pPr>
        <w:pStyle w:val="NormalWeb"/>
        <w:spacing w:before="0" w:beforeAutospacing="0" w:after="0" w:afterAutospacing="0"/>
        <w:ind w:firstLineChars="200" w:firstLine="3168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一是从发文源头把关，加强政策解读工作。将政府公开条例和政策文件中对政策解读的要求发给职能部门，增强解读意识；二是进行业务培训，本年度组织管委各部门负责人和政务公开工作人员培训两次，强化全员政务公开意识，提高业务水平；三是健全信息公开保障制度，简化流程，提高效率，加强重点领域信息公开。</w:t>
      </w:r>
    </w:p>
    <w:p w:rsidR="005A010E" w:rsidRDefault="005A010E">
      <w:pPr>
        <w:rPr>
          <w:color w:val="FF0000"/>
        </w:rPr>
      </w:pPr>
    </w:p>
    <w:p w:rsidR="005A010E" w:rsidRDefault="005A010E">
      <w:pPr>
        <w:pStyle w:val="NormalWeb"/>
        <w:spacing w:before="0" w:beforeAutospacing="0" w:after="0" w:afterAutospacing="0"/>
        <w:ind w:firstLine="645"/>
        <w:rPr>
          <w:rFonts w:ascii="仿宋_GB2312" w:eastAsia="仿宋_GB2312" w:hAnsi="仿宋_GB2312" w:cs="仿宋_GB2312"/>
          <w:color w:val="222222"/>
          <w:sz w:val="32"/>
          <w:szCs w:val="32"/>
        </w:rPr>
      </w:pPr>
    </w:p>
    <w:p w:rsidR="005A010E" w:rsidRDefault="005A010E">
      <w:pPr>
        <w:pStyle w:val="NormalWeb"/>
        <w:spacing w:before="0" w:beforeAutospacing="0" w:after="0" w:afterAutospacing="0"/>
        <w:ind w:firstLine="645"/>
        <w:rPr>
          <w:color w:val="333333"/>
        </w:rPr>
      </w:pPr>
    </w:p>
    <w:p w:rsidR="005A010E" w:rsidRDefault="005A010E">
      <w:pPr>
        <w:pStyle w:val="NormalWeb"/>
        <w:spacing w:before="0" w:beforeAutospacing="0" w:after="0" w:afterAutospacing="0"/>
        <w:jc w:val="center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青岛前湾保税港区工委管委办公室</w:t>
      </w:r>
    </w:p>
    <w:p w:rsidR="005A010E" w:rsidRDefault="005A010E">
      <w:pPr>
        <w:pStyle w:val="NormalWeb"/>
        <w:spacing w:before="0" w:beforeAutospacing="0" w:after="0" w:afterAutospacing="0"/>
        <w:ind w:right="720"/>
        <w:jc w:val="center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              2020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</w:t>
      </w:r>
    </w:p>
    <w:sectPr w:rsidR="005A010E" w:rsidSect="00081D80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0E" w:rsidRDefault="005A010E">
      <w:r>
        <w:separator/>
      </w:r>
    </w:p>
  </w:endnote>
  <w:endnote w:type="continuationSeparator" w:id="0">
    <w:p w:rsidR="005A010E" w:rsidRDefault="005A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0E" w:rsidRDefault="005A010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-62.9pt;margin-top:0;width:14.15pt;height:11pt;z-index:251660288;visibility:visible;mso-wrap-style:none;mso-position-horizontal:outside;mso-position-horizontal-relative:margin" filled="f" stroked="f" strokeweight=".5pt">
          <v:textbox style="mso-fit-shape-to-text:t" inset="0,0,0,0">
            <w:txbxContent>
              <w:p w:rsidR="005A010E" w:rsidRDefault="005A010E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- 8 -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0E" w:rsidRDefault="005A010E">
      <w:r>
        <w:separator/>
      </w:r>
    </w:p>
  </w:footnote>
  <w:footnote w:type="continuationSeparator" w:id="0">
    <w:p w:rsidR="005A010E" w:rsidRDefault="005A0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DB1"/>
    <w:rsid w:val="00001C55"/>
    <w:rsid w:val="0000284A"/>
    <w:rsid w:val="000109EE"/>
    <w:rsid w:val="00020B94"/>
    <w:rsid w:val="0002377A"/>
    <w:rsid w:val="00036220"/>
    <w:rsid w:val="000403EC"/>
    <w:rsid w:val="00067F85"/>
    <w:rsid w:val="00081D80"/>
    <w:rsid w:val="000A2078"/>
    <w:rsid w:val="000A33B6"/>
    <w:rsid w:val="000A5F6F"/>
    <w:rsid w:val="000F12F0"/>
    <w:rsid w:val="000F317E"/>
    <w:rsid w:val="00101B21"/>
    <w:rsid w:val="00103F0D"/>
    <w:rsid w:val="00122ED7"/>
    <w:rsid w:val="001731E5"/>
    <w:rsid w:val="001871F9"/>
    <w:rsid w:val="001A5257"/>
    <w:rsid w:val="001A6BC6"/>
    <w:rsid w:val="001F5A9D"/>
    <w:rsid w:val="00210C92"/>
    <w:rsid w:val="0021176B"/>
    <w:rsid w:val="00216EFB"/>
    <w:rsid w:val="00221400"/>
    <w:rsid w:val="00224DB1"/>
    <w:rsid w:val="00230375"/>
    <w:rsid w:val="00240596"/>
    <w:rsid w:val="002654F5"/>
    <w:rsid w:val="00267AA7"/>
    <w:rsid w:val="00277FE0"/>
    <w:rsid w:val="002840DE"/>
    <w:rsid w:val="002A6BB2"/>
    <w:rsid w:val="002B59F8"/>
    <w:rsid w:val="002C793D"/>
    <w:rsid w:val="002E122C"/>
    <w:rsid w:val="002F612F"/>
    <w:rsid w:val="003039E7"/>
    <w:rsid w:val="003058A5"/>
    <w:rsid w:val="003178AF"/>
    <w:rsid w:val="003205F8"/>
    <w:rsid w:val="00341201"/>
    <w:rsid w:val="00362294"/>
    <w:rsid w:val="003B2D30"/>
    <w:rsid w:val="003F73C3"/>
    <w:rsid w:val="00404C8B"/>
    <w:rsid w:val="0044634A"/>
    <w:rsid w:val="00454151"/>
    <w:rsid w:val="004C156F"/>
    <w:rsid w:val="004E059D"/>
    <w:rsid w:val="004F3764"/>
    <w:rsid w:val="005209EC"/>
    <w:rsid w:val="005477A8"/>
    <w:rsid w:val="0055298C"/>
    <w:rsid w:val="00585A15"/>
    <w:rsid w:val="00592EF9"/>
    <w:rsid w:val="005A010E"/>
    <w:rsid w:val="005C12C7"/>
    <w:rsid w:val="005D1E4C"/>
    <w:rsid w:val="00623A34"/>
    <w:rsid w:val="006357DF"/>
    <w:rsid w:val="00651D1C"/>
    <w:rsid w:val="00692923"/>
    <w:rsid w:val="006A72A6"/>
    <w:rsid w:val="006B32F1"/>
    <w:rsid w:val="006E362B"/>
    <w:rsid w:val="006F11B0"/>
    <w:rsid w:val="00730E22"/>
    <w:rsid w:val="00760D6E"/>
    <w:rsid w:val="007A244B"/>
    <w:rsid w:val="007B51BF"/>
    <w:rsid w:val="007B649C"/>
    <w:rsid w:val="0081688D"/>
    <w:rsid w:val="0082599C"/>
    <w:rsid w:val="00833F08"/>
    <w:rsid w:val="00841B79"/>
    <w:rsid w:val="008654ED"/>
    <w:rsid w:val="008702E6"/>
    <w:rsid w:val="00881C1C"/>
    <w:rsid w:val="008820A4"/>
    <w:rsid w:val="00887EBD"/>
    <w:rsid w:val="008A3E3D"/>
    <w:rsid w:val="008C1A53"/>
    <w:rsid w:val="009024B5"/>
    <w:rsid w:val="009213BF"/>
    <w:rsid w:val="00932460"/>
    <w:rsid w:val="0093358A"/>
    <w:rsid w:val="00937AC1"/>
    <w:rsid w:val="00946515"/>
    <w:rsid w:val="009729EE"/>
    <w:rsid w:val="009751FE"/>
    <w:rsid w:val="009862A8"/>
    <w:rsid w:val="009B4A27"/>
    <w:rsid w:val="009F1C45"/>
    <w:rsid w:val="009F5376"/>
    <w:rsid w:val="00A50D71"/>
    <w:rsid w:val="00A51807"/>
    <w:rsid w:val="00A77467"/>
    <w:rsid w:val="00AB24AA"/>
    <w:rsid w:val="00AB71D1"/>
    <w:rsid w:val="00AD2321"/>
    <w:rsid w:val="00AD2EC8"/>
    <w:rsid w:val="00AD5208"/>
    <w:rsid w:val="00B16FF5"/>
    <w:rsid w:val="00B27890"/>
    <w:rsid w:val="00B3077E"/>
    <w:rsid w:val="00B466D4"/>
    <w:rsid w:val="00B60CFB"/>
    <w:rsid w:val="00B931AA"/>
    <w:rsid w:val="00B9602C"/>
    <w:rsid w:val="00B96398"/>
    <w:rsid w:val="00BA6207"/>
    <w:rsid w:val="00BB0574"/>
    <w:rsid w:val="00BD348D"/>
    <w:rsid w:val="00BF0954"/>
    <w:rsid w:val="00C16012"/>
    <w:rsid w:val="00C208CB"/>
    <w:rsid w:val="00C26D39"/>
    <w:rsid w:val="00C64C6C"/>
    <w:rsid w:val="00C672FB"/>
    <w:rsid w:val="00CA5BEC"/>
    <w:rsid w:val="00CB7272"/>
    <w:rsid w:val="00CC052F"/>
    <w:rsid w:val="00D12F26"/>
    <w:rsid w:val="00D1722E"/>
    <w:rsid w:val="00D4184D"/>
    <w:rsid w:val="00D41B31"/>
    <w:rsid w:val="00D42348"/>
    <w:rsid w:val="00D64AE9"/>
    <w:rsid w:val="00DC454C"/>
    <w:rsid w:val="00DC7F53"/>
    <w:rsid w:val="00DD191C"/>
    <w:rsid w:val="00DD7419"/>
    <w:rsid w:val="00DE13E9"/>
    <w:rsid w:val="00E000BA"/>
    <w:rsid w:val="00E07716"/>
    <w:rsid w:val="00E15184"/>
    <w:rsid w:val="00E17E50"/>
    <w:rsid w:val="00E327BA"/>
    <w:rsid w:val="00E6004E"/>
    <w:rsid w:val="00E6060C"/>
    <w:rsid w:val="00E705F6"/>
    <w:rsid w:val="00E76FBF"/>
    <w:rsid w:val="00E82F0A"/>
    <w:rsid w:val="00E84F81"/>
    <w:rsid w:val="00E92F49"/>
    <w:rsid w:val="00E93A3F"/>
    <w:rsid w:val="00EA6958"/>
    <w:rsid w:val="00EC7E15"/>
    <w:rsid w:val="00ED6820"/>
    <w:rsid w:val="00F21B00"/>
    <w:rsid w:val="00F82BA3"/>
    <w:rsid w:val="00FA33B4"/>
    <w:rsid w:val="00FA7DEB"/>
    <w:rsid w:val="02CE7B17"/>
    <w:rsid w:val="03817BF4"/>
    <w:rsid w:val="0F7314BE"/>
    <w:rsid w:val="134F65F5"/>
    <w:rsid w:val="17CA0D22"/>
    <w:rsid w:val="1E8307AA"/>
    <w:rsid w:val="22617C7D"/>
    <w:rsid w:val="27F32618"/>
    <w:rsid w:val="2CA96777"/>
    <w:rsid w:val="2CC21D49"/>
    <w:rsid w:val="31BC19FC"/>
    <w:rsid w:val="362C0F03"/>
    <w:rsid w:val="3CFD6C66"/>
    <w:rsid w:val="3E5502FA"/>
    <w:rsid w:val="3EE0346F"/>
    <w:rsid w:val="40D256B9"/>
    <w:rsid w:val="418254AA"/>
    <w:rsid w:val="421E34FF"/>
    <w:rsid w:val="42937F3B"/>
    <w:rsid w:val="42E56A55"/>
    <w:rsid w:val="4A41197A"/>
    <w:rsid w:val="53A83078"/>
    <w:rsid w:val="540412F9"/>
    <w:rsid w:val="54BE4C88"/>
    <w:rsid w:val="55961A8A"/>
    <w:rsid w:val="5B246D0C"/>
    <w:rsid w:val="5C0931B1"/>
    <w:rsid w:val="66BE287D"/>
    <w:rsid w:val="6C1668BC"/>
    <w:rsid w:val="6D64300A"/>
    <w:rsid w:val="6E275723"/>
    <w:rsid w:val="740B5726"/>
    <w:rsid w:val="76AC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081D8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81D80"/>
    <w:rPr>
      <w:rFonts w:cs="Times New Roman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81D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D8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81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1D8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81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1D8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081D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uiPriority w:val="99"/>
    <w:rsid w:val="00081D80"/>
    <w:rPr>
      <w:rFonts w:ascii="仿宋_GB2312" w:eastAsia="仿宋_GB2312" w:hAnsi="仿宋_GB2312"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9</Pages>
  <Words>620</Words>
  <Characters>3536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User</cp:lastModifiedBy>
  <cp:revision>5</cp:revision>
  <cp:lastPrinted>2020-01-15T03:33:00Z</cp:lastPrinted>
  <dcterms:created xsi:type="dcterms:W3CDTF">2020-01-15T03:02:00Z</dcterms:created>
  <dcterms:modified xsi:type="dcterms:W3CDTF">2020-01-15T06:46:00Z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