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5C86CD">
      <w:pPr>
        <w:snapToGrid w:val="0"/>
        <w:jc w:val="center"/>
        <w:rPr>
          <w:rFonts w:hint="eastAsia"/>
          <w:b/>
          <w:bCs/>
          <w:kern w:val="0"/>
          <w:sz w:val="48"/>
        </w:rPr>
      </w:pPr>
      <w:r>
        <w:rPr>
          <w:rFonts w:hint="eastAsia"/>
          <w:b/>
          <w:bCs/>
          <w:spacing w:val="66"/>
          <w:kern w:val="0"/>
          <w:sz w:val="48"/>
          <w:fitText w:val="6614" w:id="978072991"/>
        </w:rPr>
        <w:t>青岛市自然资源和规划</w:t>
      </w:r>
      <w:r>
        <w:rPr>
          <w:rFonts w:hint="eastAsia"/>
          <w:b/>
          <w:bCs/>
          <w:spacing w:val="7"/>
          <w:kern w:val="0"/>
          <w:sz w:val="48"/>
          <w:fitText w:val="6614" w:id="978072991"/>
        </w:rPr>
        <w:t>局</w:t>
      </w:r>
    </w:p>
    <w:p w14:paraId="4CC2C536">
      <w:pPr>
        <w:snapToGrid w:val="0"/>
        <w:jc w:val="center"/>
        <w:rPr>
          <w:b/>
          <w:bCs/>
          <w:sz w:val="48"/>
        </w:rPr>
      </w:pPr>
      <w:r>
        <w:rPr>
          <w:rFonts w:hint="eastAsia"/>
          <w:b/>
          <w:bCs/>
          <w:spacing w:val="0"/>
          <w:w w:val="81"/>
          <w:kern w:val="0"/>
          <w:sz w:val="48"/>
          <w:fitText w:val="6614" w:id="1367630931"/>
        </w:rPr>
        <w:t>国有建设用地使用权网上拍卖出让公</w:t>
      </w:r>
      <w:r>
        <w:rPr>
          <w:rFonts w:hint="eastAsia"/>
          <w:b/>
          <w:bCs/>
          <w:spacing w:val="-23"/>
          <w:w w:val="81"/>
          <w:kern w:val="0"/>
          <w:sz w:val="48"/>
          <w:fitText w:val="6614" w:id="1367630931"/>
        </w:rPr>
        <w:t>告</w:t>
      </w:r>
    </w:p>
    <w:p w14:paraId="2780C056">
      <w:pPr>
        <w:spacing w:line="540" w:lineRule="exact"/>
        <w:jc w:val="center"/>
        <w:rPr>
          <w:rFonts w:hint="eastAsia" w:ascii="宋体" w:hAnsi="宋体"/>
          <w:sz w:val="24"/>
          <w:highlight w:val="none"/>
        </w:rPr>
      </w:pPr>
      <w:r>
        <w:rPr>
          <w:rFonts w:hint="eastAsia" w:ascii="宋体" w:hAnsi="宋体" w:eastAsia="宋体" w:cs="宋体"/>
          <w:i w:val="0"/>
          <w:iCs w:val="0"/>
          <w:color w:val="000000"/>
          <w:kern w:val="0"/>
          <w:sz w:val="24"/>
          <w:szCs w:val="24"/>
          <w:highlight w:val="none"/>
          <w:u w:val="none"/>
          <w:lang w:val="en-US" w:eastAsia="zh-CN" w:bidi="ar"/>
        </w:rPr>
        <w:t>青自然资规（自）土让告字〔2026〕</w:t>
      </w:r>
      <w:r>
        <w:rPr>
          <w:rFonts w:hint="eastAsia" w:ascii="宋体" w:hAnsi="宋体" w:cs="宋体"/>
          <w:i w:val="0"/>
          <w:iCs w:val="0"/>
          <w:color w:val="000000"/>
          <w:kern w:val="0"/>
          <w:sz w:val="24"/>
          <w:szCs w:val="24"/>
          <w:highlight w:val="none"/>
          <w:u w:val="none"/>
          <w:lang w:val="en-US" w:eastAsia="zh-CN" w:bidi="ar"/>
        </w:rPr>
        <w:t>5</w:t>
      </w:r>
      <w:r>
        <w:rPr>
          <w:rFonts w:hint="eastAsia" w:ascii="宋体" w:hAnsi="宋体" w:eastAsia="宋体" w:cs="宋体"/>
          <w:i w:val="0"/>
          <w:iCs w:val="0"/>
          <w:color w:val="000000"/>
          <w:kern w:val="0"/>
          <w:sz w:val="24"/>
          <w:szCs w:val="24"/>
          <w:highlight w:val="none"/>
          <w:u w:val="none"/>
          <w:lang w:val="en-US" w:eastAsia="zh-CN" w:bidi="ar"/>
        </w:rPr>
        <w:t>号</w:t>
      </w:r>
    </w:p>
    <w:p w14:paraId="69D08346">
      <w:pPr>
        <w:spacing w:line="400" w:lineRule="exact"/>
        <w:ind w:firstLine="480" w:firstLineChars="200"/>
        <w:rPr>
          <w:rFonts w:hint="eastAsia" w:ascii="宋体" w:hAnsi="宋体"/>
          <w:sz w:val="24"/>
          <w:highlight w:val="none"/>
        </w:rPr>
      </w:pPr>
    </w:p>
    <w:p w14:paraId="1C45A56A">
      <w:pPr>
        <w:spacing w:line="400" w:lineRule="exact"/>
        <w:ind w:firstLine="480" w:firstLineChars="200"/>
        <w:rPr>
          <w:rFonts w:hint="eastAsia" w:ascii="宋体" w:hAnsi="宋体"/>
          <w:sz w:val="24"/>
        </w:rPr>
      </w:pPr>
      <w:r>
        <w:rPr>
          <w:rFonts w:hint="eastAsia" w:ascii="宋体" w:hAnsi="宋体"/>
          <w:sz w:val="24"/>
        </w:rPr>
        <w:t>经青岛市人民政府批准，青岛市自然资源和规划局决定</w:t>
      </w:r>
      <w:r>
        <w:rPr>
          <w:rFonts w:hint="eastAsia"/>
          <w:sz w:val="24"/>
        </w:rPr>
        <w:t>以网上拍卖的方式出让</w:t>
      </w:r>
      <w:r>
        <w:rPr>
          <w:rFonts w:hint="eastAsia"/>
          <w:sz w:val="24"/>
          <w:lang w:val="en-US" w:eastAsia="zh-CN"/>
        </w:rPr>
        <w:t>一</w:t>
      </w:r>
      <w:r>
        <w:rPr>
          <w:rFonts w:hint="eastAsia"/>
          <w:sz w:val="24"/>
        </w:rPr>
        <w:t>宗</w:t>
      </w:r>
      <w:r>
        <w:rPr>
          <w:rFonts w:hint="eastAsia" w:ascii="宋体" w:hAnsi="宋体"/>
          <w:sz w:val="24"/>
        </w:rPr>
        <w:t>国有建设用地使用权。现将有关事项公告如下：</w:t>
      </w:r>
    </w:p>
    <w:p w14:paraId="54344FD0">
      <w:pPr>
        <w:tabs>
          <w:tab w:val="left" w:pos="1287"/>
        </w:tabs>
        <w:spacing w:line="400" w:lineRule="exact"/>
        <w:ind w:left="567"/>
        <w:rPr>
          <w:rFonts w:hint="eastAsia"/>
          <w:b/>
          <w:bCs/>
          <w:kern w:val="0"/>
          <w:sz w:val="48"/>
        </w:rPr>
      </w:pPr>
      <w:r>
        <w:rPr>
          <w:rFonts w:hint="eastAsia" w:ascii="宋体" w:hAnsi="宋体"/>
          <w:b/>
          <w:bCs/>
          <w:sz w:val="24"/>
        </w:rPr>
        <w:t>一、地块的基本情况</w:t>
      </w:r>
      <w:r>
        <w:rPr>
          <w:rFonts w:hint="eastAsia" w:ascii="宋体" w:hAnsi="宋体"/>
          <w:b/>
          <w:bCs/>
          <w:sz w:val="24"/>
          <w:lang w:val="en-US" w:eastAsia="zh-CN"/>
        </w:rPr>
        <w:t>及有关</w:t>
      </w:r>
      <w:r>
        <w:rPr>
          <w:rFonts w:hint="eastAsia" w:ascii="宋体" w:hAnsi="宋体"/>
          <w:b/>
          <w:bCs/>
          <w:sz w:val="24"/>
        </w:rPr>
        <w:t>要求</w:t>
      </w:r>
    </w:p>
    <w:tbl>
      <w:tblPr>
        <w:tblStyle w:val="3"/>
        <w:tblpPr w:leftFromText="180" w:rightFromText="180" w:vertAnchor="text" w:horzAnchor="page" w:tblpX="1518" w:tblpY="25"/>
        <w:tblOverlap w:val="never"/>
        <w:tblW w:w="86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051"/>
        <w:gridCol w:w="900"/>
        <w:gridCol w:w="792"/>
        <w:gridCol w:w="918"/>
        <w:gridCol w:w="522"/>
        <w:gridCol w:w="648"/>
        <w:gridCol w:w="708"/>
        <w:gridCol w:w="708"/>
        <w:gridCol w:w="1212"/>
        <w:gridCol w:w="1176"/>
      </w:tblGrid>
      <w:tr w14:paraId="4A384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3" w:hRule="atLeast"/>
          <w:jc w:val="center"/>
        </w:trPr>
        <w:tc>
          <w:tcPr>
            <w:tcW w:w="1051" w:type="dxa"/>
            <w:vMerge w:val="restart"/>
            <w:tcBorders>
              <w:top w:val="single" w:color="auto" w:sz="4" w:space="0"/>
              <w:left w:val="single" w:color="auto" w:sz="4" w:space="0"/>
              <w:bottom w:val="single" w:color="auto" w:sz="4" w:space="0"/>
              <w:right w:val="single" w:color="auto" w:sz="4" w:space="0"/>
            </w:tcBorders>
            <w:noWrap w:val="0"/>
            <w:vAlign w:val="center"/>
          </w:tcPr>
          <w:p w14:paraId="5B2F3464">
            <w:pPr>
              <w:keepNext w:val="0"/>
              <w:keepLines w:val="0"/>
              <w:suppressLineNumbers w:val="0"/>
              <w:snapToGrid w:val="0"/>
              <w:spacing w:before="0" w:beforeAutospacing="0" w:after="0" w:afterAutospacing="0"/>
              <w:ind w:left="0" w:right="0"/>
              <w:jc w:val="center"/>
              <w:rPr>
                <w:rFonts w:hint="default" w:ascii="仿宋" w:hAnsi="仿宋" w:eastAsia="仿宋" w:cs="Times New Roman"/>
                <w:b/>
                <w:bCs/>
                <w:color w:val="auto"/>
                <w:w w:val="95"/>
                <w:sz w:val="16"/>
                <w:szCs w:val="16"/>
                <w:highlight w:val="yellow"/>
                <w:lang w:val="en-US" w:eastAsia="zh-CN"/>
              </w:rPr>
            </w:pPr>
            <w:r>
              <w:rPr>
                <w:rFonts w:hint="eastAsia" w:ascii="仿宋" w:hAnsi="仿宋" w:eastAsia="仿宋" w:cs="Times New Roman"/>
                <w:b/>
                <w:bCs/>
                <w:color w:val="auto"/>
                <w:w w:val="95"/>
                <w:sz w:val="16"/>
                <w:szCs w:val="16"/>
                <w:highlight w:val="none"/>
                <w:lang w:val="en-US" w:eastAsia="zh-CN"/>
              </w:rPr>
              <w:t>地块编号</w:t>
            </w:r>
          </w:p>
        </w:tc>
        <w:tc>
          <w:tcPr>
            <w:tcW w:w="900" w:type="dxa"/>
            <w:vMerge w:val="restart"/>
            <w:tcBorders>
              <w:top w:val="single" w:color="auto" w:sz="4" w:space="0"/>
              <w:left w:val="single" w:color="auto" w:sz="4" w:space="0"/>
              <w:bottom w:val="single" w:color="auto" w:sz="4" w:space="0"/>
              <w:right w:val="single" w:color="auto" w:sz="4" w:space="0"/>
            </w:tcBorders>
            <w:noWrap w:val="0"/>
            <w:vAlign w:val="center"/>
          </w:tcPr>
          <w:p w14:paraId="597CC928">
            <w:pPr>
              <w:keepNext w:val="0"/>
              <w:keepLines w:val="0"/>
              <w:suppressLineNumbers w:val="0"/>
              <w:snapToGrid w:val="0"/>
              <w:spacing w:before="0" w:beforeAutospacing="0" w:after="0" w:afterAutospacing="0"/>
              <w:ind w:left="0" w:right="0"/>
              <w:jc w:val="center"/>
              <w:rPr>
                <w:rFonts w:hint="eastAsia" w:ascii="仿宋" w:hAnsi="仿宋" w:eastAsia="仿宋" w:cs="Times New Roman"/>
                <w:b/>
                <w:bCs/>
                <w:color w:val="auto"/>
                <w:w w:val="95"/>
                <w:sz w:val="16"/>
                <w:szCs w:val="16"/>
                <w:highlight w:val="none"/>
              </w:rPr>
            </w:pPr>
            <w:r>
              <w:rPr>
                <w:rFonts w:hint="eastAsia" w:ascii="仿宋" w:hAnsi="仿宋" w:eastAsia="仿宋" w:cs="Times New Roman"/>
                <w:b/>
                <w:bCs/>
                <w:color w:val="auto"/>
                <w:w w:val="95"/>
                <w:sz w:val="16"/>
                <w:szCs w:val="16"/>
                <w:highlight w:val="none"/>
              </w:rPr>
              <w:t>土地位置</w:t>
            </w:r>
          </w:p>
        </w:tc>
        <w:tc>
          <w:tcPr>
            <w:tcW w:w="792" w:type="dxa"/>
            <w:vMerge w:val="restart"/>
            <w:tcBorders>
              <w:top w:val="single" w:color="auto" w:sz="4" w:space="0"/>
              <w:left w:val="single" w:color="auto" w:sz="4" w:space="0"/>
              <w:bottom w:val="single" w:color="auto" w:sz="4" w:space="0"/>
              <w:right w:val="single" w:color="auto" w:sz="4" w:space="0"/>
            </w:tcBorders>
            <w:noWrap w:val="0"/>
            <w:vAlign w:val="center"/>
          </w:tcPr>
          <w:p w14:paraId="465C96BA">
            <w:pPr>
              <w:keepNext w:val="0"/>
              <w:keepLines w:val="0"/>
              <w:suppressLineNumbers w:val="0"/>
              <w:snapToGrid w:val="0"/>
              <w:spacing w:before="0" w:beforeAutospacing="0" w:after="0" w:afterAutospacing="0"/>
              <w:ind w:left="0" w:right="0"/>
              <w:jc w:val="center"/>
              <w:rPr>
                <w:rFonts w:hint="eastAsia" w:ascii="仿宋" w:hAnsi="仿宋" w:eastAsia="仿宋" w:cs="Times New Roman"/>
                <w:b/>
                <w:bCs/>
                <w:color w:val="auto"/>
                <w:w w:val="95"/>
                <w:sz w:val="16"/>
                <w:szCs w:val="16"/>
                <w:highlight w:val="none"/>
              </w:rPr>
            </w:pPr>
            <w:r>
              <w:rPr>
                <w:rFonts w:hint="eastAsia" w:ascii="仿宋" w:hAnsi="仿宋" w:eastAsia="仿宋" w:cs="Times New Roman"/>
                <w:b/>
                <w:bCs/>
                <w:color w:val="auto"/>
                <w:w w:val="95"/>
                <w:sz w:val="16"/>
                <w:szCs w:val="16"/>
                <w:highlight w:val="none"/>
              </w:rPr>
              <w:t>土地面积</w:t>
            </w:r>
          </w:p>
          <w:p w14:paraId="0C2F0777">
            <w:pPr>
              <w:keepNext w:val="0"/>
              <w:keepLines w:val="0"/>
              <w:suppressLineNumbers w:val="0"/>
              <w:snapToGrid w:val="0"/>
              <w:spacing w:before="0" w:beforeAutospacing="0" w:after="0" w:afterAutospacing="0"/>
              <w:ind w:left="0" w:right="0"/>
              <w:jc w:val="center"/>
              <w:rPr>
                <w:rFonts w:hint="eastAsia" w:ascii="仿宋" w:hAnsi="仿宋" w:eastAsia="仿宋" w:cs="Times New Roman"/>
                <w:b/>
                <w:bCs/>
                <w:color w:val="auto"/>
                <w:w w:val="95"/>
                <w:sz w:val="16"/>
                <w:szCs w:val="16"/>
                <w:highlight w:val="none"/>
              </w:rPr>
            </w:pPr>
            <w:r>
              <w:rPr>
                <w:rFonts w:hint="eastAsia" w:ascii="仿宋" w:hAnsi="仿宋" w:eastAsia="仿宋" w:cs="Times New Roman"/>
                <w:b/>
                <w:bCs/>
                <w:color w:val="auto"/>
                <w:w w:val="95"/>
                <w:sz w:val="16"/>
                <w:szCs w:val="16"/>
                <w:highlight w:val="none"/>
                <w:lang w:eastAsia="zh-CN"/>
              </w:rPr>
              <w:t>（</w:t>
            </w:r>
            <w:r>
              <w:rPr>
                <w:rFonts w:hint="eastAsia" w:ascii="仿宋" w:hAnsi="仿宋" w:eastAsia="仿宋" w:cs="Times New Roman"/>
                <w:b/>
                <w:bCs/>
                <w:color w:val="auto"/>
                <w:w w:val="95"/>
                <w:sz w:val="16"/>
                <w:szCs w:val="16"/>
                <w:highlight w:val="none"/>
              </w:rPr>
              <w:t>平方米</w:t>
            </w:r>
            <w:r>
              <w:rPr>
                <w:rFonts w:hint="eastAsia" w:ascii="仿宋" w:hAnsi="仿宋" w:eastAsia="仿宋" w:cs="Times New Roman"/>
                <w:b/>
                <w:bCs/>
                <w:color w:val="auto"/>
                <w:w w:val="95"/>
                <w:sz w:val="16"/>
                <w:szCs w:val="16"/>
                <w:highlight w:val="none"/>
                <w:lang w:eastAsia="zh-CN"/>
              </w:rPr>
              <w:t>）</w:t>
            </w:r>
          </w:p>
        </w:tc>
        <w:tc>
          <w:tcPr>
            <w:tcW w:w="918" w:type="dxa"/>
            <w:vMerge w:val="restart"/>
            <w:tcBorders>
              <w:top w:val="single" w:color="auto" w:sz="4" w:space="0"/>
              <w:left w:val="single" w:color="auto" w:sz="4" w:space="0"/>
              <w:bottom w:val="single" w:color="auto" w:sz="4" w:space="0"/>
              <w:right w:val="single" w:color="auto" w:sz="4" w:space="0"/>
            </w:tcBorders>
            <w:noWrap w:val="0"/>
            <w:vAlign w:val="center"/>
          </w:tcPr>
          <w:p w14:paraId="57F48AB7">
            <w:pPr>
              <w:keepNext w:val="0"/>
              <w:keepLines w:val="0"/>
              <w:suppressLineNumbers w:val="0"/>
              <w:snapToGrid w:val="0"/>
              <w:spacing w:before="0" w:beforeAutospacing="0" w:after="0" w:afterAutospacing="0"/>
              <w:ind w:left="0" w:right="0"/>
              <w:jc w:val="center"/>
              <w:rPr>
                <w:rFonts w:hint="eastAsia" w:ascii="仿宋" w:hAnsi="仿宋" w:eastAsia="仿宋" w:cs="Times New Roman"/>
                <w:b/>
                <w:bCs/>
                <w:color w:val="auto"/>
                <w:w w:val="95"/>
                <w:sz w:val="16"/>
                <w:szCs w:val="16"/>
                <w:highlight w:val="none"/>
              </w:rPr>
            </w:pPr>
            <w:r>
              <w:rPr>
                <w:rFonts w:hint="eastAsia" w:ascii="仿宋" w:hAnsi="仿宋" w:eastAsia="仿宋" w:cs="Times New Roman"/>
                <w:b/>
                <w:bCs/>
                <w:color w:val="auto"/>
                <w:w w:val="95"/>
                <w:sz w:val="16"/>
                <w:szCs w:val="16"/>
                <w:highlight w:val="none"/>
              </w:rPr>
              <w:t>土地用途</w:t>
            </w:r>
          </w:p>
        </w:tc>
        <w:tc>
          <w:tcPr>
            <w:tcW w:w="522" w:type="dxa"/>
            <w:vMerge w:val="restart"/>
            <w:tcBorders>
              <w:top w:val="single" w:color="auto" w:sz="4" w:space="0"/>
              <w:left w:val="single" w:color="auto" w:sz="4" w:space="0"/>
              <w:bottom w:val="single" w:color="auto" w:sz="4" w:space="0"/>
              <w:right w:val="single" w:color="auto" w:sz="4" w:space="0"/>
            </w:tcBorders>
            <w:noWrap w:val="0"/>
            <w:vAlign w:val="center"/>
          </w:tcPr>
          <w:p w14:paraId="6D154FB6">
            <w:pPr>
              <w:keepNext w:val="0"/>
              <w:keepLines w:val="0"/>
              <w:suppressLineNumbers w:val="0"/>
              <w:snapToGrid w:val="0"/>
              <w:spacing w:before="0" w:beforeAutospacing="0" w:after="0" w:afterAutospacing="0"/>
              <w:ind w:left="0" w:right="0"/>
              <w:jc w:val="center"/>
              <w:rPr>
                <w:rFonts w:hint="eastAsia" w:ascii="仿宋" w:hAnsi="仿宋" w:eastAsia="仿宋" w:cs="Times New Roman"/>
                <w:b/>
                <w:bCs/>
                <w:color w:val="auto"/>
                <w:w w:val="95"/>
                <w:sz w:val="16"/>
                <w:szCs w:val="16"/>
                <w:highlight w:val="none"/>
              </w:rPr>
            </w:pPr>
            <w:r>
              <w:rPr>
                <w:rFonts w:hint="eastAsia" w:ascii="仿宋" w:hAnsi="仿宋" w:eastAsia="仿宋" w:cs="Times New Roman"/>
                <w:b/>
                <w:bCs/>
                <w:color w:val="auto"/>
                <w:w w:val="95"/>
                <w:sz w:val="16"/>
                <w:szCs w:val="16"/>
                <w:highlight w:val="none"/>
              </w:rPr>
              <w:t>出让</w:t>
            </w:r>
          </w:p>
          <w:p w14:paraId="37B0070B">
            <w:pPr>
              <w:keepNext w:val="0"/>
              <w:keepLines w:val="0"/>
              <w:suppressLineNumbers w:val="0"/>
              <w:snapToGrid w:val="0"/>
              <w:spacing w:before="0" w:beforeAutospacing="0" w:after="0" w:afterAutospacing="0"/>
              <w:ind w:left="0" w:right="0"/>
              <w:jc w:val="center"/>
              <w:rPr>
                <w:rFonts w:hint="eastAsia" w:ascii="仿宋" w:hAnsi="仿宋" w:eastAsia="仿宋" w:cs="Times New Roman"/>
                <w:b/>
                <w:bCs/>
                <w:color w:val="auto"/>
                <w:w w:val="95"/>
                <w:sz w:val="16"/>
                <w:szCs w:val="16"/>
                <w:highlight w:val="none"/>
                <w:lang w:eastAsia="zh-CN"/>
              </w:rPr>
            </w:pPr>
            <w:r>
              <w:rPr>
                <w:rFonts w:hint="eastAsia" w:ascii="仿宋" w:hAnsi="仿宋" w:eastAsia="仿宋" w:cs="Times New Roman"/>
                <w:b/>
                <w:bCs/>
                <w:color w:val="auto"/>
                <w:w w:val="95"/>
                <w:sz w:val="16"/>
                <w:szCs w:val="16"/>
                <w:highlight w:val="none"/>
              </w:rPr>
              <w:t>年</w:t>
            </w:r>
            <w:r>
              <w:rPr>
                <w:rFonts w:hint="eastAsia" w:ascii="仿宋" w:hAnsi="仿宋" w:eastAsia="仿宋" w:cs="Times New Roman"/>
                <w:b/>
                <w:bCs/>
                <w:color w:val="auto"/>
                <w:w w:val="95"/>
                <w:sz w:val="16"/>
                <w:szCs w:val="16"/>
                <w:highlight w:val="none"/>
                <w:lang w:val="en-US" w:eastAsia="zh-CN"/>
              </w:rPr>
              <w:t>限</w:t>
            </w:r>
          </w:p>
          <w:p w14:paraId="51532AA8">
            <w:pPr>
              <w:keepNext w:val="0"/>
              <w:keepLines w:val="0"/>
              <w:suppressLineNumbers w:val="0"/>
              <w:snapToGrid w:val="0"/>
              <w:spacing w:before="0" w:beforeAutospacing="0" w:after="0" w:afterAutospacing="0"/>
              <w:ind w:left="0" w:right="0"/>
              <w:jc w:val="center"/>
              <w:rPr>
                <w:rFonts w:hint="eastAsia" w:ascii="仿宋" w:hAnsi="仿宋" w:eastAsia="仿宋" w:cs="Times New Roman"/>
                <w:b/>
                <w:bCs/>
                <w:color w:val="auto"/>
                <w:w w:val="95"/>
                <w:sz w:val="16"/>
                <w:szCs w:val="16"/>
                <w:highlight w:val="none"/>
              </w:rPr>
            </w:pPr>
            <w:r>
              <w:rPr>
                <w:rFonts w:hint="eastAsia" w:ascii="仿宋" w:hAnsi="仿宋" w:eastAsia="仿宋" w:cs="Times New Roman"/>
                <w:b/>
                <w:bCs/>
                <w:color w:val="auto"/>
                <w:w w:val="95"/>
                <w:sz w:val="16"/>
                <w:szCs w:val="16"/>
                <w:highlight w:val="none"/>
              </w:rPr>
              <w:t>（年）</w:t>
            </w:r>
          </w:p>
        </w:tc>
        <w:tc>
          <w:tcPr>
            <w:tcW w:w="2064" w:type="dxa"/>
            <w:gridSpan w:val="3"/>
            <w:tcBorders>
              <w:top w:val="single" w:color="auto" w:sz="4" w:space="0"/>
              <w:left w:val="single" w:color="auto" w:sz="4" w:space="0"/>
              <w:bottom w:val="single" w:color="auto" w:sz="4" w:space="0"/>
              <w:right w:val="nil"/>
            </w:tcBorders>
            <w:noWrap w:val="0"/>
            <w:vAlign w:val="center"/>
          </w:tcPr>
          <w:p w14:paraId="77D9E8DB">
            <w:pPr>
              <w:keepNext w:val="0"/>
              <w:keepLines w:val="0"/>
              <w:suppressLineNumbers w:val="0"/>
              <w:snapToGrid w:val="0"/>
              <w:spacing w:before="0" w:beforeAutospacing="0" w:after="0" w:afterAutospacing="0"/>
              <w:ind w:left="0" w:right="0"/>
              <w:jc w:val="center"/>
              <w:rPr>
                <w:rFonts w:hint="eastAsia" w:ascii="仿宋" w:hAnsi="仿宋" w:eastAsia="仿宋" w:cs="Times New Roman"/>
                <w:b/>
                <w:bCs/>
                <w:color w:val="auto"/>
                <w:w w:val="95"/>
                <w:sz w:val="16"/>
                <w:szCs w:val="16"/>
                <w:highlight w:val="none"/>
              </w:rPr>
            </w:pPr>
            <w:r>
              <w:rPr>
                <w:rFonts w:hint="eastAsia" w:ascii="仿宋" w:hAnsi="仿宋" w:eastAsia="仿宋" w:cs="Times New Roman"/>
                <w:b/>
                <w:bCs/>
                <w:color w:val="auto"/>
                <w:w w:val="95"/>
                <w:sz w:val="16"/>
                <w:szCs w:val="16"/>
                <w:highlight w:val="none"/>
              </w:rPr>
              <w:t>规划指标要求</w:t>
            </w:r>
          </w:p>
        </w:tc>
        <w:tc>
          <w:tcPr>
            <w:tcW w:w="1212" w:type="dxa"/>
            <w:vMerge w:val="restart"/>
            <w:tcBorders>
              <w:top w:val="single" w:color="auto" w:sz="4" w:space="0"/>
              <w:left w:val="single" w:color="auto" w:sz="4" w:space="0"/>
              <w:bottom w:val="single" w:color="auto" w:sz="4" w:space="0"/>
              <w:right w:val="single" w:color="auto" w:sz="4" w:space="0"/>
            </w:tcBorders>
            <w:noWrap w:val="0"/>
            <w:vAlign w:val="center"/>
          </w:tcPr>
          <w:p w14:paraId="12AD1BC0">
            <w:pPr>
              <w:keepNext w:val="0"/>
              <w:keepLines w:val="0"/>
              <w:suppressLineNumbers w:val="0"/>
              <w:snapToGrid w:val="0"/>
              <w:spacing w:before="0" w:beforeAutospacing="0" w:after="0" w:afterAutospacing="0"/>
              <w:ind w:left="0" w:right="0"/>
              <w:jc w:val="center"/>
              <w:rPr>
                <w:rFonts w:hint="eastAsia" w:ascii="仿宋" w:hAnsi="仿宋" w:eastAsia="仿宋" w:cs="Times New Roman"/>
                <w:b/>
                <w:bCs/>
                <w:color w:val="auto"/>
                <w:w w:val="95"/>
                <w:sz w:val="16"/>
                <w:szCs w:val="16"/>
                <w:highlight w:val="none"/>
              </w:rPr>
            </w:pPr>
            <w:r>
              <w:rPr>
                <w:rFonts w:hint="eastAsia" w:ascii="仿宋" w:hAnsi="仿宋" w:eastAsia="仿宋" w:cs="Times New Roman"/>
                <w:b/>
                <w:bCs/>
                <w:color w:val="auto"/>
                <w:w w:val="95"/>
                <w:sz w:val="16"/>
                <w:szCs w:val="16"/>
                <w:highlight w:val="none"/>
              </w:rPr>
              <w:t>出让</w:t>
            </w:r>
          </w:p>
          <w:p w14:paraId="7C6FA13E">
            <w:pPr>
              <w:keepNext w:val="0"/>
              <w:keepLines w:val="0"/>
              <w:suppressLineNumbers w:val="0"/>
              <w:snapToGrid w:val="0"/>
              <w:spacing w:before="0" w:beforeAutospacing="0" w:after="0" w:afterAutospacing="0"/>
              <w:ind w:left="0" w:right="0"/>
              <w:jc w:val="center"/>
              <w:rPr>
                <w:rFonts w:hint="eastAsia" w:ascii="仿宋" w:hAnsi="仿宋" w:eastAsia="仿宋" w:cs="Times New Roman"/>
                <w:b/>
                <w:bCs/>
                <w:color w:val="auto"/>
                <w:w w:val="95"/>
                <w:sz w:val="16"/>
                <w:szCs w:val="16"/>
                <w:highlight w:val="none"/>
              </w:rPr>
            </w:pPr>
            <w:r>
              <w:rPr>
                <w:rFonts w:hint="eastAsia" w:ascii="仿宋" w:hAnsi="仿宋" w:eastAsia="仿宋" w:cs="Times New Roman"/>
                <w:b/>
                <w:bCs/>
                <w:color w:val="auto"/>
                <w:w w:val="95"/>
                <w:sz w:val="16"/>
                <w:szCs w:val="16"/>
                <w:highlight w:val="none"/>
              </w:rPr>
              <w:t>起始总价</w:t>
            </w:r>
          </w:p>
          <w:p w14:paraId="7859DA39">
            <w:pPr>
              <w:keepNext w:val="0"/>
              <w:keepLines w:val="0"/>
              <w:suppressLineNumbers w:val="0"/>
              <w:snapToGrid w:val="0"/>
              <w:spacing w:before="0" w:beforeAutospacing="0" w:after="0" w:afterAutospacing="0"/>
              <w:ind w:left="0" w:right="0"/>
              <w:jc w:val="center"/>
              <w:rPr>
                <w:rFonts w:hint="eastAsia" w:ascii="仿宋" w:hAnsi="仿宋" w:eastAsia="仿宋" w:cs="Times New Roman"/>
                <w:b/>
                <w:bCs/>
                <w:color w:val="auto"/>
                <w:w w:val="95"/>
                <w:sz w:val="16"/>
                <w:szCs w:val="16"/>
                <w:highlight w:val="none"/>
              </w:rPr>
            </w:pPr>
            <w:r>
              <w:rPr>
                <w:rFonts w:hint="eastAsia" w:ascii="仿宋" w:hAnsi="仿宋" w:eastAsia="仿宋" w:cs="Times New Roman"/>
                <w:b/>
                <w:bCs/>
                <w:color w:val="auto"/>
                <w:w w:val="95"/>
                <w:sz w:val="16"/>
                <w:szCs w:val="16"/>
                <w:highlight w:val="none"/>
                <w:lang w:eastAsia="zh-CN"/>
              </w:rPr>
              <w:t>（</w:t>
            </w:r>
            <w:r>
              <w:rPr>
                <w:rFonts w:hint="eastAsia" w:ascii="仿宋" w:hAnsi="仿宋" w:eastAsia="仿宋" w:cs="Times New Roman"/>
                <w:b/>
                <w:bCs/>
                <w:color w:val="auto"/>
                <w:w w:val="95"/>
                <w:sz w:val="16"/>
                <w:szCs w:val="16"/>
                <w:highlight w:val="none"/>
              </w:rPr>
              <w:t>万元</w:t>
            </w:r>
            <w:r>
              <w:rPr>
                <w:rFonts w:hint="eastAsia" w:ascii="仿宋" w:hAnsi="仿宋" w:eastAsia="仿宋" w:cs="Times New Roman"/>
                <w:b/>
                <w:bCs/>
                <w:color w:val="auto"/>
                <w:w w:val="95"/>
                <w:sz w:val="16"/>
                <w:szCs w:val="16"/>
                <w:highlight w:val="none"/>
                <w:lang w:eastAsia="zh-CN"/>
              </w:rPr>
              <w:t>）</w:t>
            </w:r>
          </w:p>
        </w:tc>
        <w:tc>
          <w:tcPr>
            <w:tcW w:w="1176" w:type="dxa"/>
            <w:vMerge w:val="restart"/>
            <w:tcBorders>
              <w:top w:val="single" w:color="auto" w:sz="4" w:space="0"/>
              <w:left w:val="single" w:color="auto" w:sz="4" w:space="0"/>
              <w:bottom w:val="single" w:color="auto" w:sz="4" w:space="0"/>
              <w:right w:val="single" w:color="auto" w:sz="4" w:space="0"/>
            </w:tcBorders>
            <w:noWrap w:val="0"/>
            <w:vAlign w:val="center"/>
          </w:tcPr>
          <w:p w14:paraId="2167A950">
            <w:pPr>
              <w:keepNext w:val="0"/>
              <w:keepLines w:val="0"/>
              <w:suppressLineNumbers w:val="0"/>
              <w:snapToGrid w:val="0"/>
              <w:spacing w:before="0" w:beforeAutospacing="0" w:after="0" w:afterAutospacing="0"/>
              <w:ind w:left="0" w:right="0"/>
              <w:jc w:val="center"/>
              <w:rPr>
                <w:rFonts w:hint="eastAsia" w:ascii="仿宋" w:hAnsi="仿宋" w:eastAsia="仿宋" w:cs="Times New Roman"/>
                <w:b/>
                <w:bCs/>
                <w:color w:val="auto"/>
                <w:w w:val="95"/>
                <w:sz w:val="16"/>
                <w:szCs w:val="16"/>
                <w:highlight w:val="none"/>
              </w:rPr>
            </w:pPr>
            <w:r>
              <w:rPr>
                <w:rFonts w:hint="eastAsia" w:ascii="仿宋" w:hAnsi="仿宋" w:eastAsia="仿宋" w:cs="Times New Roman"/>
                <w:b/>
                <w:bCs/>
                <w:color w:val="auto"/>
                <w:w w:val="95"/>
                <w:sz w:val="16"/>
                <w:szCs w:val="16"/>
                <w:highlight w:val="none"/>
              </w:rPr>
              <w:t>竞买</w:t>
            </w:r>
          </w:p>
          <w:p w14:paraId="7180B10C">
            <w:pPr>
              <w:keepNext w:val="0"/>
              <w:keepLines w:val="0"/>
              <w:suppressLineNumbers w:val="0"/>
              <w:snapToGrid w:val="0"/>
              <w:spacing w:before="0" w:beforeAutospacing="0" w:after="0" w:afterAutospacing="0"/>
              <w:ind w:left="0" w:right="0"/>
              <w:jc w:val="center"/>
              <w:rPr>
                <w:rFonts w:hint="eastAsia" w:ascii="仿宋" w:hAnsi="仿宋" w:eastAsia="仿宋" w:cs="Times New Roman"/>
                <w:b/>
                <w:bCs/>
                <w:color w:val="auto"/>
                <w:w w:val="95"/>
                <w:sz w:val="16"/>
                <w:szCs w:val="16"/>
                <w:highlight w:val="none"/>
              </w:rPr>
            </w:pPr>
            <w:r>
              <w:rPr>
                <w:rFonts w:hint="eastAsia" w:ascii="仿宋" w:hAnsi="仿宋" w:eastAsia="仿宋" w:cs="Times New Roman"/>
                <w:b/>
                <w:bCs/>
                <w:color w:val="auto"/>
                <w:w w:val="95"/>
                <w:sz w:val="16"/>
                <w:szCs w:val="16"/>
                <w:highlight w:val="none"/>
              </w:rPr>
              <w:t>保证金</w:t>
            </w:r>
          </w:p>
          <w:p w14:paraId="175E0ABD">
            <w:pPr>
              <w:keepNext w:val="0"/>
              <w:keepLines w:val="0"/>
              <w:suppressLineNumbers w:val="0"/>
              <w:snapToGrid w:val="0"/>
              <w:spacing w:before="0" w:beforeAutospacing="0" w:after="0" w:afterAutospacing="0"/>
              <w:ind w:left="0" w:right="0"/>
              <w:jc w:val="center"/>
              <w:rPr>
                <w:rFonts w:hint="eastAsia" w:ascii="仿宋" w:hAnsi="仿宋" w:eastAsia="仿宋" w:cs="Times New Roman"/>
                <w:b/>
                <w:bCs/>
                <w:color w:val="auto"/>
                <w:w w:val="95"/>
                <w:sz w:val="16"/>
                <w:szCs w:val="16"/>
                <w:highlight w:val="none"/>
              </w:rPr>
            </w:pPr>
            <w:r>
              <w:rPr>
                <w:rFonts w:hint="eastAsia" w:ascii="仿宋" w:hAnsi="仿宋" w:eastAsia="仿宋" w:cs="Times New Roman"/>
                <w:b/>
                <w:bCs/>
                <w:color w:val="auto"/>
                <w:w w:val="95"/>
                <w:sz w:val="16"/>
                <w:szCs w:val="16"/>
                <w:highlight w:val="none"/>
              </w:rPr>
              <w:t>（万元）</w:t>
            </w:r>
          </w:p>
        </w:tc>
      </w:tr>
      <w:tr w14:paraId="6FF93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806" w:hRule="atLeast"/>
          <w:jc w:val="center"/>
        </w:trPr>
        <w:tc>
          <w:tcPr>
            <w:tcW w:w="1051" w:type="dxa"/>
            <w:vMerge w:val="continue"/>
            <w:tcBorders>
              <w:top w:val="single" w:color="auto" w:sz="4" w:space="0"/>
              <w:left w:val="single" w:color="auto" w:sz="4" w:space="0"/>
              <w:bottom w:val="single" w:color="auto" w:sz="4" w:space="0"/>
              <w:right w:val="single" w:color="auto" w:sz="4" w:space="0"/>
            </w:tcBorders>
            <w:noWrap w:val="0"/>
            <w:vAlign w:val="center"/>
          </w:tcPr>
          <w:p w14:paraId="50A601A2">
            <w:pPr>
              <w:keepNext w:val="0"/>
              <w:keepLines w:val="0"/>
              <w:widowControl/>
              <w:suppressLineNumbers w:val="0"/>
              <w:spacing w:before="0" w:beforeAutospacing="0" w:after="0" w:afterAutospacing="0" w:line="440" w:lineRule="exact"/>
              <w:ind w:left="0" w:right="0"/>
              <w:jc w:val="left"/>
              <w:rPr>
                <w:rFonts w:ascii="仿宋_GB2312" w:hAnsi="宋体" w:eastAsia="宋体" w:cs="Times New Roman"/>
                <w:b/>
                <w:bCs/>
                <w:color w:val="auto"/>
                <w:w w:val="95"/>
                <w:sz w:val="13"/>
                <w:szCs w:val="13"/>
                <w:highlight w:val="yellow"/>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14:paraId="4A5D0CCE">
            <w:pPr>
              <w:keepNext w:val="0"/>
              <w:keepLines w:val="0"/>
              <w:widowControl/>
              <w:suppressLineNumbers w:val="0"/>
              <w:spacing w:before="0" w:beforeAutospacing="0" w:after="0" w:afterAutospacing="0" w:line="440" w:lineRule="exact"/>
              <w:ind w:left="0" w:right="0"/>
              <w:jc w:val="left"/>
              <w:rPr>
                <w:rFonts w:ascii="仿宋_GB2312" w:hAnsi="宋体" w:eastAsia="宋体" w:cs="Times New Roman"/>
                <w:b/>
                <w:bCs/>
                <w:color w:val="auto"/>
                <w:w w:val="95"/>
                <w:sz w:val="13"/>
                <w:szCs w:val="13"/>
                <w:highlight w:val="none"/>
              </w:rPr>
            </w:pPr>
          </w:p>
        </w:tc>
        <w:tc>
          <w:tcPr>
            <w:tcW w:w="792" w:type="dxa"/>
            <w:vMerge w:val="continue"/>
            <w:tcBorders>
              <w:top w:val="single" w:color="auto" w:sz="4" w:space="0"/>
              <w:left w:val="single" w:color="auto" w:sz="4" w:space="0"/>
              <w:bottom w:val="single" w:color="auto" w:sz="4" w:space="0"/>
              <w:right w:val="single" w:color="auto" w:sz="4" w:space="0"/>
            </w:tcBorders>
            <w:noWrap w:val="0"/>
            <w:vAlign w:val="center"/>
          </w:tcPr>
          <w:p w14:paraId="5DFDFC27">
            <w:pPr>
              <w:keepNext w:val="0"/>
              <w:keepLines w:val="0"/>
              <w:widowControl/>
              <w:suppressLineNumbers w:val="0"/>
              <w:spacing w:before="0" w:beforeAutospacing="0" w:after="0" w:afterAutospacing="0" w:line="440" w:lineRule="exact"/>
              <w:ind w:left="0" w:right="0"/>
              <w:jc w:val="left"/>
              <w:rPr>
                <w:rFonts w:ascii="仿宋_GB2312" w:hAnsi="宋体" w:eastAsia="宋体" w:cs="Times New Roman"/>
                <w:b/>
                <w:bCs/>
                <w:color w:val="auto"/>
                <w:w w:val="95"/>
                <w:sz w:val="13"/>
                <w:szCs w:val="13"/>
                <w:highlight w:val="none"/>
              </w:rPr>
            </w:pPr>
          </w:p>
        </w:tc>
        <w:tc>
          <w:tcPr>
            <w:tcW w:w="918" w:type="dxa"/>
            <w:vMerge w:val="continue"/>
            <w:tcBorders>
              <w:top w:val="single" w:color="auto" w:sz="4" w:space="0"/>
              <w:left w:val="single" w:color="auto" w:sz="4" w:space="0"/>
              <w:bottom w:val="single" w:color="auto" w:sz="4" w:space="0"/>
              <w:right w:val="single" w:color="auto" w:sz="4" w:space="0"/>
            </w:tcBorders>
            <w:noWrap w:val="0"/>
            <w:vAlign w:val="center"/>
          </w:tcPr>
          <w:p w14:paraId="552700A5">
            <w:pPr>
              <w:keepNext w:val="0"/>
              <w:keepLines w:val="0"/>
              <w:widowControl/>
              <w:suppressLineNumbers w:val="0"/>
              <w:spacing w:before="0" w:beforeAutospacing="0" w:after="0" w:afterAutospacing="0" w:line="440" w:lineRule="exact"/>
              <w:ind w:left="0" w:right="0"/>
              <w:jc w:val="left"/>
              <w:rPr>
                <w:rFonts w:ascii="仿宋_GB2312" w:hAnsi="宋体" w:eastAsia="宋体" w:cs="Times New Roman"/>
                <w:b/>
                <w:bCs/>
                <w:color w:val="auto"/>
                <w:w w:val="95"/>
                <w:sz w:val="13"/>
                <w:szCs w:val="13"/>
                <w:highlight w:val="none"/>
              </w:rPr>
            </w:pPr>
          </w:p>
        </w:tc>
        <w:tc>
          <w:tcPr>
            <w:tcW w:w="522" w:type="dxa"/>
            <w:vMerge w:val="continue"/>
            <w:tcBorders>
              <w:top w:val="single" w:color="auto" w:sz="4" w:space="0"/>
              <w:left w:val="single" w:color="auto" w:sz="4" w:space="0"/>
              <w:bottom w:val="single" w:color="auto" w:sz="4" w:space="0"/>
              <w:right w:val="single" w:color="auto" w:sz="4" w:space="0"/>
            </w:tcBorders>
            <w:noWrap w:val="0"/>
            <w:vAlign w:val="center"/>
          </w:tcPr>
          <w:p w14:paraId="6BE35889">
            <w:pPr>
              <w:keepNext w:val="0"/>
              <w:keepLines w:val="0"/>
              <w:widowControl/>
              <w:suppressLineNumbers w:val="0"/>
              <w:spacing w:before="0" w:beforeAutospacing="0" w:after="0" w:afterAutospacing="0" w:line="440" w:lineRule="exact"/>
              <w:ind w:left="0" w:right="0"/>
              <w:jc w:val="left"/>
              <w:rPr>
                <w:rFonts w:ascii="仿宋_GB2312" w:hAnsi="宋体" w:eastAsia="宋体" w:cs="Times New Roman"/>
                <w:b/>
                <w:bCs/>
                <w:color w:val="auto"/>
                <w:w w:val="95"/>
                <w:sz w:val="13"/>
                <w:szCs w:val="13"/>
                <w:highlight w:val="none"/>
              </w:rPr>
            </w:pPr>
          </w:p>
        </w:tc>
        <w:tc>
          <w:tcPr>
            <w:tcW w:w="648" w:type="dxa"/>
            <w:tcBorders>
              <w:top w:val="single" w:color="auto" w:sz="4" w:space="0"/>
              <w:left w:val="single" w:color="auto" w:sz="4" w:space="0"/>
              <w:bottom w:val="single" w:color="auto" w:sz="4" w:space="0"/>
              <w:right w:val="single" w:color="auto" w:sz="4" w:space="0"/>
            </w:tcBorders>
            <w:noWrap w:val="0"/>
            <w:vAlign w:val="center"/>
          </w:tcPr>
          <w:p w14:paraId="517AFAAD">
            <w:pPr>
              <w:keepNext w:val="0"/>
              <w:keepLines w:val="0"/>
              <w:suppressLineNumbers w:val="0"/>
              <w:snapToGrid w:val="0"/>
              <w:spacing w:before="0" w:beforeAutospacing="0" w:after="0" w:afterAutospacing="0"/>
              <w:ind w:left="0" w:right="0"/>
              <w:jc w:val="center"/>
              <w:rPr>
                <w:rFonts w:hint="eastAsia" w:ascii="仿宋" w:hAnsi="仿宋" w:eastAsia="仿宋" w:cs="Times New Roman"/>
                <w:b/>
                <w:bCs/>
                <w:color w:val="auto"/>
                <w:w w:val="95"/>
                <w:sz w:val="16"/>
                <w:szCs w:val="16"/>
                <w:highlight w:val="none"/>
              </w:rPr>
            </w:pPr>
            <w:r>
              <w:rPr>
                <w:rFonts w:hint="eastAsia" w:ascii="仿宋" w:hAnsi="仿宋" w:eastAsia="仿宋" w:cs="Times New Roman"/>
                <w:b/>
                <w:bCs/>
                <w:color w:val="auto"/>
                <w:w w:val="95"/>
                <w:sz w:val="16"/>
                <w:szCs w:val="16"/>
                <w:highlight w:val="none"/>
              </w:rPr>
              <w:t>容积率</w:t>
            </w:r>
          </w:p>
        </w:tc>
        <w:tc>
          <w:tcPr>
            <w:tcW w:w="708" w:type="dxa"/>
            <w:tcBorders>
              <w:top w:val="single" w:color="auto" w:sz="4" w:space="0"/>
              <w:left w:val="single" w:color="auto" w:sz="4" w:space="0"/>
              <w:bottom w:val="single" w:color="auto" w:sz="4" w:space="0"/>
              <w:right w:val="single" w:color="auto" w:sz="4" w:space="0"/>
            </w:tcBorders>
            <w:noWrap w:val="0"/>
            <w:vAlign w:val="center"/>
          </w:tcPr>
          <w:p w14:paraId="086430D2">
            <w:pPr>
              <w:keepNext w:val="0"/>
              <w:keepLines w:val="0"/>
              <w:suppressLineNumbers w:val="0"/>
              <w:snapToGrid w:val="0"/>
              <w:spacing w:before="0" w:beforeAutospacing="0" w:after="0" w:afterAutospacing="0"/>
              <w:ind w:left="0" w:leftChars="0" w:right="0" w:rightChars="0"/>
              <w:jc w:val="center"/>
              <w:rPr>
                <w:rFonts w:hint="eastAsia" w:ascii="仿宋" w:hAnsi="仿宋" w:eastAsia="仿宋" w:cs="Times New Roman"/>
                <w:b/>
                <w:bCs/>
                <w:color w:val="auto"/>
                <w:w w:val="95"/>
                <w:kern w:val="2"/>
                <w:sz w:val="16"/>
                <w:szCs w:val="16"/>
                <w:highlight w:val="none"/>
                <w:lang w:val="en-US" w:eastAsia="zh-CN" w:bidi="ar-SA"/>
              </w:rPr>
            </w:pPr>
            <w:r>
              <w:rPr>
                <w:rFonts w:hint="eastAsia" w:ascii="仿宋" w:hAnsi="仿宋" w:eastAsia="仿宋" w:cs="Times New Roman"/>
                <w:b/>
                <w:bCs/>
                <w:color w:val="auto"/>
                <w:w w:val="95"/>
                <w:sz w:val="16"/>
                <w:szCs w:val="16"/>
                <w:highlight w:val="none"/>
                <w:lang w:val="en-US" w:eastAsia="zh-CN"/>
              </w:rPr>
              <w:t>建筑密度</w:t>
            </w:r>
            <w:r>
              <w:rPr>
                <w:rFonts w:hint="eastAsia" w:ascii="仿宋" w:hAnsi="仿宋" w:eastAsia="仿宋" w:cs="Times New Roman"/>
                <w:b/>
                <w:bCs/>
                <w:color w:val="auto"/>
                <w:w w:val="95"/>
                <w:sz w:val="16"/>
                <w:szCs w:val="16"/>
                <w:highlight w:val="none"/>
              </w:rPr>
              <w:t>（%）</w:t>
            </w:r>
          </w:p>
        </w:tc>
        <w:tc>
          <w:tcPr>
            <w:tcW w:w="708" w:type="dxa"/>
            <w:tcBorders>
              <w:top w:val="single" w:color="auto" w:sz="4" w:space="0"/>
              <w:left w:val="single" w:color="auto" w:sz="4" w:space="0"/>
              <w:bottom w:val="single" w:color="auto" w:sz="4" w:space="0"/>
              <w:right w:val="single" w:color="auto" w:sz="4" w:space="0"/>
            </w:tcBorders>
            <w:noWrap w:val="0"/>
            <w:vAlign w:val="center"/>
          </w:tcPr>
          <w:p w14:paraId="22B0E821">
            <w:pPr>
              <w:keepNext w:val="0"/>
              <w:keepLines w:val="0"/>
              <w:suppressLineNumbers w:val="0"/>
              <w:snapToGrid w:val="0"/>
              <w:spacing w:before="0" w:beforeAutospacing="0" w:after="0" w:afterAutospacing="0"/>
              <w:ind w:left="0" w:leftChars="0" w:right="0" w:rightChars="0"/>
              <w:jc w:val="center"/>
              <w:rPr>
                <w:rFonts w:hint="default" w:ascii="仿宋" w:hAnsi="仿宋" w:eastAsia="仿宋" w:cs="Times New Roman"/>
                <w:b/>
                <w:bCs/>
                <w:color w:val="auto"/>
                <w:w w:val="95"/>
                <w:kern w:val="2"/>
                <w:sz w:val="16"/>
                <w:szCs w:val="16"/>
                <w:highlight w:val="none"/>
                <w:lang w:val="en-US" w:eastAsia="zh-CN" w:bidi="ar-SA"/>
              </w:rPr>
            </w:pPr>
            <w:r>
              <w:rPr>
                <w:rFonts w:hint="eastAsia" w:ascii="仿宋" w:hAnsi="仿宋" w:eastAsia="仿宋" w:cs="Times New Roman"/>
                <w:b/>
                <w:bCs/>
                <w:color w:val="auto"/>
                <w:w w:val="95"/>
                <w:kern w:val="2"/>
                <w:sz w:val="16"/>
                <w:szCs w:val="16"/>
                <w:highlight w:val="none"/>
                <w:lang w:val="en-US" w:eastAsia="zh-CN" w:bidi="ar-SA"/>
              </w:rPr>
              <w:t>绿地率</w:t>
            </w:r>
            <w:r>
              <w:rPr>
                <w:rFonts w:hint="eastAsia" w:ascii="仿宋" w:hAnsi="仿宋" w:eastAsia="仿宋" w:cs="Times New Roman"/>
                <w:b/>
                <w:bCs/>
                <w:color w:val="auto"/>
                <w:w w:val="95"/>
                <w:sz w:val="16"/>
                <w:szCs w:val="16"/>
                <w:highlight w:val="none"/>
              </w:rPr>
              <w:t>（%）</w:t>
            </w:r>
          </w:p>
        </w:tc>
        <w:tc>
          <w:tcPr>
            <w:tcW w:w="1212" w:type="dxa"/>
            <w:vMerge w:val="continue"/>
            <w:tcBorders>
              <w:top w:val="single" w:color="auto" w:sz="4" w:space="0"/>
              <w:left w:val="single" w:color="auto" w:sz="4" w:space="0"/>
              <w:bottom w:val="single" w:color="auto" w:sz="4" w:space="0"/>
              <w:right w:val="single" w:color="auto" w:sz="4" w:space="0"/>
            </w:tcBorders>
            <w:noWrap w:val="0"/>
            <w:vAlign w:val="center"/>
          </w:tcPr>
          <w:p w14:paraId="132FA13A">
            <w:pPr>
              <w:keepNext w:val="0"/>
              <w:keepLines w:val="0"/>
              <w:widowControl/>
              <w:suppressLineNumbers w:val="0"/>
              <w:spacing w:before="0" w:beforeAutospacing="0" w:after="0" w:afterAutospacing="0" w:line="440" w:lineRule="exact"/>
              <w:ind w:left="0" w:right="0"/>
              <w:jc w:val="left"/>
              <w:rPr>
                <w:rFonts w:ascii="仿宋_GB2312" w:hAnsi="宋体" w:eastAsia="宋体" w:cs="Times New Roman"/>
                <w:color w:val="auto"/>
                <w:w w:val="95"/>
                <w:sz w:val="13"/>
                <w:szCs w:val="13"/>
                <w:highlight w:val="yellow"/>
              </w:rPr>
            </w:pPr>
          </w:p>
        </w:tc>
        <w:tc>
          <w:tcPr>
            <w:tcW w:w="1176" w:type="dxa"/>
            <w:vMerge w:val="continue"/>
            <w:tcBorders>
              <w:top w:val="single" w:color="auto" w:sz="4" w:space="0"/>
              <w:left w:val="single" w:color="auto" w:sz="4" w:space="0"/>
              <w:bottom w:val="single" w:color="auto" w:sz="4" w:space="0"/>
              <w:right w:val="single" w:color="auto" w:sz="4" w:space="0"/>
            </w:tcBorders>
            <w:noWrap w:val="0"/>
            <w:vAlign w:val="center"/>
          </w:tcPr>
          <w:p w14:paraId="72C97487">
            <w:pPr>
              <w:keepNext w:val="0"/>
              <w:keepLines w:val="0"/>
              <w:widowControl/>
              <w:suppressLineNumbers w:val="0"/>
              <w:spacing w:before="0" w:beforeAutospacing="0" w:after="0" w:afterAutospacing="0" w:line="440" w:lineRule="exact"/>
              <w:ind w:left="0" w:right="0"/>
              <w:jc w:val="left"/>
              <w:rPr>
                <w:rFonts w:ascii="仿宋_GB2312" w:hAnsi="宋体" w:eastAsia="宋体" w:cs="Times New Roman"/>
                <w:color w:val="auto"/>
                <w:w w:val="95"/>
                <w:sz w:val="13"/>
                <w:szCs w:val="13"/>
                <w:highlight w:val="yellow"/>
              </w:rPr>
            </w:pPr>
          </w:p>
        </w:tc>
      </w:tr>
      <w:tr w14:paraId="5D2FA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680" w:hRule="atLeast"/>
          <w:jc w:val="center"/>
        </w:trPr>
        <w:tc>
          <w:tcPr>
            <w:tcW w:w="1051" w:type="dxa"/>
            <w:tcBorders>
              <w:top w:val="single" w:color="auto" w:sz="4" w:space="0"/>
              <w:left w:val="single" w:color="auto" w:sz="4" w:space="0"/>
              <w:bottom w:val="single" w:color="auto" w:sz="4" w:space="0"/>
              <w:right w:val="single" w:color="auto" w:sz="4" w:space="0"/>
            </w:tcBorders>
            <w:noWrap w:val="0"/>
            <w:vAlign w:val="center"/>
          </w:tcPr>
          <w:p w14:paraId="7A17A96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仿宋_GB2312" w:hAnsi="仿宋_GB2312" w:eastAsia="仿宋_GB2312" w:cs="仿宋_GB2312"/>
                <w:color w:val="auto"/>
                <w:w w:val="95"/>
                <w:kern w:val="2"/>
                <w:sz w:val="18"/>
                <w:szCs w:val="18"/>
                <w:highlight w:val="none"/>
                <w:lang w:val="en-US" w:eastAsia="zh-CN" w:bidi="ar-SA"/>
              </w:rPr>
            </w:pPr>
            <w:r>
              <w:rPr>
                <w:rFonts w:hint="eastAsia" w:ascii="仿宋_GB2312" w:hAnsi="仿宋_GB2312" w:eastAsia="仿宋_GB2312" w:cs="仿宋_GB2312"/>
                <w:color w:val="auto"/>
                <w:w w:val="95"/>
                <w:kern w:val="2"/>
                <w:sz w:val="18"/>
                <w:szCs w:val="18"/>
                <w:highlight w:val="none"/>
                <w:lang w:val="en-US" w:eastAsia="zh-CN" w:bidi="ar-SA"/>
              </w:rPr>
              <w:t>370211006001GB00046</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607F1896">
            <w:pPr>
              <w:snapToGrid w:val="0"/>
              <w:jc w:val="center"/>
              <w:rPr>
                <w:rFonts w:hint="default" w:ascii="仿宋_GB2312" w:hAnsi="仿宋_GB2312" w:eastAsia="仿宋_GB2312" w:cs="仿宋_GB2312"/>
                <w:color w:val="auto"/>
                <w:w w:val="95"/>
                <w:kern w:val="2"/>
                <w:sz w:val="18"/>
                <w:szCs w:val="18"/>
                <w:highlight w:val="none"/>
                <w:lang w:val="en-US" w:eastAsia="zh-CN" w:bidi="ar-SA"/>
              </w:rPr>
            </w:pPr>
            <w:r>
              <w:rPr>
                <w:rFonts w:hint="eastAsia" w:ascii="仿宋_GB2312" w:hAnsi="仿宋_GB2312" w:eastAsia="仿宋_GB2312" w:cs="仿宋_GB2312"/>
                <w:color w:val="auto"/>
                <w:w w:val="95"/>
                <w:kern w:val="2"/>
                <w:sz w:val="18"/>
                <w:szCs w:val="18"/>
                <w:highlight w:val="none"/>
                <w:lang w:val="en-US" w:eastAsia="zh-CN" w:bidi="ar-SA"/>
              </w:rPr>
              <w:t>青岛西海岸新区开放路以南、云台山路以东</w:t>
            </w:r>
          </w:p>
        </w:tc>
        <w:tc>
          <w:tcPr>
            <w:tcW w:w="792" w:type="dxa"/>
            <w:tcBorders>
              <w:top w:val="single" w:color="auto" w:sz="4" w:space="0"/>
              <w:left w:val="single" w:color="auto" w:sz="4" w:space="0"/>
              <w:bottom w:val="single" w:color="auto" w:sz="4" w:space="0"/>
              <w:right w:val="single" w:color="auto" w:sz="4" w:space="0"/>
            </w:tcBorders>
            <w:noWrap w:val="0"/>
            <w:vAlign w:val="center"/>
          </w:tcPr>
          <w:p w14:paraId="7EE6CE85">
            <w:pPr>
              <w:snapToGrid w:val="0"/>
              <w:jc w:val="center"/>
              <w:rPr>
                <w:rFonts w:hint="default" w:ascii="仿宋_GB2312" w:hAnsi="仿宋_GB2312" w:eastAsia="仿宋_GB2312" w:cs="仿宋_GB2312"/>
                <w:color w:val="auto"/>
                <w:w w:val="95"/>
                <w:kern w:val="2"/>
                <w:sz w:val="18"/>
                <w:szCs w:val="18"/>
                <w:highlight w:val="none"/>
                <w:lang w:val="en-US" w:eastAsia="zh-CN" w:bidi="ar-SA"/>
              </w:rPr>
            </w:pPr>
            <w:r>
              <w:rPr>
                <w:rFonts w:hint="eastAsia" w:ascii="仿宋_GB2312" w:hAnsi="仿宋_GB2312" w:cs="仿宋_GB2312"/>
                <w:color w:val="auto"/>
                <w:w w:val="95"/>
                <w:sz w:val="20"/>
                <w:szCs w:val="20"/>
                <w:highlight w:val="none"/>
                <w:lang w:val="en-US" w:eastAsia="zh-CN"/>
              </w:rPr>
              <w:t>59866</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421FCE24">
            <w:pPr>
              <w:snapToGrid w:val="0"/>
              <w:jc w:val="center"/>
              <w:rPr>
                <w:rFonts w:hint="default" w:ascii="仿宋_GB2312" w:hAnsi="仿宋_GB2312" w:eastAsia="仿宋_GB2312" w:cs="仿宋_GB2312"/>
                <w:color w:val="auto"/>
                <w:w w:val="95"/>
                <w:kern w:val="2"/>
                <w:sz w:val="18"/>
                <w:szCs w:val="18"/>
                <w:highlight w:val="none"/>
                <w:lang w:val="en-US" w:eastAsia="zh-CN" w:bidi="ar-SA"/>
              </w:rPr>
            </w:pPr>
            <w:r>
              <w:rPr>
                <w:rFonts w:hint="eastAsia" w:ascii="仿宋_GB2312" w:hAnsi="仿宋_GB2312" w:eastAsia="仿宋_GB2312" w:cs="仿宋_GB2312"/>
                <w:color w:val="auto"/>
                <w:w w:val="95"/>
                <w:sz w:val="20"/>
                <w:szCs w:val="20"/>
                <w:highlight w:val="none"/>
                <w:lang w:val="en-US" w:eastAsia="zh-CN"/>
              </w:rPr>
              <w:t>工业用地</w:t>
            </w:r>
          </w:p>
        </w:tc>
        <w:tc>
          <w:tcPr>
            <w:tcW w:w="522" w:type="dxa"/>
            <w:tcBorders>
              <w:top w:val="single" w:color="auto" w:sz="4" w:space="0"/>
              <w:left w:val="single" w:color="auto" w:sz="4" w:space="0"/>
              <w:bottom w:val="single" w:color="auto" w:sz="4" w:space="0"/>
              <w:right w:val="single" w:color="auto" w:sz="4" w:space="0"/>
            </w:tcBorders>
            <w:noWrap w:val="0"/>
            <w:vAlign w:val="center"/>
          </w:tcPr>
          <w:p w14:paraId="03E65103">
            <w:pPr>
              <w:snapToGrid w:val="0"/>
              <w:jc w:val="center"/>
              <w:rPr>
                <w:rFonts w:hint="default" w:ascii="仿宋_GB2312" w:hAnsi="仿宋_GB2312" w:eastAsia="仿宋_GB2312" w:cs="仿宋_GB2312"/>
                <w:color w:val="auto"/>
                <w:w w:val="95"/>
                <w:kern w:val="2"/>
                <w:sz w:val="18"/>
                <w:szCs w:val="18"/>
                <w:highlight w:val="yellow"/>
                <w:lang w:val="en-US" w:eastAsia="zh-CN" w:bidi="ar-SA"/>
              </w:rPr>
            </w:pPr>
            <w:r>
              <w:rPr>
                <w:rFonts w:hint="eastAsia" w:ascii="仿宋_GB2312" w:hAnsi="仿宋_GB2312" w:eastAsia="仿宋_GB2312" w:cs="仿宋_GB2312"/>
                <w:color w:val="auto"/>
                <w:w w:val="95"/>
                <w:sz w:val="20"/>
                <w:szCs w:val="20"/>
                <w:highlight w:val="none"/>
                <w:lang w:val="en-US" w:eastAsia="zh-CN"/>
              </w:rPr>
              <w:t>30</w:t>
            </w:r>
          </w:p>
        </w:tc>
        <w:tc>
          <w:tcPr>
            <w:tcW w:w="648" w:type="dxa"/>
            <w:tcBorders>
              <w:top w:val="single" w:color="auto" w:sz="4" w:space="0"/>
              <w:left w:val="single" w:color="auto" w:sz="4" w:space="0"/>
              <w:bottom w:val="single" w:color="auto" w:sz="4" w:space="0"/>
              <w:right w:val="single" w:color="auto" w:sz="4" w:space="0"/>
            </w:tcBorders>
            <w:noWrap w:val="0"/>
            <w:vAlign w:val="center"/>
          </w:tcPr>
          <w:p w14:paraId="1DD2E3F5">
            <w:pPr>
              <w:snapToGrid w:val="0"/>
              <w:rPr>
                <w:rFonts w:hint="default" w:ascii="仿宋_GB2312" w:hAnsi="仿宋_GB2312" w:eastAsia="仿宋_GB2312" w:cs="仿宋_GB2312"/>
                <w:color w:val="auto"/>
                <w:w w:val="95"/>
                <w:kern w:val="2"/>
                <w:sz w:val="18"/>
                <w:szCs w:val="18"/>
                <w:highlight w:val="none"/>
                <w:lang w:val="en-US" w:eastAsia="zh-CN" w:bidi="ar-SA"/>
              </w:rPr>
            </w:pPr>
            <w:r>
              <w:rPr>
                <w:rFonts w:hint="eastAsia" w:ascii="仿宋_GB2312" w:hAnsi="仿宋_GB2312" w:eastAsia="仿宋_GB2312" w:cs="仿宋_GB2312"/>
                <w:color w:val="auto"/>
                <w:w w:val="95"/>
                <w:sz w:val="20"/>
                <w:szCs w:val="20"/>
                <w:highlight w:val="none"/>
                <w:lang w:val="en-US" w:eastAsia="zh-CN"/>
              </w:rPr>
              <w:t xml:space="preserve"> ≥1.5</w:t>
            </w:r>
          </w:p>
        </w:tc>
        <w:tc>
          <w:tcPr>
            <w:tcW w:w="708" w:type="dxa"/>
            <w:tcBorders>
              <w:top w:val="single" w:color="auto" w:sz="4" w:space="0"/>
              <w:left w:val="single" w:color="auto" w:sz="4" w:space="0"/>
              <w:bottom w:val="single" w:color="auto" w:sz="4" w:space="0"/>
              <w:right w:val="single" w:color="auto" w:sz="4" w:space="0"/>
            </w:tcBorders>
            <w:noWrap w:val="0"/>
            <w:vAlign w:val="center"/>
          </w:tcPr>
          <w:p w14:paraId="30046114">
            <w:pPr>
              <w:snapToGrid w:val="0"/>
              <w:jc w:val="center"/>
              <w:rPr>
                <w:rFonts w:hint="default" w:ascii="仿宋_GB2312" w:hAnsi="仿宋_GB2312" w:eastAsia="仿宋_GB2312" w:cs="仿宋_GB2312"/>
                <w:color w:val="auto"/>
                <w:w w:val="95"/>
                <w:kern w:val="2"/>
                <w:sz w:val="18"/>
                <w:szCs w:val="18"/>
                <w:highlight w:val="none"/>
                <w:lang w:val="en-US" w:eastAsia="zh-CN" w:bidi="ar-SA"/>
              </w:rPr>
            </w:pPr>
            <w:r>
              <w:rPr>
                <w:rFonts w:hint="eastAsia" w:ascii="仿宋_GB2312" w:hAnsi="仿宋_GB2312" w:eastAsia="仿宋_GB2312" w:cs="仿宋_GB2312"/>
                <w:color w:val="auto"/>
                <w:w w:val="95"/>
                <w:sz w:val="20"/>
                <w:szCs w:val="20"/>
                <w:highlight w:val="none"/>
                <w:lang w:val="en-US" w:eastAsia="zh-CN"/>
              </w:rPr>
              <w:t>40-65</w:t>
            </w:r>
          </w:p>
        </w:tc>
        <w:tc>
          <w:tcPr>
            <w:tcW w:w="708" w:type="dxa"/>
            <w:tcBorders>
              <w:top w:val="single" w:color="auto" w:sz="4" w:space="0"/>
              <w:left w:val="single" w:color="auto" w:sz="4" w:space="0"/>
              <w:bottom w:val="single" w:color="auto" w:sz="4" w:space="0"/>
              <w:right w:val="single" w:color="auto" w:sz="4" w:space="0"/>
            </w:tcBorders>
            <w:noWrap w:val="0"/>
            <w:vAlign w:val="center"/>
          </w:tcPr>
          <w:p w14:paraId="53893E57">
            <w:pPr>
              <w:snapToGrid w:val="0"/>
              <w:jc w:val="center"/>
              <w:rPr>
                <w:rFonts w:hint="eastAsia" w:ascii="仿宋_GB2312" w:hAnsi="仿宋_GB2312" w:eastAsia="仿宋_GB2312" w:cs="仿宋_GB2312"/>
                <w:color w:val="auto"/>
                <w:w w:val="95"/>
                <w:kern w:val="2"/>
                <w:sz w:val="18"/>
                <w:szCs w:val="18"/>
                <w:highlight w:val="none"/>
                <w:lang w:val="en-US" w:eastAsia="zh-CN" w:bidi="ar-SA"/>
              </w:rPr>
            </w:pPr>
            <w:r>
              <w:rPr>
                <w:rFonts w:hint="eastAsia" w:ascii="仿宋_GB2312" w:hAnsi="仿宋_GB2312" w:eastAsia="仿宋_GB2312" w:cs="仿宋_GB2312"/>
                <w:color w:val="auto"/>
                <w:w w:val="95"/>
                <w:sz w:val="20"/>
                <w:szCs w:val="20"/>
                <w:highlight w:val="none"/>
                <w:lang w:val="en-US" w:eastAsia="zh-CN"/>
              </w:rPr>
              <w:t>≤15</w:t>
            </w:r>
          </w:p>
        </w:tc>
        <w:tc>
          <w:tcPr>
            <w:tcW w:w="1212" w:type="dxa"/>
            <w:tcBorders>
              <w:top w:val="single" w:color="auto" w:sz="4" w:space="0"/>
              <w:left w:val="single" w:color="auto" w:sz="4" w:space="0"/>
              <w:bottom w:val="single" w:color="auto" w:sz="4" w:space="0"/>
              <w:right w:val="nil"/>
            </w:tcBorders>
            <w:noWrap w:val="0"/>
            <w:vAlign w:val="center"/>
          </w:tcPr>
          <w:p w14:paraId="406DFA65">
            <w:pPr>
              <w:snapToGrid w:val="0"/>
              <w:jc w:val="center"/>
              <w:rPr>
                <w:rFonts w:hint="default" w:ascii="仿宋_GB2312" w:hAnsi="仿宋_GB2312" w:eastAsia="仿宋_GB2312" w:cs="仿宋_GB2312"/>
                <w:color w:val="auto"/>
                <w:w w:val="95"/>
                <w:kern w:val="2"/>
                <w:sz w:val="18"/>
                <w:szCs w:val="18"/>
                <w:highlight w:val="none"/>
                <w:lang w:val="en-US" w:eastAsia="zh-CN" w:bidi="ar-SA"/>
              </w:rPr>
            </w:pPr>
            <w:r>
              <w:rPr>
                <w:rFonts w:hint="eastAsia" w:ascii="仿宋_GB2312" w:hAnsi="仿宋_GB2312" w:eastAsia="仿宋_GB2312" w:cs="仿宋_GB2312"/>
                <w:color w:val="auto"/>
                <w:w w:val="95"/>
                <w:kern w:val="2"/>
                <w:sz w:val="18"/>
                <w:szCs w:val="18"/>
                <w:highlight w:val="none"/>
                <w:lang w:val="en-US" w:eastAsia="zh-CN" w:bidi="ar-SA"/>
              </w:rPr>
              <w:t>3585.9734</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75839A3C">
            <w:pPr>
              <w:snapToGrid w:val="0"/>
              <w:jc w:val="center"/>
              <w:rPr>
                <w:rFonts w:hint="default" w:ascii="仿宋_GB2312" w:hAnsi="仿宋_GB2312" w:eastAsia="仿宋_GB2312" w:cs="仿宋_GB2312"/>
                <w:color w:val="auto"/>
                <w:w w:val="95"/>
                <w:kern w:val="2"/>
                <w:sz w:val="18"/>
                <w:szCs w:val="18"/>
                <w:highlight w:val="none"/>
                <w:lang w:val="en-US" w:eastAsia="zh-CN" w:bidi="ar-SA"/>
              </w:rPr>
            </w:pPr>
            <w:r>
              <w:rPr>
                <w:rFonts w:hint="eastAsia" w:ascii="仿宋_GB2312" w:hAnsi="仿宋_GB2312" w:eastAsia="仿宋_GB2312" w:cs="仿宋_GB2312"/>
                <w:color w:val="auto"/>
                <w:w w:val="95"/>
                <w:kern w:val="2"/>
                <w:sz w:val="18"/>
                <w:szCs w:val="18"/>
                <w:highlight w:val="none"/>
                <w:lang w:val="en-US" w:eastAsia="zh-CN" w:bidi="ar-SA"/>
              </w:rPr>
              <w:t>3585.9734</w:t>
            </w:r>
          </w:p>
        </w:tc>
      </w:tr>
    </w:tbl>
    <w:p w14:paraId="1053B1D8">
      <w:pPr>
        <w:spacing w:line="400" w:lineRule="exact"/>
        <w:ind w:firstLine="480" w:firstLineChars="200"/>
        <w:rPr>
          <w:rFonts w:hint="default" w:ascii="宋体" w:hAnsi="宋体" w:eastAsia="宋体" w:cs="Times New Roman"/>
          <w:sz w:val="24"/>
          <w:lang w:val="en-US" w:eastAsia="zh-CN"/>
        </w:rPr>
      </w:pPr>
      <w:r>
        <w:rPr>
          <w:rFonts w:hint="eastAsia" w:ascii="宋体" w:hAnsi="宋体"/>
          <w:sz w:val="24"/>
        </w:rPr>
        <w:t>注：</w:t>
      </w:r>
      <w:r>
        <w:rPr>
          <w:rFonts w:hint="eastAsia" w:ascii="宋体" w:hAnsi="宋体"/>
          <w:sz w:val="24"/>
          <w:highlight w:val="none"/>
        </w:rPr>
        <w:t>拍卖地块实际规划设计指标以及空间范围，以规划行政主管部门批准的规划方案为准，出让地块周边配套情况以现状为准。土</w:t>
      </w:r>
      <w:r>
        <w:rPr>
          <w:rFonts w:hint="eastAsia" w:ascii="宋体" w:hAnsi="宋体"/>
          <w:sz w:val="24"/>
        </w:rPr>
        <w:t>地出让价款总额为成交</w:t>
      </w:r>
      <w:r>
        <w:rPr>
          <w:rFonts w:hint="eastAsia" w:ascii="宋体" w:hAnsi="宋体"/>
          <w:sz w:val="24"/>
          <w:lang w:val="en-US" w:eastAsia="zh-CN"/>
        </w:rPr>
        <w:t>土地单</w:t>
      </w:r>
      <w:r>
        <w:rPr>
          <w:rFonts w:hint="eastAsia" w:ascii="宋体" w:hAnsi="宋体"/>
          <w:sz w:val="24"/>
        </w:rPr>
        <w:t>价与</w:t>
      </w:r>
      <w:r>
        <w:rPr>
          <w:rFonts w:hint="eastAsia" w:ascii="宋体" w:hAnsi="宋体"/>
          <w:sz w:val="24"/>
          <w:lang w:val="en-US" w:eastAsia="zh-CN"/>
        </w:rPr>
        <w:t>公告土地</w:t>
      </w:r>
      <w:r>
        <w:rPr>
          <w:rFonts w:hint="eastAsia" w:ascii="宋体" w:hAnsi="宋体"/>
          <w:sz w:val="24"/>
        </w:rPr>
        <w:t>面积的乘积。出让金中不含契税、耕地开垦费等费用</w:t>
      </w:r>
      <w:r>
        <w:rPr>
          <w:rFonts w:hint="eastAsia" w:ascii="宋体" w:hAnsi="宋体"/>
          <w:sz w:val="24"/>
          <w:lang w:eastAsia="zh-CN"/>
        </w:rPr>
        <w:t>，</w:t>
      </w:r>
      <w:r>
        <w:rPr>
          <w:rFonts w:hint="eastAsia" w:ascii="宋体" w:hAnsi="宋体" w:eastAsia="宋体" w:cs="Times New Roman"/>
          <w:sz w:val="24"/>
        </w:rPr>
        <w:t>上述税费依据相关政策规定另行缴纳。</w:t>
      </w:r>
    </w:p>
    <w:p w14:paraId="1AE6C1CA">
      <w:pPr>
        <w:snapToGrid w:val="0"/>
        <w:spacing w:line="400" w:lineRule="exact"/>
        <w:ind w:firstLine="482" w:firstLineChars="200"/>
        <w:rPr>
          <w:rFonts w:hint="eastAsia" w:ascii="宋体" w:hAnsi="宋体"/>
          <w:b/>
          <w:bCs/>
          <w:sz w:val="24"/>
        </w:rPr>
      </w:pPr>
      <w:r>
        <w:rPr>
          <w:rFonts w:hint="eastAsia" w:ascii="宋体" w:hAnsi="宋体"/>
          <w:b/>
          <w:sz w:val="24"/>
        </w:rPr>
        <w:t>二、竞买资格要求</w:t>
      </w:r>
    </w:p>
    <w:p w14:paraId="1C7AC072">
      <w:pPr>
        <w:snapToGrid w:val="0"/>
        <w:spacing w:line="400" w:lineRule="exact"/>
        <w:ind w:firstLine="480" w:firstLineChars="200"/>
        <w:rPr>
          <w:rFonts w:hint="default" w:ascii="宋体" w:hAnsi="宋体" w:eastAsia="宋体"/>
          <w:sz w:val="24"/>
          <w:highlight w:val="none"/>
          <w:lang w:val="en-US" w:eastAsia="zh-CN"/>
        </w:rPr>
      </w:pPr>
      <w:r>
        <w:rPr>
          <w:rFonts w:hint="eastAsia"/>
          <w:bCs/>
          <w:sz w:val="24"/>
          <w:highlight w:val="none"/>
        </w:rPr>
        <w:t>中华人民共和国境内外的法人或其他组织，除法律、法规另有规定外</w:t>
      </w:r>
      <w:r>
        <w:rPr>
          <w:rFonts w:hint="eastAsia"/>
          <w:bCs/>
          <w:sz w:val="24"/>
          <w:highlight w:val="none"/>
          <w:lang w:eastAsia="zh-CN"/>
        </w:rPr>
        <w:t>，</w:t>
      </w:r>
      <w:r>
        <w:rPr>
          <w:rFonts w:hint="eastAsia" w:ascii="宋体"/>
          <w:sz w:val="24"/>
          <w:szCs w:val="24"/>
          <w:highlight w:val="none"/>
        </w:rPr>
        <w:t>符合本出让公告及《网上拍卖出让须知》要求的，均可申请参加</w:t>
      </w:r>
      <w:r>
        <w:rPr>
          <w:rFonts w:hint="eastAsia" w:ascii="宋体"/>
          <w:sz w:val="24"/>
          <w:szCs w:val="24"/>
          <w:highlight w:val="none"/>
          <w:lang w:eastAsia="zh-CN"/>
        </w:rPr>
        <w:t>。</w:t>
      </w:r>
      <w:r>
        <w:rPr>
          <w:rFonts w:hint="eastAsia" w:ascii="宋体"/>
          <w:color w:val="auto"/>
          <w:sz w:val="24"/>
          <w:szCs w:val="24"/>
          <w:highlight w:val="none"/>
        </w:rPr>
        <w:t>申请人</w:t>
      </w:r>
      <w:r>
        <w:rPr>
          <w:rFonts w:hint="eastAsia" w:ascii="宋体" w:hAnsi="宋体"/>
          <w:sz w:val="24"/>
          <w:highlight w:val="none"/>
        </w:rPr>
        <w:t>须</w:t>
      </w:r>
      <w:r>
        <w:rPr>
          <w:rFonts w:hint="eastAsia" w:ascii="宋体"/>
          <w:color w:val="auto"/>
          <w:sz w:val="24"/>
          <w:szCs w:val="24"/>
          <w:highlight w:val="none"/>
        </w:rPr>
        <w:t>单独申请</w:t>
      </w:r>
      <w:r>
        <w:rPr>
          <w:rFonts w:hint="eastAsia" w:ascii="宋体"/>
          <w:color w:val="auto"/>
          <w:sz w:val="24"/>
          <w:szCs w:val="24"/>
          <w:highlight w:val="none"/>
          <w:lang w:val="en-US" w:eastAsia="zh-CN"/>
        </w:rPr>
        <w:t>。其他要求详见网上拍卖出让须知。</w:t>
      </w:r>
    </w:p>
    <w:p w14:paraId="14E9C5F1">
      <w:pPr>
        <w:snapToGrid w:val="0"/>
        <w:spacing w:line="400" w:lineRule="exact"/>
        <w:ind w:firstLine="482" w:firstLineChars="200"/>
        <w:rPr>
          <w:rFonts w:ascii="宋体" w:hAnsi="宋体"/>
          <w:b/>
          <w:sz w:val="24"/>
        </w:rPr>
      </w:pPr>
      <w:r>
        <w:rPr>
          <w:rFonts w:hint="eastAsia" w:ascii="宋体" w:hAnsi="宋体"/>
          <w:b/>
          <w:sz w:val="24"/>
        </w:rPr>
        <w:t>三、拍卖</w:t>
      </w:r>
      <w:r>
        <w:rPr>
          <w:rFonts w:ascii="宋体" w:hAnsi="宋体"/>
          <w:b/>
          <w:sz w:val="24"/>
        </w:rPr>
        <w:t>文件的下载</w:t>
      </w:r>
    </w:p>
    <w:p w14:paraId="2E19A92E">
      <w:pPr>
        <w:spacing w:line="400" w:lineRule="exact"/>
        <w:ind w:firstLine="480"/>
        <w:rPr>
          <w:rFonts w:hint="eastAsia" w:ascii="宋体" w:hAnsi="宋体"/>
          <w:sz w:val="24"/>
          <w:highlight w:val="none"/>
          <w:lang w:eastAsia="zh-CN"/>
        </w:rPr>
      </w:pPr>
      <w:r>
        <w:rPr>
          <w:rFonts w:hint="eastAsia" w:ascii="宋体" w:hAnsi="宋体"/>
          <w:sz w:val="24"/>
          <w:highlight w:val="none"/>
        </w:rPr>
        <w:t>本次国有建设用地使用权网上拍卖出让通过青岛市国有建设用地使用权网上交易系统</w:t>
      </w:r>
      <w:r>
        <w:rPr>
          <w:rFonts w:hint="eastAsia" w:ascii="宋体" w:hAnsi="宋体" w:eastAsia="宋体" w:cs="宋体"/>
          <w:sz w:val="24"/>
          <w:szCs w:val="24"/>
          <w:highlight w:val="none"/>
        </w:rPr>
        <w:t>https://ggzy.qingdao.gov.cn/qdscmh/</w:t>
      </w:r>
      <w:r>
        <w:rPr>
          <w:rFonts w:hint="eastAsia" w:ascii="宋体" w:hAnsi="宋体"/>
          <w:bCs/>
          <w:sz w:val="24"/>
          <w:highlight w:val="none"/>
        </w:rPr>
        <w:t>（以下简称“网上交易系统”）</w:t>
      </w:r>
      <w:r>
        <w:rPr>
          <w:rFonts w:hint="eastAsia" w:ascii="宋体" w:hAnsi="宋体"/>
          <w:sz w:val="24"/>
          <w:highlight w:val="none"/>
        </w:rPr>
        <w:t>进行</w:t>
      </w:r>
      <w:r>
        <w:rPr>
          <w:rFonts w:hint="eastAsia" w:ascii="宋体" w:hAnsi="宋体"/>
          <w:sz w:val="24"/>
          <w:highlight w:val="none"/>
          <w:lang w:eastAsia="zh-CN"/>
        </w:rPr>
        <w:t>。</w:t>
      </w:r>
    </w:p>
    <w:p w14:paraId="353C299C">
      <w:pPr>
        <w:spacing w:line="400" w:lineRule="exact"/>
        <w:ind w:firstLine="480"/>
        <w:rPr>
          <w:rFonts w:hint="eastAsia" w:ascii="宋体" w:hAnsi="宋体"/>
          <w:b/>
          <w:sz w:val="24"/>
          <w:highlight w:val="yellow"/>
        </w:rPr>
      </w:pPr>
      <w:r>
        <w:rPr>
          <w:rFonts w:hint="eastAsia" w:ascii="宋体" w:hAnsi="宋体"/>
          <w:b/>
          <w:sz w:val="24"/>
          <w:highlight w:val="none"/>
        </w:rPr>
        <w:t>四</w:t>
      </w:r>
      <w:r>
        <w:rPr>
          <w:rFonts w:ascii="宋体" w:hAnsi="宋体"/>
          <w:b/>
          <w:sz w:val="24"/>
          <w:highlight w:val="none"/>
        </w:rPr>
        <w:t>、</w:t>
      </w:r>
      <w:r>
        <w:rPr>
          <w:rFonts w:hint="eastAsia" w:ascii="宋体" w:hAnsi="宋体"/>
          <w:b/>
          <w:sz w:val="24"/>
          <w:highlight w:val="none"/>
        </w:rPr>
        <w:t>本次拍卖出让设起始价、不设底价</w:t>
      </w:r>
      <w:r>
        <w:rPr>
          <w:rFonts w:hint="eastAsia" w:ascii="宋体" w:hAnsi="宋体"/>
          <w:b/>
          <w:sz w:val="24"/>
          <w:highlight w:val="none"/>
          <w:lang w:val="en-US" w:eastAsia="zh-CN"/>
        </w:rPr>
        <w:t>和最高限价</w:t>
      </w:r>
      <w:r>
        <w:rPr>
          <w:rFonts w:hint="eastAsia" w:ascii="宋体" w:hAnsi="宋体"/>
          <w:b/>
          <w:sz w:val="24"/>
          <w:highlight w:val="none"/>
        </w:rPr>
        <w:t>，采用增价拍卖方式，按照价高</w:t>
      </w:r>
      <w:r>
        <w:rPr>
          <w:rFonts w:hint="eastAsia" w:ascii="宋体" w:hAnsi="宋体"/>
          <w:b/>
          <w:sz w:val="24"/>
          <w:highlight w:val="none"/>
          <w:lang w:val="en-US" w:eastAsia="zh-CN"/>
        </w:rPr>
        <w:t xml:space="preserve">   </w:t>
      </w:r>
      <w:r>
        <w:rPr>
          <w:rFonts w:hint="eastAsia" w:ascii="宋体" w:hAnsi="宋体"/>
          <w:b/>
          <w:sz w:val="24"/>
          <w:highlight w:val="none"/>
        </w:rPr>
        <w:t>者得的原则确定竞得人。</w:t>
      </w:r>
    </w:p>
    <w:p w14:paraId="1609169F">
      <w:pPr>
        <w:spacing w:line="400" w:lineRule="exact"/>
        <w:ind w:firstLine="482" w:firstLineChars="200"/>
        <w:rPr>
          <w:rFonts w:hint="eastAsia" w:ascii="宋体" w:hAnsi="宋体"/>
          <w:b/>
          <w:bCs/>
          <w:sz w:val="24"/>
        </w:rPr>
      </w:pPr>
      <w:r>
        <w:rPr>
          <w:rFonts w:hint="eastAsia" w:ascii="宋体" w:hAnsi="宋体"/>
          <w:b/>
          <w:bCs/>
          <w:sz w:val="24"/>
        </w:rPr>
        <w:t>五、拍卖文件的领取</w:t>
      </w:r>
    </w:p>
    <w:p w14:paraId="50D2209B">
      <w:pPr>
        <w:spacing w:line="400" w:lineRule="exact"/>
        <w:ind w:firstLine="480" w:firstLineChars="200"/>
        <w:rPr>
          <w:rFonts w:ascii="宋体" w:hAnsi="宋体"/>
          <w:sz w:val="24"/>
          <w:highlight w:val="none"/>
        </w:rPr>
      </w:pPr>
      <w:r>
        <w:rPr>
          <w:rFonts w:hint="eastAsia" w:ascii="宋体" w:hAnsi="宋体"/>
          <w:sz w:val="24"/>
          <w:highlight w:val="none"/>
        </w:rPr>
        <w:t>竞买人应</w:t>
      </w:r>
      <w:r>
        <w:rPr>
          <w:rFonts w:hint="eastAsia" w:ascii="宋体" w:hAnsi="宋体"/>
          <w:color w:val="000000"/>
          <w:sz w:val="24"/>
          <w:highlight w:val="none"/>
          <w:lang w:val="en-US" w:eastAsia="zh-CN"/>
        </w:rPr>
        <w:t>自行</w:t>
      </w:r>
      <w:r>
        <w:rPr>
          <w:rFonts w:hint="eastAsia" w:ascii="宋体" w:hAnsi="宋体"/>
          <w:sz w:val="24"/>
          <w:highlight w:val="none"/>
        </w:rPr>
        <w:t>登录网上交易系统</w:t>
      </w:r>
      <w:r>
        <w:rPr>
          <w:rFonts w:hint="eastAsia" w:ascii="宋体" w:hAnsi="宋体"/>
          <w:sz w:val="24"/>
          <w:highlight w:val="none"/>
          <w:lang w:val="en-US" w:eastAsia="zh-CN"/>
        </w:rPr>
        <w:t>进行</w:t>
      </w:r>
      <w:r>
        <w:rPr>
          <w:rFonts w:hint="eastAsia" w:ascii="宋体" w:hAnsi="宋体"/>
          <w:sz w:val="24"/>
          <w:highlight w:val="none"/>
        </w:rPr>
        <w:t>查询、下载本次拍卖出让文件及相关资料。</w:t>
      </w:r>
    </w:p>
    <w:p w14:paraId="1D7004F4">
      <w:pPr>
        <w:spacing w:line="400" w:lineRule="exact"/>
        <w:ind w:firstLine="482" w:firstLineChars="200"/>
        <w:outlineLvl w:val="0"/>
        <w:rPr>
          <w:rFonts w:hint="eastAsia" w:ascii="宋体" w:hAnsi="宋体"/>
          <w:b/>
          <w:bCs/>
          <w:sz w:val="24"/>
          <w:highlight w:val="none"/>
        </w:rPr>
      </w:pPr>
      <w:r>
        <w:rPr>
          <w:rFonts w:hint="eastAsia" w:ascii="宋体" w:hAnsi="宋体"/>
          <w:b/>
          <w:bCs/>
          <w:sz w:val="24"/>
          <w:highlight w:val="none"/>
          <w:lang w:eastAsia="zh-CN"/>
        </w:rPr>
        <w:t>六</w:t>
      </w:r>
      <w:r>
        <w:rPr>
          <w:rFonts w:hint="eastAsia" w:ascii="宋体" w:hAnsi="宋体"/>
          <w:b/>
          <w:bCs/>
          <w:sz w:val="24"/>
          <w:highlight w:val="none"/>
        </w:rPr>
        <w:t>、竞买申请的办理</w:t>
      </w:r>
    </w:p>
    <w:p w14:paraId="461D992E">
      <w:pPr>
        <w:adjustRightInd w:val="0"/>
        <w:snapToGrid w:val="0"/>
        <w:spacing w:line="400" w:lineRule="exact"/>
        <w:ind w:firstLine="470" w:firstLineChars="196"/>
        <w:rPr>
          <w:rFonts w:hint="eastAsia" w:ascii="宋体" w:hAnsi="宋体"/>
          <w:sz w:val="24"/>
          <w:highlight w:val="none"/>
        </w:rPr>
      </w:pPr>
      <w:r>
        <w:rPr>
          <w:rFonts w:hint="eastAsia" w:ascii="宋体" w:hAnsi="宋体"/>
          <w:color w:val="000000"/>
          <w:sz w:val="24"/>
          <w:highlight w:val="none"/>
          <w:lang w:val="en-US" w:eastAsia="zh-CN"/>
        </w:rPr>
        <w:t>竞买人须全面阅读</w:t>
      </w:r>
      <w:r>
        <w:rPr>
          <w:rFonts w:hint="eastAsia" w:ascii="宋体" w:hAnsi="宋体" w:eastAsia="宋体" w:cs="Times New Roman"/>
          <w:sz w:val="24"/>
          <w:highlight w:val="none"/>
        </w:rPr>
        <w:t>《关于进一步规范国有建设用地使用权网上交易相关工作的通知》（青自然资规字</w:t>
      </w:r>
      <w:r>
        <w:rPr>
          <w:rFonts w:hint="eastAsia" w:ascii="宋体" w:hAnsi="宋体" w:cs="Times New Roman"/>
          <w:sz w:val="24"/>
          <w:highlight w:val="none"/>
          <w:lang w:eastAsia="zh-CN"/>
        </w:rPr>
        <w:t>〔2023〕154号</w:t>
      </w:r>
      <w:r>
        <w:rPr>
          <w:rFonts w:hint="eastAsia" w:ascii="宋体" w:hAnsi="宋体" w:eastAsia="宋体" w:cs="Times New Roman"/>
          <w:sz w:val="24"/>
          <w:highlight w:val="none"/>
        </w:rPr>
        <w:t>）</w:t>
      </w:r>
      <w:r>
        <w:rPr>
          <w:rFonts w:hint="eastAsia" w:ascii="宋体" w:hAnsi="宋体" w:cs="Times New Roman"/>
          <w:sz w:val="24"/>
          <w:highlight w:val="none"/>
          <w:lang w:eastAsia="zh-CN"/>
        </w:rPr>
        <w:t>，</w:t>
      </w:r>
      <w:r>
        <w:rPr>
          <w:rFonts w:hint="eastAsia" w:ascii="宋体" w:hAnsi="宋体"/>
          <w:sz w:val="24"/>
          <w:highlight w:val="none"/>
        </w:rPr>
        <w:t>于</w:t>
      </w:r>
      <w:r>
        <w:rPr>
          <w:rFonts w:hint="eastAsia" w:ascii="宋体" w:hAnsi="Times New Roman" w:eastAsia="宋体" w:cs="Times New Roman"/>
          <w:sz w:val="24"/>
          <w:highlight w:val="none"/>
        </w:rPr>
        <w:t>202</w:t>
      </w:r>
      <w:r>
        <w:rPr>
          <w:rFonts w:hint="eastAsia" w:ascii="宋体" w:hAnsi="Times New Roman" w:eastAsia="宋体" w:cs="Times New Roman"/>
          <w:sz w:val="24"/>
          <w:highlight w:val="none"/>
          <w:lang w:val="en-US" w:eastAsia="zh-CN"/>
        </w:rPr>
        <w:t>6</w:t>
      </w:r>
      <w:r>
        <w:rPr>
          <w:rFonts w:hint="eastAsia" w:ascii="宋体" w:hAnsi="Times New Roman" w:eastAsia="宋体" w:cs="Times New Roman"/>
          <w:sz w:val="24"/>
          <w:highlight w:val="none"/>
        </w:rPr>
        <w:t>年</w:t>
      </w:r>
      <w:r>
        <w:rPr>
          <w:rFonts w:hint="eastAsia" w:ascii="宋体" w:cs="Times New Roman"/>
          <w:sz w:val="24"/>
          <w:highlight w:val="none"/>
          <w:lang w:val="en-US" w:eastAsia="zh-CN"/>
        </w:rPr>
        <w:t>9</w:t>
      </w:r>
      <w:r>
        <w:rPr>
          <w:rFonts w:hint="eastAsia" w:ascii="宋体" w:hAnsi="Times New Roman" w:eastAsia="宋体" w:cs="Times New Roman"/>
          <w:sz w:val="24"/>
          <w:highlight w:val="none"/>
        </w:rPr>
        <w:t>月</w:t>
      </w:r>
      <w:r>
        <w:rPr>
          <w:rFonts w:hint="eastAsia" w:ascii="宋体" w:cs="Times New Roman"/>
          <w:sz w:val="24"/>
          <w:highlight w:val="none"/>
          <w:lang w:val="en-US" w:eastAsia="zh-CN"/>
        </w:rPr>
        <w:t>30</w:t>
      </w:r>
      <w:r>
        <w:rPr>
          <w:rFonts w:hint="eastAsia" w:ascii="宋体" w:hAnsi="Times New Roman" w:eastAsia="宋体" w:cs="Times New Roman"/>
          <w:sz w:val="24"/>
          <w:highlight w:val="none"/>
        </w:rPr>
        <w:t>日9时至</w:t>
      </w:r>
      <w:r>
        <w:rPr>
          <w:rFonts w:hint="eastAsia" w:ascii="宋体" w:cs="Times New Roman"/>
          <w:sz w:val="24"/>
          <w:highlight w:val="none"/>
          <w:lang w:val="en-US" w:eastAsia="zh-CN"/>
        </w:rPr>
        <w:t>10</w:t>
      </w:r>
      <w:r>
        <w:rPr>
          <w:rFonts w:hint="eastAsia" w:ascii="宋体" w:hAnsi="Times New Roman" w:eastAsia="宋体" w:cs="Times New Roman"/>
          <w:sz w:val="24"/>
          <w:highlight w:val="none"/>
        </w:rPr>
        <w:t>月</w:t>
      </w:r>
      <w:r>
        <w:rPr>
          <w:rFonts w:hint="eastAsia" w:ascii="宋体" w:cs="Times New Roman"/>
          <w:sz w:val="24"/>
          <w:highlight w:val="none"/>
          <w:lang w:val="en-US" w:eastAsia="zh-CN"/>
        </w:rPr>
        <w:t>1</w:t>
      </w:r>
      <w:r>
        <w:rPr>
          <w:rFonts w:hint="eastAsia" w:ascii="宋体" w:hAnsi="Times New Roman" w:eastAsia="宋体" w:cs="Times New Roman"/>
          <w:sz w:val="24"/>
          <w:highlight w:val="none"/>
          <w:lang w:val="en-US" w:eastAsia="zh-CN"/>
        </w:rPr>
        <w:t>9</w:t>
      </w:r>
      <w:r>
        <w:rPr>
          <w:rFonts w:hint="eastAsia" w:ascii="宋体" w:hAnsi="Times New Roman" w:eastAsia="宋体" w:cs="Times New Roman"/>
          <w:sz w:val="24"/>
          <w:highlight w:val="none"/>
        </w:rPr>
        <w:t>日16时</w:t>
      </w:r>
      <w:r>
        <w:rPr>
          <w:rFonts w:hint="eastAsia" w:ascii="宋体" w:hAnsi="宋体"/>
          <w:sz w:val="24"/>
          <w:highlight w:val="none"/>
        </w:rPr>
        <w:t>（以网上交易系统服务器时间为准，下同）</w:t>
      </w:r>
      <w:r>
        <w:rPr>
          <w:rFonts w:hint="eastAsia" w:ascii="宋体" w:hAnsi="宋体"/>
          <w:sz w:val="24"/>
          <w:highlight w:val="none"/>
          <w:lang w:eastAsia="zh-CN"/>
        </w:rPr>
        <w:t>，</w:t>
      </w:r>
      <w:r>
        <w:rPr>
          <w:rFonts w:hint="eastAsia" w:ascii="宋体" w:hAnsi="宋体"/>
          <w:sz w:val="24"/>
          <w:highlight w:val="none"/>
        </w:rPr>
        <w:t>登录网上交易系统，提交竞买申请并交纳竞买保证金。</w:t>
      </w:r>
      <w:r>
        <w:rPr>
          <w:rFonts w:hint="eastAsia" w:ascii="宋体" w:hAnsi="宋体"/>
          <w:bCs/>
          <w:sz w:val="24"/>
          <w:highlight w:val="none"/>
        </w:rPr>
        <w:t>交纳竞买保证金的截止时间（到账时间）</w:t>
      </w:r>
      <w:r>
        <w:rPr>
          <w:rFonts w:hint="eastAsia" w:ascii="宋体" w:hAnsi="宋体"/>
          <w:bCs/>
          <w:color w:val="000000"/>
          <w:sz w:val="24"/>
          <w:highlight w:val="none"/>
        </w:rPr>
        <w:t>为</w:t>
      </w:r>
      <w:r>
        <w:rPr>
          <w:rFonts w:ascii="宋体" w:hAnsi="宋体"/>
          <w:color w:val="000000"/>
          <w:sz w:val="24"/>
          <w:highlight w:val="none"/>
        </w:rPr>
        <w:t>20</w:t>
      </w:r>
      <w:r>
        <w:rPr>
          <w:rFonts w:hint="eastAsia" w:ascii="宋体" w:hAnsi="宋体"/>
          <w:color w:val="000000"/>
          <w:sz w:val="24"/>
          <w:highlight w:val="none"/>
        </w:rPr>
        <w:t>2</w:t>
      </w:r>
      <w:r>
        <w:rPr>
          <w:rFonts w:hint="eastAsia" w:ascii="宋体" w:hAnsi="宋体"/>
          <w:color w:val="000000"/>
          <w:sz w:val="24"/>
          <w:highlight w:val="none"/>
          <w:lang w:val="en-US" w:eastAsia="zh-CN"/>
        </w:rPr>
        <w:t>6</w:t>
      </w:r>
      <w:r>
        <w:rPr>
          <w:rFonts w:hint="eastAsia" w:ascii="宋体" w:hAnsi="宋体"/>
          <w:color w:val="000000"/>
          <w:sz w:val="24"/>
          <w:highlight w:val="none"/>
        </w:rPr>
        <w:t>年</w:t>
      </w:r>
      <w:r>
        <w:rPr>
          <w:rFonts w:hint="eastAsia" w:ascii="宋体" w:hAnsi="宋体"/>
          <w:color w:val="000000"/>
          <w:sz w:val="24"/>
          <w:highlight w:val="none"/>
          <w:lang w:val="en-US" w:eastAsia="zh-CN"/>
        </w:rPr>
        <w:t>10</w:t>
      </w:r>
      <w:r>
        <w:rPr>
          <w:rFonts w:hint="eastAsia" w:ascii="宋体" w:hAnsi="宋体"/>
          <w:color w:val="000000"/>
          <w:sz w:val="24"/>
          <w:highlight w:val="none"/>
        </w:rPr>
        <w:t>月</w:t>
      </w:r>
      <w:r>
        <w:rPr>
          <w:rFonts w:hint="eastAsia" w:ascii="宋体" w:hAnsi="宋体"/>
          <w:color w:val="000000"/>
          <w:sz w:val="24"/>
          <w:highlight w:val="none"/>
          <w:lang w:val="en-US" w:eastAsia="zh-CN"/>
        </w:rPr>
        <w:t>19</w:t>
      </w:r>
      <w:r>
        <w:rPr>
          <w:rFonts w:hint="eastAsia" w:ascii="宋体" w:hAnsi="宋体"/>
          <w:color w:val="000000"/>
          <w:sz w:val="24"/>
          <w:highlight w:val="none"/>
        </w:rPr>
        <w:t>日</w:t>
      </w:r>
      <w:r>
        <w:rPr>
          <w:rFonts w:hint="eastAsia" w:ascii="宋体" w:hAnsi="宋体"/>
          <w:bCs/>
          <w:color w:val="000000"/>
          <w:sz w:val="24"/>
          <w:highlight w:val="none"/>
        </w:rPr>
        <w:t>16时。</w:t>
      </w:r>
    </w:p>
    <w:p w14:paraId="25DB225A">
      <w:pPr>
        <w:spacing w:line="400" w:lineRule="exact"/>
        <w:ind w:firstLine="482" w:firstLineChars="200"/>
        <w:rPr>
          <w:rFonts w:ascii="宋体" w:hAnsi="宋体"/>
          <w:b/>
          <w:sz w:val="24"/>
          <w:highlight w:val="none"/>
        </w:rPr>
      </w:pPr>
      <w:r>
        <w:rPr>
          <w:rFonts w:hint="eastAsia" w:ascii="宋体" w:hAnsi="宋体"/>
          <w:b/>
          <w:bCs/>
          <w:sz w:val="24"/>
          <w:highlight w:val="none"/>
          <w:lang w:eastAsia="zh-CN"/>
        </w:rPr>
        <w:t>七</w:t>
      </w:r>
      <w:r>
        <w:rPr>
          <w:rFonts w:hint="eastAsia" w:ascii="宋体" w:hAnsi="宋体"/>
          <w:b/>
          <w:bCs/>
          <w:sz w:val="24"/>
          <w:highlight w:val="none"/>
        </w:rPr>
        <w:t>、拍卖时间和地点</w:t>
      </w:r>
    </w:p>
    <w:p w14:paraId="49B91D68">
      <w:pPr>
        <w:spacing w:line="400" w:lineRule="exact"/>
        <w:ind w:firstLine="480" w:firstLineChars="200"/>
        <w:rPr>
          <w:rFonts w:hint="eastAsia" w:ascii="宋体" w:hAnsi="宋体"/>
          <w:b/>
          <w:bCs/>
          <w:color w:val="FF0000"/>
          <w:sz w:val="24"/>
          <w:highlight w:val="none"/>
        </w:rPr>
      </w:pPr>
      <w:r>
        <w:rPr>
          <w:rFonts w:hint="eastAsia" w:ascii="宋体" w:hAnsi="宋体"/>
          <w:sz w:val="24"/>
          <w:highlight w:val="none"/>
        </w:rPr>
        <w:t>拍卖时间</w:t>
      </w:r>
      <w:r>
        <w:rPr>
          <w:rFonts w:hint="eastAsia" w:ascii="宋体" w:hAnsi="宋体"/>
          <w:color w:val="000000"/>
          <w:sz w:val="24"/>
          <w:highlight w:val="none"/>
        </w:rPr>
        <w:t>：</w:t>
      </w:r>
      <w:r>
        <w:rPr>
          <w:rFonts w:hint="eastAsia" w:ascii="宋体" w:hAnsi="宋体"/>
          <w:bCs/>
          <w:color w:val="000000"/>
          <w:sz w:val="24"/>
          <w:highlight w:val="none"/>
        </w:rPr>
        <w:t>202</w:t>
      </w:r>
      <w:r>
        <w:rPr>
          <w:rFonts w:hint="eastAsia" w:ascii="宋体" w:hAnsi="宋体"/>
          <w:bCs/>
          <w:color w:val="000000"/>
          <w:sz w:val="24"/>
          <w:highlight w:val="none"/>
          <w:lang w:val="en-US" w:eastAsia="zh-CN"/>
        </w:rPr>
        <w:t>6</w:t>
      </w:r>
      <w:r>
        <w:rPr>
          <w:rFonts w:hint="eastAsia" w:ascii="宋体" w:hAnsi="宋体"/>
          <w:bCs/>
          <w:color w:val="000000"/>
          <w:sz w:val="24"/>
          <w:highlight w:val="none"/>
        </w:rPr>
        <w:t>年</w:t>
      </w:r>
      <w:r>
        <w:rPr>
          <w:rFonts w:hint="eastAsia" w:ascii="宋体" w:hAnsi="宋体"/>
          <w:bCs/>
          <w:color w:val="000000"/>
          <w:sz w:val="24"/>
          <w:highlight w:val="none"/>
          <w:lang w:val="en-US" w:eastAsia="zh-CN"/>
        </w:rPr>
        <w:t>10</w:t>
      </w:r>
      <w:r>
        <w:rPr>
          <w:rFonts w:hint="eastAsia" w:ascii="宋体" w:hAnsi="宋体"/>
          <w:bCs/>
          <w:color w:val="000000"/>
          <w:sz w:val="24"/>
          <w:highlight w:val="none"/>
        </w:rPr>
        <w:t>月</w:t>
      </w:r>
      <w:r>
        <w:rPr>
          <w:rFonts w:hint="eastAsia" w:ascii="宋体" w:hAnsi="宋体"/>
          <w:bCs/>
          <w:color w:val="000000"/>
          <w:sz w:val="24"/>
          <w:highlight w:val="none"/>
          <w:lang w:val="en-US" w:eastAsia="zh-CN"/>
        </w:rPr>
        <w:t>21</w:t>
      </w:r>
      <w:r>
        <w:rPr>
          <w:rFonts w:hint="eastAsia" w:ascii="宋体" w:hAnsi="宋体"/>
          <w:bCs/>
          <w:color w:val="000000"/>
          <w:sz w:val="24"/>
          <w:highlight w:val="none"/>
        </w:rPr>
        <w:t>日10</w:t>
      </w:r>
      <w:r>
        <w:rPr>
          <w:rFonts w:hint="eastAsia" w:ascii="宋体" w:hAnsi="宋体"/>
          <w:bCs/>
          <w:color w:val="000000"/>
          <w:sz w:val="24"/>
          <w:highlight w:val="none"/>
          <w:lang w:eastAsia="zh-CN"/>
        </w:rPr>
        <w:t>:</w:t>
      </w:r>
      <w:r>
        <w:rPr>
          <w:rFonts w:hint="eastAsia" w:ascii="宋体" w:hAnsi="宋体"/>
          <w:bCs/>
          <w:color w:val="000000"/>
          <w:sz w:val="24"/>
          <w:highlight w:val="none"/>
        </w:rPr>
        <w:t>00</w:t>
      </w:r>
    </w:p>
    <w:p w14:paraId="08B556B2">
      <w:pPr>
        <w:spacing w:line="400" w:lineRule="exact"/>
        <w:ind w:firstLine="480" w:firstLineChars="200"/>
        <w:rPr>
          <w:rFonts w:hint="eastAsia" w:ascii="宋体" w:hAnsi="宋体"/>
          <w:sz w:val="24"/>
        </w:rPr>
      </w:pPr>
      <w:r>
        <w:rPr>
          <w:rFonts w:hint="eastAsia" w:ascii="宋体" w:hAnsi="宋体"/>
          <w:sz w:val="24"/>
        </w:rPr>
        <w:t>拍卖地点：竞买人通过青岛市公共资源交易网进入“青岛市国有建设用地使用权网上交易系统”进行竞买。</w:t>
      </w:r>
    </w:p>
    <w:p w14:paraId="246874F2">
      <w:pPr>
        <w:snapToGrid w:val="0"/>
        <w:spacing w:line="400" w:lineRule="exact"/>
        <w:ind w:firstLine="482"/>
        <w:rPr>
          <w:rFonts w:hint="eastAsia" w:ascii="宋体" w:hAnsi="宋体"/>
          <w:b/>
          <w:sz w:val="24"/>
        </w:rPr>
      </w:pPr>
      <w:r>
        <w:rPr>
          <w:rFonts w:hint="eastAsia" w:ascii="宋体" w:hAnsi="宋体"/>
          <w:b/>
          <w:sz w:val="24"/>
          <w:lang w:eastAsia="zh-CN"/>
        </w:rPr>
        <w:t>八</w:t>
      </w:r>
      <w:r>
        <w:rPr>
          <w:rFonts w:hint="eastAsia" w:ascii="宋体" w:hAnsi="宋体"/>
          <w:b/>
          <w:sz w:val="24"/>
        </w:rPr>
        <w:t>、其他需要公告的事项</w:t>
      </w:r>
    </w:p>
    <w:p w14:paraId="3CE043DA">
      <w:pPr>
        <w:adjustRightInd w:val="0"/>
        <w:snapToGrid w:val="0"/>
        <w:spacing w:line="400" w:lineRule="exact"/>
        <w:ind w:firstLine="470" w:firstLineChars="196"/>
        <w:rPr>
          <w:rFonts w:hint="default"/>
          <w:lang w:val="en-US" w:eastAsia="zh-CN"/>
        </w:rPr>
      </w:pPr>
      <w:r>
        <w:rPr>
          <w:rFonts w:hint="eastAsia" w:ascii="宋体" w:hAnsi="宋体" w:eastAsia="宋体" w:cs="Times New Roman"/>
          <w:sz w:val="24"/>
          <w:highlight w:val="none"/>
          <w:lang w:val="en-US" w:eastAsia="zh-CN"/>
        </w:rPr>
        <w:t>（一）地块采用“弹性年期”出让，年期期满续期按相关政策要求执行。</w:t>
      </w:r>
    </w:p>
    <w:p w14:paraId="5A8B0CA4">
      <w:pPr>
        <w:adjustRightInd w:val="0"/>
        <w:snapToGrid w:val="0"/>
        <w:spacing w:line="400" w:lineRule="exact"/>
        <w:ind w:firstLine="470" w:firstLineChars="196"/>
        <w:rPr>
          <w:rFonts w:hint="eastAsia" w:ascii="宋体" w:hAnsi="宋体" w:eastAsia="宋体" w:cs="Times New Roman"/>
          <w:sz w:val="24"/>
          <w:highlight w:val="none"/>
          <w:lang w:val="en-US" w:eastAsia="zh-CN"/>
        </w:rPr>
      </w:pPr>
      <w:r>
        <w:rPr>
          <w:rFonts w:hint="eastAsia" w:ascii="宋体" w:hAnsi="宋体" w:eastAsia="宋体" w:cs="Times New Roman"/>
          <w:sz w:val="24"/>
          <w:highlight w:val="none"/>
          <w:lang w:val="en-US" w:eastAsia="zh-CN"/>
        </w:rPr>
        <w:t>（二）地块采用“标准地”出让，具体指标要求如下：</w:t>
      </w:r>
    </w:p>
    <w:p w14:paraId="0F25A199">
      <w:pPr>
        <w:snapToGrid w:val="0"/>
        <w:spacing w:line="440" w:lineRule="exact"/>
        <w:ind w:firstLine="480"/>
        <w:rPr>
          <w:rFonts w:hint="default" w:ascii="宋体" w:hAnsi="宋体" w:eastAsia="宋体" w:cs="Times New Roman"/>
          <w:sz w:val="24"/>
          <w:highlight w:val="none"/>
          <w:lang w:val="en-US" w:eastAsia="zh-CN"/>
        </w:rPr>
      </w:pPr>
      <w:r>
        <w:rPr>
          <w:rFonts w:hint="eastAsia" w:ascii="宋体" w:hAnsi="宋体" w:eastAsia="宋体" w:cs="Times New Roman"/>
          <w:sz w:val="24"/>
          <w:highlight w:val="none"/>
          <w:lang w:val="en-US" w:eastAsia="zh-CN"/>
        </w:rPr>
        <w:t>1.</w:t>
      </w:r>
      <w:r>
        <w:rPr>
          <w:rFonts w:hint="eastAsia" w:ascii="宋体" w:hAnsi="宋体" w:eastAsia="宋体" w:cs="Times New Roman"/>
          <w:b/>
          <w:bCs/>
          <w:sz w:val="24"/>
          <w:highlight w:val="none"/>
          <w:lang w:val="en-US" w:eastAsia="zh-CN"/>
        </w:rPr>
        <w:t>产业准入条件</w:t>
      </w:r>
      <w:r>
        <w:rPr>
          <w:rFonts w:hint="eastAsia" w:ascii="宋体" w:hAnsi="宋体" w:cs="Times New Roman"/>
          <w:b/>
          <w:bCs/>
          <w:sz w:val="24"/>
          <w:highlight w:val="none"/>
          <w:lang w:val="en-US" w:eastAsia="zh-CN"/>
        </w:rPr>
        <w:t>：</w:t>
      </w:r>
      <w:r>
        <w:rPr>
          <w:rFonts w:hint="eastAsia" w:ascii="宋体" w:hAnsi="宋体" w:eastAsia="宋体" w:cs="Times New Roman"/>
          <w:sz w:val="24"/>
          <w:highlight w:val="none"/>
          <w:lang w:val="en-US" w:eastAsia="zh-CN"/>
        </w:rPr>
        <w:t>根据《产业结构调整指导目录（2024年本）》，为鼓励类第四十二条“环境保护与资源节约综合利用”，第7款“废弃物回收”、第8款</w:t>
      </w:r>
      <w:r>
        <w:rPr>
          <w:rFonts w:hint="eastAsia" w:ascii="宋体" w:hAnsi="宋体" w:cs="Times New Roman"/>
          <w:sz w:val="24"/>
          <w:highlight w:val="none"/>
          <w:lang w:val="en-US" w:eastAsia="zh-CN"/>
        </w:rPr>
        <w:t>“</w:t>
      </w:r>
      <w:r>
        <w:rPr>
          <w:rFonts w:hint="eastAsia" w:ascii="宋体" w:hAnsi="宋体" w:eastAsia="宋体" w:cs="Times New Roman"/>
          <w:sz w:val="24"/>
          <w:highlight w:val="none"/>
          <w:lang w:val="en-US" w:eastAsia="zh-CN"/>
        </w:rPr>
        <w:t>废弃物循环利用”；（详见出让文件中复函）</w:t>
      </w:r>
    </w:p>
    <w:p w14:paraId="78F82E50">
      <w:pPr>
        <w:adjustRightInd w:val="0"/>
        <w:snapToGrid w:val="0"/>
        <w:spacing w:line="400" w:lineRule="exact"/>
        <w:ind w:firstLine="470" w:firstLineChars="196"/>
        <w:rPr>
          <w:rFonts w:hint="eastAsia" w:ascii="宋体" w:hAnsi="宋体" w:eastAsia="宋体" w:cs="Times New Roman"/>
          <w:sz w:val="24"/>
          <w:highlight w:val="green"/>
          <w:lang w:val="en-US" w:eastAsia="zh-CN"/>
        </w:rPr>
      </w:pPr>
      <w:r>
        <w:rPr>
          <w:rFonts w:hint="eastAsia" w:ascii="宋体" w:hAnsi="宋体" w:eastAsia="宋体" w:cs="Times New Roman"/>
          <w:sz w:val="24"/>
          <w:highlight w:val="none"/>
          <w:lang w:val="en-US" w:eastAsia="zh-CN"/>
        </w:rPr>
        <w:t>2.</w:t>
      </w:r>
      <w:r>
        <w:rPr>
          <w:rFonts w:hint="eastAsia" w:ascii="宋体" w:hAnsi="宋体" w:eastAsia="宋体" w:cs="Times New Roman"/>
          <w:b/>
          <w:bCs/>
          <w:sz w:val="24"/>
          <w:highlight w:val="none"/>
          <w:lang w:val="en-US" w:eastAsia="zh-CN"/>
        </w:rPr>
        <w:t>固定资产投资强度、单位增加值能耗</w:t>
      </w:r>
      <w:r>
        <w:rPr>
          <w:rFonts w:hint="eastAsia" w:ascii="宋体" w:hAnsi="宋体" w:eastAsia="宋体" w:cs="Times New Roman"/>
          <w:sz w:val="24"/>
          <w:highlight w:val="none"/>
          <w:lang w:val="en-US" w:eastAsia="zh-CN"/>
        </w:rPr>
        <w:t>：建议参照《青岛西海岸新区管委关于印发青岛西海岸新区企业投资项目</w:t>
      </w:r>
      <w:r>
        <w:rPr>
          <w:rFonts w:hint="default" w:ascii="宋体" w:hAnsi="宋体" w:eastAsia="宋体" w:cs="Times New Roman"/>
          <w:sz w:val="24"/>
          <w:highlight w:val="none"/>
          <w:lang w:val="en-US" w:eastAsia="zh-CN"/>
        </w:rPr>
        <w:t>“</w:t>
      </w:r>
      <w:r>
        <w:rPr>
          <w:rFonts w:hint="eastAsia" w:ascii="宋体" w:hAnsi="宋体" w:eastAsia="宋体" w:cs="Times New Roman"/>
          <w:sz w:val="24"/>
          <w:highlight w:val="none"/>
          <w:lang w:val="en-US" w:eastAsia="zh-CN"/>
        </w:rPr>
        <w:t>标准地</w:t>
      </w:r>
      <w:r>
        <w:rPr>
          <w:rFonts w:hint="default" w:ascii="宋体" w:hAnsi="宋体" w:eastAsia="宋体" w:cs="Times New Roman"/>
          <w:sz w:val="24"/>
          <w:highlight w:val="none"/>
          <w:lang w:val="en-US" w:eastAsia="zh-CN"/>
        </w:rPr>
        <w:t>”</w:t>
      </w:r>
      <w:r>
        <w:rPr>
          <w:rFonts w:hint="eastAsia" w:ascii="宋体" w:hAnsi="宋体" w:eastAsia="宋体" w:cs="Times New Roman"/>
          <w:sz w:val="24"/>
          <w:highlight w:val="none"/>
          <w:lang w:val="en-US" w:eastAsia="zh-CN"/>
        </w:rPr>
        <w:t>工作实施方案的通知》执行；</w:t>
      </w:r>
    </w:p>
    <w:p w14:paraId="2335F0A0">
      <w:pPr>
        <w:adjustRightInd w:val="0"/>
        <w:snapToGrid w:val="0"/>
        <w:spacing w:line="400" w:lineRule="exact"/>
        <w:ind w:firstLine="470" w:firstLineChars="196"/>
        <w:rPr>
          <w:rFonts w:hint="eastAsia" w:ascii="宋体" w:hAnsi="宋体" w:eastAsia="宋体" w:cs="Times New Roman"/>
          <w:sz w:val="24"/>
          <w:highlight w:val="green"/>
          <w:lang w:val="en-US" w:eastAsia="zh-CN"/>
        </w:rPr>
      </w:pPr>
      <w:r>
        <w:rPr>
          <w:rFonts w:hint="eastAsia" w:ascii="宋体" w:hAnsi="宋体" w:eastAsia="宋体" w:cs="Times New Roman"/>
          <w:sz w:val="24"/>
          <w:highlight w:val="none"/>
          <w:lang w:val="en-US" w:eastAsia="zh-CN"/>
        </w:rPr>
        <w:t>3.</w:t>
      </w:r>
      <w:r>
        <w:rPr>
          <w:rFonts w:hint="eastAsia" w:ascii="宋体" w:hAnsi="宋体" w:eastAsia="宋体" w:cs="Times New Roman"/>
          <w:b/>
          <w:bCs/>
          <w:sz w:val="24"/>
          <w:highlight w:val="none"/>
          <w:lang w:val="en-US" w:eastAsia="zh-CN"/>
        </w:rPr>
        <w:t>亩均税收：</w:t>
      </w:r>
      <w:r>
        <w:rPr>
          <w:rFonts w:hint="eastAsia" w:ascii="仿宋_GB2312" w:hAnsi="仿宋_GB2312" w:eastAsia="仿宋_GB2312" w:cs="仿宋_GB2312"/>
          <w:sz w:val="24"/>
          <w:highlight w:val="none"/>
          <w:lang w:val="en-US" w:eastAsia="zh-CN"/>
        </w:rPr>
        <w:t>≥</w:t>
      </w:r>
      <w:r>
        <w:rPr>
          <w:rFonts w:hint="eastAsia" w:ascii="宋体" w:hAnsi="宋体" w:eastAsia="宋体" w:cs="Times New Roman"/>
          <w:sz w:val="24"/>
          <w:highlight w:val="none"/>
          <w:lang w:val="en-US" w:eastAsia="zh-CN"/>
        </w:rPr>
        <w:t>40万元/亩；</w:t>
      </w:r>
    </w:p>
    <w:p w14:paraId="3DD6600A">
      <w:pPr>
        <w:adjustRightInd w:val="0"/>
        <w:snapToGrid w:val="0"/>
        <w:spacing w:line="400" w:lineRule="exact"/>
        <w:ind w:firstLine="470" w:firstLineChars="196"/>
        <w:rPr>
          <w:rFonts w:hint="eastAsia" w:ascii="宋体" w:hAnsi="宋体" w:eastAsia="宋体" w:cs="Times New Roman"/>
          <w:sz w:val="24"/>
          <w:highlight w:val="none"/>
          <w:lang w:val="en-US" w:eastAsia="zh-CN"/>
        </w:rPr>
      </w:pPr>
      <w:r>
        <w:rPr>
          <w:rFonts w:hint="eastAsia" w:ascii="宋体" w:hAnsi="宋体" w:eastAsia="宋体" w:cs="Times New Roman"/>
          <w:sz w:val="24"/>
          <w:highlight w:val="none"/>
          <w:lang w:val="en-US" w:eastAsia="zh-CN"/>
        </w:rPr>
        <w:t>4.</w:t>
      </w:r>
      <w:r>
        <w:rPr>
          <w:rFonts w:hint="eastAsia" w:ascii="宋体" w:hAnsi="宋体" w:eastAsia="宋体" w:cs="Times New Roman"/>
          <w:b/>
          <w:bCs/>
          <w:sz w:val="24"/>
          <w:highlight w:val="none"/>
          <w:lang w:val="en-US" w:eastAsia="zh-CN"/>
        </w:rPr>
        <w:t>环保要求</w:t>
      </w:r>
      <w:r>
        <w:rPr>
          <w:rFonts w:hint="eastAsia" w:ascii="宋体" w:hAnsi="宋体" w:eastAsia="宋体" w:cs="Times New Roman"/>
          <w:sz w:val="24"/>
          <w:highlight w:val="none"/>
          <w:lang w:val="en-US" w:eastAsia="zh-CN"/>
        </w:rPr>
        <w:t>：青岛市生态环境局西海岸新区分局《关于对位于青岛西海岸新区开放路以南、云台山路以东一宗国有建设用地使用权招拍挂出让明确有关出让条件的函》；</w:t>
      </w:r>
    </w:p>
    <w:p w14:paraId="02121ED9">
      <w:pPr>
        <w:adjustRightInd w:val="0"/>
        <w:snapToGrid w:val="0"/>
        <w:spacing w:line="400" w:lineRule="exact"/>
        <w:ind w:firstLine="470" w:firstLineChars="196"/>
        <w:rPr>
          <w:rFonts w:hint="default" w:ascii="宋体" w:hAnsi="宋体" w:eastAsia="宋体" w:cs="Times New Roman"/>
          <w:sz w:val="24"/>
          <w:highlight w:val="none"/>
          <w:lang w:val="en-US" w:eastAsia="zh-CN"/>
        </w:rPr>
      </w:pPr>
      <w:r>
        <w:rPr>
          <w:rFonts w:hint="eastAsia" w:ascii="宋体" w:hAnsi="宋体" w:eastAsia="宋体" w:cs="Times New Roman"/>
          <w:sz w:val="24"/>
          <w:highlight w:val="none"/>
          <w:lang w:val="en-US" w:eastAsia="zh-CN"/>
        </w:rPr>
        <w:t>5.</w:t>
      </w:r>
      <w:r>
        <w:rPr>
          <w:rFonts w:hint="eastAsia" w:ascii="宋体" w:hAnsi="宋体" w:eastAsia="宋体" w:cs="Times New Roman"/>
          <w:b/>
          <w:bCs/>
          <w:sz w:val="24"/>
          <w:highlight w:val="none"/>
          <w:lang w:val="en-US" w:eastAsia="zh-CN"/>
        </w:rPr>
        <w:t>装配式建筑技术</w:t>
      </w:r>
      <w:r>
        <w:rPr>
          <w:rFonts w:hint="eastAsia" w:ascii="宋体" w:hAnsi="宋体" w:eastAsia="宋体" w:cs="Times New Roman"/>
          <w:sz w:val="24"/>
          <w:highlight w:val="none"/>
          <w:lang w:val="en-US" w:eastAsia="zh-CN"/>
        </w:rPr>
        <w:t>：要求民用建筑</w:t>
      </w:r>
      <w:r>
        <w:rPr>
          <w:rFonts w:hint="default" w:ascii="宋体" w:hAnsi="宋体" w:eastAsia="宋体" w:cs="Times New Roman"/>
          <w:sz w:val="24"/>
          <w:highlight w:val="none"/>
          <w:lang w:val="en-US" w:eastAsia="zh-CN"/>
        </w:rPr>
        <w:t>须采用装配式建筑技术，其面积比例不低于该地块民用建筑面积的50%。</w:t>
      </w:r>
      <w:r>
        <w:rPr>
          <w:rFonts w:hint="eastAsia" w:ascii="宋体" w:hAnsi="宋体" w:eastAsia="宋体" w:cs="Times New Roman"/>
          <w:sz w:val="24"/>
          <w:highlight w:val="none"/>
          <w:lang w:val="en-US" w:eastAsia="zh-CN"/>
        </w:rPr>
        <w:t>（政府投资或国有资金投资应全面实施装配式建筑；“负面清单”四类建筑不强制采用）；</w:t>
      </w:r>
    </w:p>
    <w:p w14:paraId="07CB412A">
      <w:pPr>
        <w:adjustRightInd w:val="0"/>
        <w:snapToGrid w:val="0"/>
        <w:spacing w:line="400" w:lineRule="exact"/>
        <w:ind w:firstLine="470" w:firstLineChars="196"/>
        <w:rPr>
          <w:rFonts w:hint="eastAsia" w:ascii="宋体" w:hAnsi="宋体" w:eastAsia="宋体" w:cs="Times New Roman"/>
          <w:sz w:val="24"/>
          <w:highlight w:val="none"/>
          <w:lang w:val="en-US" w:eastAsia="zh-CN"/>
        </w:rPr>
      </w:pPr>
      <w:r>
        <w:rPr>
          <w:rFonts w:hint="eastAsia" w:ascii="宋体" w:hAnsi="宋体" w:eastAsia="宋体" w:cs="Times New Roman"/>
          <w:sz w:val="24"/>
          <w:highlight w:val="none"/>
          <w:lang w:val="en-US" w:eastAsia="zh-CN"/>
        </w:rPr>
        <w:t>6.</w:t>
      </w:r>
      <w:r>
        <w:rPr>
          <w:rFonts w:hint="eastAsia" w:ascii="宋体" w:hAnsi="宋体" w:eastAsia="宋体" w:cs="Times New Roman"/>
          <w:b/>
          <w:bCs/>
          <w:sz w:val="24"/>
          <w:highlight w:val="none"/>
          <w:lang w:val="en-US" w:eastAsia="zh-CN"/>
        </w:rPr>
        <w:t>绿色建筑等级</w:t>
      </w:r>
      <w:r>
        <w:rPr>
          <w:rFonts w:hint="eastAsia" w:ascii="宋体" w:hAnsi="宋体" w:eastAsia="宋体" w:cs="Times New Roman"/>
          <w:sz w:val="24"/>
          <w:highlight w:val="none"/>
          <w:lang w:val="en-US" w:eastAsia="zh-CN"/>
        </w:rPr>
        <w:t>：民用建筑应达到三星绿色建筑设计标准，原则上应取得绿色建筑标识；</w:t>
      </w:r>
    </w:p>
    <w:p w14:paraId="3D9659F3">
      <w:pPr>
        <w:adjustRightInd w:val="0"/>
        <w:snapToGrid w:val="0"/>
        <w:spacing w:line="400" w:lineRule="exact"/>
        <w:ind w:firstLine="470" w:firstLineChars="196"/>
        <w:rPr>
          <w:rFonts w:hint="eastAsia" w:ascii="宋体" w:hAnsi="Times New Roman" w:eastAsia="宋体" w:cs="Times New Roman"/>
          <w:sz w:val="24"/>
          <w:highlight w:val="green"/>
          <w:lang w:val="en-US" w:eastAsia="zh-CN"/>
        </w:rPr>
      </w:pPr>
      <w:r>
        <w:rPr>
          <w:rFonts w:hint="eastAsia" w:ascii="宋体" w:hAnsi="宋体" w:eastAsia="宋体" w:cs="Times New Roman"/>
          <w:sz w:val="24"/>
          <w:highlight w:val="none"/>
          <w:lang w:val="en-US" w:eastAsia="zh-CN"/>
        </w:rPr>
        <w:t>7.</w:t>
      </w:r>
      <w:r>
        <w:rPr>
          <w:rFonts w:hint="eastAsia" w:ascii="宋体" w:hAnsi="宋体" w:eastAsia="宋体" w:cs="Times New Roman"/>
          <w:b/>
          <w:bCs/>
          <w:sz w:val="24"/>
          <w:highlight w:val="none"/>
          <w:lang w:val="en-US" w:eastAsia="zh-CN"/>
        </w:rPr>
        <w:t>海绵城市管控</w:t>
      </w:r>
      <w:r>
        <w:rPr>
          <w:rFonts w:hint="eastAsia" w:ascii="宋体" w:hAnsi="宋体" w:eastAsia="宋体" w:cs="Times New Roman"/>
          <w:sz w:val="24"/>
          <w:highlight w:val="none"/>
          <w:lang w:val="en-US" w:eastAsia="zh-CN"/>
        </w:rPr>
        <w:t>：属于管控分区6，地块编号XHA1701-03-02、XHA1701-03-04，雨水年径流控制率72%（对应设计降雨量26.3毫米），面源污染控制去除率54%。</w:t>
      </w:r>
    </w:p>
    <w:p w14:paraId="51223AAD">
      <w:pPr>
        <w:adjustRightInd w:val="0"/>
        <w:snapToGrid w:val="0"/>
        <w:spacing w:line="400" w:lineRule="exact"/>
        <w:ind w:firstLine="472" w:firstLineChars="196"/>
        <w:rPr>
          <w:rFonts w:hint="default" w:ascii="宋体" w:hAnsi="宋体" w:eastAsia="宋体" w:cs="Times New Roman"/>
          <w:b/>
          <w:bCs/>
          <w:sz w:val="24"/>
          <w:highlight w:val="none"/>
          <w:lang w:val="en-US" w:eastAsia="zh-CN"/>
        </w:rPr>
      </w:pPr>
      <w:r>
        <w:rPr>
          <w:rFonts w:hint="eastAsia" w:ascii="宋体" w:hAnsi="宋体" w:eastAsia="宋体" w:cs="Times New Roman"/>
          <w:b/>
          <w:bCs/>
          <w:sz w:val="24"/>
          <w:highlight w:val="none"/>
          <w:lang w:val="en-US" w:eastAsia="zh-CN"/>
        </w:rPr>
        <w:t>（三）按照青岛市自然资源和规划局《关于加强工业用地全生命周期管理服务实体经济高质量发展的通知》（青自然资规字〔2023〕285号），该宗地为工业产业用地。整体转让的受让对象须为符合产业发展方向的企业。</w:t>
      </w:r>
    </w:p>
    <w:p w14:paraId="4EDDB75C">
      <w:pPr>
        <w:adjustRightInd w:val="0"/>
        <w:snapToGrid w:val="0"/>
        <w:spacing w:line="400" w:lineRule="exact"/>
        <w:ind w:firstLine="470" w:firstLineChars="196"/>
        <w:rPr>
          <w:rFonts w:hint="eastAsia" w:ascii="宋体" w:hAnsi="宋体" w:eastAsia="宋体" w:cs="Times New Roman"/>
          <w:b w:val="0"/>
          <w:bCs w:val="0"/>
          <w:color w:val="000000"/>
          <w:sz w:val="24"/>
          <w:highlight w:val="none"/>
          <w:lang w:val="en-US" w:eastAsia="zh-CN"/>
        </w:rPr>
      </w:pPr>
      <w:r>
        <w:rPr>
          <w:rFonts w:hint="eastAsia" w:ascii="宋体" w:hAnsi="宋体" w:eastAsia="宋体" w:cs="Times New Roman"/>
          <w:b w:val="0"/>
          <w:bCs w:val="0"/>
          <w:color w:val="000000"/>
          <w:sz w:val="24"/>
          <w:highlight w:val="none"/>
          <w:lang w:val="en-US" w:eastAsia="zh-CN"/>
        </w:rPr>
        <w:t>（四）竞买人须持有数字证书（CA）方可登录网上交易系统，申请参加网上拍卖出让活动。数字证书（CA）的办理程序和申请资料要求详见网上交易系统https://ggzy.qingdao.gov.cn/qdscmh/#/applycerti。</w:t>
      </w:r>
    </w:p>
    <w:p w14:paraId="4734FBDF">
      <w:pPr>
        <w:adjustRightInd w:val="0"/>
        <w:snapToGrid w:val="0"/>
        <w:spacing w:line="400" w:lineRule="exact"/>
        <w:ind w:firstLine="470" w:firstLineChars="196"/>
        <w:rPr>
          <w:rFonts w:hint="eastAsia" w:ascii="宋体" w:hAnsi="宋体"/>
          <w:b w:val="0"/>
          <w:bCs w:val="0"/>
          <w:color w:val="000000"/>
          <w:sz w:val="24"/>
          <w:highlight w:val="none"/>
        </w:rPr>
      </w:pPr>
      <w:r>
        <w:rPr>
          <w:rFonts w:hint="eastAsia" w:ascii="宋体" w:hAnsi="宋体"/>
          <w:b w:val="0"/>
          <w:bCs w:val="0"/>
          <w:color w:val="000000"/>
          <w:sz w:val="24"/>
          <w:highlight w:val="none"/>
        </w:rPr>
        <w:t>（</w:t>
      </w:r>
      <w:r>
        <w:rPr>
          <w:rFonts w:hint="eastAsia" w:ascii="宋体" w:hAnsi="宋体"/>
          <w:b w:val="0"/>
          <w:bCs w:val="0"/>
          <w:color w:val="000000"/>
          <w:sz w:val="24"/>
          <w:highlight w:val="none"/>
          <w:lang w:val="en-US" w:eastAsia="zh-CN"/>
        </w:rPr>
        <w:t>五</w:t>
      </w:r>
      <w:r>
        <w:rPr>
          <w:rFonts w:hint="eastAsia" w:ascii="宋体" w:hAnsi="宋体"/>
          <w:b w:val="0"/>
          <w:bCs w:val="0"/>
          <w:color w:val="000000"/>
          <w:sz w:val="24"/>
          <w:highlight w:val="none"/>
        </w:rPr>
        <w:t>）拍卖出让活动网</w:t>
      </w:r>
      <w:r>
        <w:rPr>
          <w:rFonts w:ascii="宋体" w:hAnsi="宋体"/>
          <w:b w:val="0"/>
          <w:bCs w:val="0"/>
          <w:color w:val="000000"/>
          <w:sz w:val="24"/>
          <w:highlight w:val="none"/>
        </w:rPr>
        <w:t>上交易，只</w:t>
      </w:r>
      <w:r>
        <w:rPr>
          <w:rFonts w:hint="eastAsia" w:ascii="宋体" w:hAnsi="宋体"/>
          <w:b w:val="0"/>
          <w:bCs w:val="0"/>
          <w:color w:val="000000"/>
          <w:sz w:val="24"/>
          <w:highlight w:val="none"/>
        </w:rPr>
        <w:t>接受网</w:t>
      </w:r>
      <w:r>
        <w:rPr>
          <w:rFonts w:ascii="宋体" w:hAnsi="宋体"/>
          <w:b w:val="0"/>
          <w:bCs w:val="0"/>
          <w:color w:val="000000"/>
          <w:sz w:val="24"/>
          <w:highlight w:val="none"/>
        </w:rPr>
        <w:t>上竞买申请，不接受</w:t>
      </w:r>
      <w:r>
        <w:rPr>
          <w:rFonts w:hint="eastAsia" w:ascii="宋体" w:hAnsi="宋体"/>
          <w:b w:val="0"/>
          <w:bCs w:val="0"/>
          <w:color w:val="000000"/>
          <w:sz w:val="24"/>
          <w:highlight w:val="none"/>
        </w:rPr>
        <w:t>其他形式</w:t>
      </w:r>
      <w:r>
        <w:rPr>
          <w:rFonts w:ascii="宋体" w:hAnsi="宋体"/>
          <w:b w:val="0"/>
          <w:bCs w:val="0"/>
          <w:color w:val="000000"/>
          <w:sz w:val="24"/>
          <w:highlight w:val="none"/>
        </w:rPr>
        <w:t>的申请。</w:t>
      </w:r>
      <w:r>
        <w:rPr>
          <w:rFonts w:hint="eastAsia" w:ascii="宋体" w:hAnsi="宋体"/>
          <w:b w:val="0"/>
          <w:bCs w:val="0"/>
          <w:color w:val="000000"/>
          <w:sz w:val="24"/>
          <w:highlight w:val="none"/>
        </w:rPr>
        <w:t>在</w:t>
      </w:r>
      <w:r>
        <w:rPr>
          <w:rFonts w:ascii="宋体" w:hAnsi="宋体"/>
          <w:b w:val="0"/>
          <w:bCs w:val="0"/>
          <w:color w:val="000000"/>
          <w:sz w:val="24"/>
          <w:highlight w:val="none"/>
        </w:rPr>
        <w:t>竞买申请</w:t>
      </w:r>
      <w:r>
        <w:rPr>
          <w:rFonts w:hint="eastAsia" w:ascii="宋体" w:hAnsi="宋体"/>
          <w:b w:val="0"/>
          <w:bCs w:val="0"/>
          <w:color w:val="000000"/>
          <w:sz w:val="24"/>
          <w:highlight w:val="none"/>
        </w:rPr>
        <w:t>前</w:t>
      </w:r>
      <w:r>
        <w:rPr>
          <w:rFonts w:ascii="宋体" w:hAnsi="宋体"/>
          <w:b w:val="0"/>
          <w:bCs w:val="0"/>
          <w:color w:val="000000"/>
          <w:sz w:val="24"/>
          <w:highlight w:val="none"/>
        </w:rPr>
        <w:t>，竞买人应当详细阅读出让公告、出让</w:t>
      </w:r>
      <w:r>
        <w:rPr>
          <w:rFonts w:hint="eastAsia" w:ascii="宋体" w:hAnsi="宋体"/>
          <w:b w:val="0"/>
          <w:bCs w:val="0"/>
          <w:color w:val="000000"/>
          <w:sz w:val="24"/>
          <w:highlight w:val="none"/>
        </w:rPr>
        <w:t>须</w:t>
      </w:r>
      <w:r>
        <w:rPr>
          <w:rFonts w:ascii="宋体" w:hAnsi="宋体"/>
          <w:b w:val="0"/>
          <w:bCs w:val="0"/>
          <w:color w:val="000000"/>
          <w:sz w:val="24"/>
          <w:highlight w:val="none"/>
        </w:rPr>
        <w:t>知等出让文件及出让宗地相关的信息。</w:t>
      </w:r>
      <w:r>
        <w:rPr>
          <w:rFonts w:hint="eastAsia" w:ascii="宋体" w:hAnsi="宋体"/>
          <w:b w:val="0"/>
          <w:bCs w:val="0"/>
          <w:color w:val="000000"/>
          <w:sz w:val="24"/>
          <w:highlight w:val="none"/>
        </w:rPr>
        <w:t>一</w:t>
      </w:r>
      <w:r>
        <w:rPr>
          <w:rFonts w:ascii="宋体" w:hAnsi="宋体"/>
          <w:b w:val="0"/>
          <w:bCs w:val="0"/>
          <w:color w:val="000000"/>
          <w:sz w:val="24"/>
          <w:highlight w:val="none"/>
        </w:rPr>
        <w:t>经提交竞买申请，即视为同意接受交易相关规定</w:t>
      </w:r>
      <w:r>
        <w:rPr>
          <w:rFonts w:hint="eastAsia" w:ascii="宋体" w:hAnsi="宋体"/>
          <w:b w:val="0"/>
          <w:bCs w:val="0"/>
          <w:color w:val="000000"/>
          <w:sz w:val="24"/>
          <w:highlight w:val="none"/>
        </w:rPr>
        <w:t>、</w:t>
      </w:r>
      <w:r>
        <w:rPr>
          <w:rFonts w:ascii="宋体" w:hAnsi="宋体"/>
          <w:b w:val="0"/>
          <w:bCs w:val="0"/>
          <w:color w:val="000000"/>
          <w:sz w:val="24"/>
          <w:highlight w:val="none"/>
        </w:rPr>
        <w:t>规</w:t>
      </w:r>
      <w:r>
        <w:rPr>
          <w:rFonts w:hint="eastAsia" w:ascii="宋体" w:hAnsi="宋体"/>
          <w:b w:val="0"/>
          <w:bCs w:val="0"/>
          <w:color w:val="000000"/>
          <w:sz w:val="24"/>
          <w:highlight w:val="none"/>
        </w:rPr>
        <w:t>则</w:t>
      </w:r>
      <w:r>
        <w:rPr>
          <w:rFonts w:ascii="宋体" w:hAnsi="宋体"/>
          <w:b w:val="0"/>
          <w:bCs w:val="0"/>
          <w:color w:val="000000"/>
          <w:sz w:val="24"/>
          <w:highlight w:val="none"/>
        </w:rPr>
        <w:t>，对出让文件和宗地现状无</w:t>
      </w:r>
      <w:r>
        <w:rPr>
          <w:rFonts w:hint="eastAsia" w:ascii="宋体" w:hAnsi="宋体"/>
          <w:b w:val="0"/>
          <w:bCs w:val="0"/>
          <w:color w:val="000000"/>
          <w:sz w:val="24"/>
          <w:highlight w:val="none"/>
        </w:rPr>
        <w:t>异议</w:t>
      </w:r>
      <w:r>
        <w:rPr>
          <w:rFonts w:ascii="宋体" w:hAnsi="宋体"/>
          <w:b w:val="0"/>
          <w:bCs w:val="0"/>
          <w:color w:val="000000"/>
          <w:sz w:val="24"/>
          <w:highlight w:val="none"/>
        </w:rPr>
        <w:t>，并对</w:t>
      </w:r>
      <w:r>
        <w:rPr>
          <w:rFonts w:hint="eastAsia" w:ascii="宋体" w:hAnsi="宋体"/>
          <w:b w:val="0"/>
          <w:bCs w:val="0"/>
          <w:color w:val="000000"/>
          <w:sz w:val="24"/>
          <w:highlight w:val="none"/>
        </w:rPr>
        <w:t>竞买</w:t>
      </w:r>
      <w:r>
        <w:rPr>
          <w:rFonts w:ascii="宋体" w:hAnsi="宋体"/>
          <w:b w:val="0"/>
          <w:bCs w:val="0"/>
          <w:color w:val="000000"/>
          <w:sz w:val="24"/>
          <w:highlight w:val="none"/>
        </w:rPr>
        <w:t>行</w:t>
      </w:r>
      <w:r>
        <w:rPr>
          <w:rFonts w:hint="eastAsia" w:ascii="宋体" w:hAnsi="宋体"/>
          <w:b w:val="0"/>
          <w:bCs w:val="0"/>
          <w:color w:val="000000"/>
          <w:sz w:val="24"/>
          <w:highlight w:val="none"/>
        </w:rPr>
        <w:t>为</w:t>
      </w:r>
      <w:r>
        <w:rPr>
          <w:rFonts w:ascii="宋体" w:hAnsi="宋体"/>
          <w:b w:val="0"/>
          <w:bCs w:val="0"/>
          <w:color w:val="000000"/>
          <w:sz w:val="24"/>
          <w:highlight w:val="none"/>
        </w:rPr>
        <w:t>和有关承诺承担法律责任。</w:t>
      </w:r>
    </w:p>
    <w:p w14:paraId="286801DC">
      <w:pPr>
        <w:adjustRightInd w:val="0"/>
        <w:snapToGrid w:val="0"/>
        <w:spacing w:line="400" w:lineRule="exact"/>
        <w:ind w:firstLine="480"/>
        <w:rPr>
          <w:rFonts w:hint="eastAsia" w:ascii="宋体" w:hAnsi="宋体" w:eastAsia="宋体" w:cs="Times New Roman"/>
          <w:sz w:val="24"/>
          <w:lang w:val="en-US" w:eastAsia="zh-CN"/>
        </w:rPr>
      </w:pPr>
      <w:r>
        <w:rPr>
          <w:rFonts w:hint="eastAsia" w:ascii="宋体" w:hAnsi="宋体" w:eastAsia="宋体" w:cs="Times New Roman"/>
          <w:sz w:val="24"/>
          <w:lang w:val="en-US" w:eastAsia="zh-CN"/>
        </w:rPr>
        <w:t>（六）出让人不组织踏勘现场，竞买人可根据需要自行踏勘出让地块。</w:t>
      </w:r>
    </w:p>
    <w:p w14:paraId="430582F4">
      <w:pPr>
        <w:adjustRightInd w:val="0"/>
        <w:snapToGrid w:val="0"/>
        <w:spacing w:line="400" w:lineRule="exact"/>
        <w:ind w:firstLine="480"/>
        <w:rPr>
          <w:rFonts w:hint="eastAsia" w:ascii="宋体" w:hAnsi="宋体" w:eastAsia="宋体" w:cs="Times New Roman"/>
          <w:sz w:val="24"/>
          <w:lang w:val="en-US" w:eastAsia="zh-CN"/>
        </w:rPr>
      </w:pPr>
      <w:r>
        <w:rPr>
          <w:rFonts w:hint="eastAsia" w:ascii="宋体" w:hAnsi="宋体" w:eastAsia="宋体" w:cs="Times New Roman"/>
          <w:sz w:val="24"/>
          <w:lang w:val="en-US" w:eastAsia="zh-CN"/>
        </w:rPr>
        <w:t>（七）本次拍卖出让公告内容如有变化，出让人将在《青岛日报》等相关媒体发布补充公告，届时以补充公告为准。</w:t>
      </w:r>
    </w:p>
    <w:p w14:paraId="56576856">
      <w:pPr>
        <w:adjustRightInd w:val="0"/>
        <w:snapToGrid w:val="0"/>
        <w:spacing w:line="400" w:lineRule="exact"/>
        <w:ind w:firstLine="480"/>
        <w:rPr>
          <w:rFonts w:hint="eastAsia" w:ascii="宋体" w:hAnsi="宋体" w:eastAsia="宋体" w:cs="Times New Roman"/>
          <w:sz w:val="24"/>
        </w:rPr>
      </w:pPr>
      <w:r>
        <w:rPr>
          <w:rFonts w:hint="eastAsia" w:ascii="宋体" w:hAnsi="宋体" w:eastAsia="宋体" w:cs="Times New Roman"/>
          <w:sz w:val="24"/>
        </w:rPr>
        <w:t>（</w:t>
      </w:r>
      <w:r>
        <w:rPr>
          <w:rFonts w:hint="eastAsia" w:ascii="宋体" w:hAnsi="宋体" w:eastAsia="宋体" w:cs="Times New Roman"/>
          <w:sz w:val="24"/>
          <w:lang w:val="en-US" w:eastAsia="zh-CN"/>
        </w:rPr>
        <w:t>八</w:t>
      </w:r>
      <w:r>
        <w:rPr>
          <w:rFonts w:hint="eastAsia" w:ascii="宋体" w:hAnsi="宋体" w:eastAsia="宋体" w:cs="Times New Roman"/>
          <w:sz w:val="24"/>
        </w:rPr>
        <w:t>）根据《财政部自然资源部税务总局人民银行关于将国有土地使用权出让收入、矿产资源专项收入、海域使用金、无居民海岛使用金四项政府非税收划转税务部门征收有关问题的通知》（财综〔2021〕19号）文件要求，网上交易成交后，竞得人须出具《授权证明》，同意协助自然资源及有关部门办理竞买保证金抵作土地出让价款申报缴库手续。</w:t>
      </w:r>
    </w:p>
    <w:p w14:paraId="511C54D5">
      <w:pPr>
        <w:adjustRightInd w:val="0"/>
        <w:snapToGrid w:val="0"/>
        <w:spacing w:line="400" w:lineRule="exact"/>
        <w:ind w:firstLine="480"/>
        <w:rPr>
          <w:rFonts w:hint="default" w:ascii="宋体" w:hAnsi="宋体" w:eastAsia="宋体" w:cs="Times New Roman"/>
          <w:sz w:val="24"/>
          <w:lang w:val="en-US" w:eastAsia="zh-CN"/>
        </w:rPr>
      </w:pPr>
      <w:r>
        <w:rPr>
          <w:rFonts w:hint="eastAsia" w:ascii="宋体" w:hAnsi="宋体" w:eastAsia="宋体" w:cs="Times New Roman"/>
          <w:sz w:val="24"/>
        </w:rPr>
        <w:t>（</w:t>
      </w:r>
      <w:r>
        <w:rPr>
          <w:rFonts w:hint="eastAsia" w:ascii="宋体" w:hAnsi="宋体" w:eastAsia="宋体" w:cs="Times New Roman"/>
          <w:sz w:val="24"/>
          <w:lang w:val="en-US" w:eastAsia="zh-CN"/>
        </w:rPr>
        <w:t>九</w:t>
      </w:r>
      <w:r>
        <w:rPr>
          <w:rFonts w:hint="eastAsia" w:ascii="宋体" w:hAnsi="宋体" w:eastAsia="宋体" w:cs="Times New Roman"/>
          <w:sz w:val="24"/>
        </w:rPr>
        <w:t>）</w:t>
      </w:r>
      <w:r>
        <w:rPr>
          <w:rFonts w:hint="eastAsia" w:ascii="宋体" w:hAnsi="宋体" w:eastAsia="宋体" w:cs="Times New Roman"/>
          <w:sz w:val="24"/>
          <w:lang w:val="en-US" w:eastAsia="zh-CN"/>
        </w:rPr>
        <w:t>出让宗地砂石资源归国家所有，建设项目需动用砂石资源的，应按照有关规定编制砂石资源利用方案、按程序报批。涉及砂石资源交易的，纳入县级及以上公共资源交易平台处置。</w:t>
      </w:r>
    </w:p>
    <w:p w14:paraId="7082B1E2">
      <w:pPr>
        <w:snapToGrid w:val="0"/>
        <w:spacing w:line="400" w:lineRule="exact"/>
        <w:ind w:firstLine="472" w:firstLineChars="196"/>
        <w:rPr>
          <w:rFonts w:hint="eastAsia" w:ascii="宋体" w:hAnsi="宋体"/>
          <w:b/>
          <w:sz w:val="24"/>
        </w:rPr>
      </w:pPr>
      <w:r>
        <w:rPr>
          <w:rFonts w:hint="eastAsia" w:ascii="宋体" w:hAnsi="宋体"/>
          <w:b/>
          <w:sz w:val="24"/>
          <w:lang w:eastAsia="zh-CN"/>
        </w:rPr>
        <w:t>九</w:t>
      </w:r>
      <w:r>
        <w:rPr>
          <w:rFonts w:hint="eastAsia" w:ascii="宋体" w:hAnsi="宋体"/>
          <w:b/>
          <w:sz w:val="24"/>
        </w:rPr>
        <w:t>、注意事项</w:t>
      </w:r>
    </w:p>
    <w:p w14:paraId="6B7B24DC">
      <w:pPr>
        <w:adjustRightInd w:val="0"/>
        <w:snapToGrid w:val="0"/>
        <w:spacing w:line="400" w:lineRule="exact"/>
        <w:ind w:firstLine="480"/>
        <w:rPr>
          <w:rFonts w:hint="eastAsia" w:ascii="宋体" w:hAnsi="宋体"/>
          <w:sz w:val="24"/>
        </w:rPr>
      </w:pPr>
      <w:r>
        <w:rPr>
          <w:rFonts w:hint="eastAsia" w:ascii="宋体" w:hAnsi="宋体"/>
          <w:sz w:val="24"/>
        </w:rPr>
        <w:t>（一）申请人请在网页提示下使用网上交易系统，并慎重上传《竞买申请书》等竞买申请需提交的资料。如上传虚假或与竞买申请无关的资料扰乱网上交易活动的，申请人将被列入诚信黑名单。</w:t>
      </w:r>
    </w:p>
    <w:p w14:paraId="69E35CE8">
      <w:pPr>
        <w:adjustRightInd w:val="0"/>
        <w:snapToGrid w:val="0"/>
        <w:spacing w:line="400" w:lineRule="exact"/>
        <w:ind w:firstLine="480"/>
        <w:rPr>
          <w:rFonts w:hint="eastAsia" w:ascii="宋体" w:hAnsi="宋体"/>
          <w:sz w:val="24"/>
        </w:rPr>
      </w:pPr>
      <w:r>
        <w:rPr>
          <w:rFonts w:hint="eastAsia" w:ascii="宋体" w:hAnsi="宋体"/>
          <w:sz w:val="24"/>
        </w:rPr>
        <w:t>（二）网上交易结束后，竞买人所提交纸质文件未通过审查的，应当撤销竞买人的竞得资格，由</w:t>
      </w:r>
      <w:r>
        <w:rPr>
          <w:rFonts w:ascii="宋体" w:hAnsi="宋体"/>
          <w:sz w:val="24"/>
        </w:rPr>
        <w:t>出让人</w:t>
      </w:r>
      <w:r>
        <w:rPr>
          <w:rFonts w:hint="eastAsia" w:ascii="宋体" w:hAnsi="宋体"/>
          <w:sz w:val="24"/>
        </w:rPr>
        <w:t>没收5%的竞买保证金；竞得人未按《关</w:t>
      </w:r>
      <w:r>
        <w:rPr>
          <w:rFonts w:ascii="宋体" w:hAnsi="宋体"/>
          <w:sz w:val="24"/>
        </w:rPr>
        <w:t>于进一步规范国有建设用地使用权网上交易相关工作的通知</w:t>
      </w:r>
      <w:r>
        <w:rPr>
          <w:rFonts w:hint="eastAsia" w:ascii="宋体" w:hAnsi="宋体"/>
          <w:sz w:val="24"/>
        </w:rPr>
        <w:t>》（</w:t>
      </w:r>
      <w:r>
        <w:rPr>
          <w:rFonts w:ascii="宋体" w:hAnsi="宋体"/>
          <w:sz w:val="24"/>
        </w:rPr>
        <w:t>青自</w:t>
      </w:r>
      <w:r>
        <w:rPr>
          <w:rFonts w:hint="eastAsia" w:ascii="宋体" w:hAnsi="宋体"/>
          <w:sz w:val="24"/>
        </w:rPr>
        <w:t>然</w:t>
      </w:r>
      <w:r>
        <w:rPr>
          <w:rFonts w:ascii="宋体" w:hAnsi="宋体"/>
          <w:sz w:val="24"/>
        </w:rPr>
        <w:t>资规字</w:t>
      </w:r>
      <w:r>
        <w:rPr>
          <w:rFonts w:hint="eastAsia" w:ascii="宋体" w:hAnsi="宋体"/>
          <w:sz w:val="24"/>
          <w:lang w:eastAsia="zh-CN"/>
        </w:rPr>
        <w:t>〔2023〕154号</w:t>
      </w:r>
      <w:r>
        <w:rPr>
          <w:rFonts w:ascii="宋体" w:hAnsi="宋体"/>
          <w:sz w:val="24"/>
        </w:rPr>
        <w:t>）</w:t>
      </w:r>
      <w:r>
        <w:rPr>
          <w:rFonts w:hint="eastAsia" w:ascii="宋体" w:hAnsi="宋体"/>
          <w:sz w:val="24"/>
        </w:rPr>
        <w:t>第六项规定提交纸质申请</w:t>
      </w:r>
      <w:r>
        <w:rPr>
          <w:rFonts w:ascii="宋体" w:hAnsi="宋体"/>
          <w:sz w:val="24"/>
        </w:rPr>
        <w:t>文件</w:t>
      </w:r>
      <w:r>
        <w:rPr>
          <w:rFonts w:hint="eastAsia" w:ascii="宋体" w:hAnsi="宋体"/>
          <w:sz w:val="24"/>
        </w:rPr>
        <w:t>资料，或暂定竞得人拒绝签订《</w:t>
      </w:r>
      <w:r>
        <w:rPr>
          <w:rFonts w:ascii="宋体" w:hAnsi="宋体"/>
          <w:sz w:val="24"/>
        </w:rPr>
        <w:t>成交</w:t>
      </w:r>
      <w:r>
        <w:rPr>
          <w:rFonts w:hint="eastAsia" w:ascii="宋体" w:hAnsi="宋体"/>
          <w:sz w:val="24"/>
        </w:rPr>
        <w:t>确认</w:t>
      </w:r>
      <w:r>
        <w:rPr>
          <w:rFonts w:ascii="宋体" w:hAnsi="宋体"/>
          <w:sz w:val="24"/>
        </w:rPr>
        <w:t>书》或者</w:t>
      </w:r>
      <w:r>
        <w:rPr>
          <w:rFonts w:hint="eastAsia" w:ascii="宋体" w:hAnsi="宋体"/>
          <w:sz w:val="24"/>
        </w:rPr>
        <w:t>拒</w:t>
      </w:r>
      <w:r>
        <w:rPr>
          <w:rFonts w:ascii="宋体" w:hAnsi="宋体"/>
          <w:sz w:val="24"/>
        </w:rPr>
        <w:t>绝签订</w:t>
      </w:r>
      <w:r>
        <w:rPr>
          <w:rFonts w:hint="eastAsia" w:ascii="宋体" w:hAnsi="宋体"/>
          <w:sz w:val="24"/>
        </w:rPr>
        <w:t>《国有建设用地使用权出让合同》的，由出</w:t>
      </w:r>
      <w:r>
        <w:rPr>
          <w:rFonts w:ascii="宋体" w:hAnsi="宋体"/>
          <w:sz w:val="24"/>
        </w:rPr>
        <w:t>让人没收其全部竞买保证金，</w:t>
      </w:r>
      <w:r>
        <w:rPr>
          <w:rFonts w:hint="eastAsia" w:ascii="宋体" w:hAnsi="宋体"/>
          <w:sz w:val="24"/>
        </w:rPr>
        <w:t>竞价</w:t>
      </w:r>
      <w:r>
        <w:rPr>
          <w:rFonts w:ascii="宋体" w:hAnsi="宋体"/>
          <w:sz w:val="24"/>
        </w:rPr>
        <w:t>结</w:t>
      </w:r>
      <w:r>
        <w:rPr>
          <w:rFonts w:hint="eastAsia" w:ascii="宋体" w:hAnsi="宋体"/>
          <w:sz w:val="24"/>
        </w:rPr>
        <w:t>果</w:t>
      </w:r>
      <w:r>
        <w:rPr>
          <w:rFonts w:ascii="宋体" w:hAnsi="宋体"/>
          <w:sz w:val="24"/>
        </w:rPr>
        <w:t>无效。</w:t>
      </w:r>
    </w:p>
    <w:p w14:paraId="5A2880E3">
      <w:pPr>
        <w:adjustRightInd w:val="0"/>
        <w:snapToGrid w:val="0"/>
        <w:spacing w:line="400" w:lineRule="exact"/>
        <w:ind w:firstLine="480"/>
        <w:rPr>
          <w:rFonts w:hint="eastAsia" w:ascii="宋体" w:hAnsi="宋体"/>
          <w:sz w:val="24"/>
        </w:rPr>
      </w:pPr>
      <w:r>
        <w:rPr>
          <w:rFonts w:hint="eastAsia" w:ascii="宋体" w:hAnsi="宋体"/>
          <w:sz w:val="24"/>
        </w:rPr>
        <w:t>（三）根据《关</w:t>
      </w:r>
      <w:r>
        <w:rPr>
          <w:rFonts w:ascii="宋体" w:hAnsi="宋体"/>
          <w:sz w:val="24"/>
        </w:rPr>
        <w:t>于进一步规范国有建设用地使用权网上交易相关工作的通知</w:t>
      </w:r>
      <w:r>
        <w:rPr>
          <w:rFonts w:hint="eastAsia" w:ascii="宋体" w:hAnsi="宋体"/>
          <w:sz w:val="24"/>
        </w:rPr>
        <w:t>》（</w:t>
      </w:r>
      <w:r>
        <w:rPr>
          <w:rFonts w:ascii="宋体" w:hAnsi="宋体"/>
          <w:sz w:val="24"/>
        </w:rPr>
        <w:t>青自</w:t>
      </w:r>
      <w:r>
        <w:rPr>
          <w:rFonts w:hint="eastAsia" w:ascii="宋体" w:hAnsi="宋体"/>
          <w:sz w:val="24"/>
        </w:rPr>
        <w:t>然</w:t>
      </w:r>
      <w:r>
        <w:rPr>
          <w:rFonts w:ascii="宋体" w:hAnsi="宋体"/>
          <w:sz w:val="24"/>
        </w:rPr>
        <w:t>资规字</w:t>
      </w:r>
      <w:r>
        <w:rPr>
          <w:rFonts w:hint="eastAsia" w:ascii="宋体" w:hAnsi="宋体"/>
          <w:sz w:val="24"/>
          <w:lang w:eastAsia="zh-CN"/>
        </w:rPr>
        <w:t>〔2023〕154号</w:t>
      </w:r>
      <w:r>
        <w:rPr>
          <w:rFonts w:ascii="宋体" w:hAnsi="宋体"/>
          <w:sz w:val="24"/>
        </w:rPr>
        <w:t>）</w:t>
      </w:r>
      <w:r>
        <w:rPr>
          <w:rFonts w:hint="eastAsia" w:ascii="宋体" w:hAnsi="宋体"/>
          <w:sz w:val="24"/>
        </w:rPr>
        <w:t>竞得人有下列行为之一的</w:t>
      </w:r>
      <w:r>
        <w:rPr>
          <w:rFonts w:hint="eastAsia" w:ascii="宋体" w:hAnsi="宋体"/>
          <w:sz w:val="24"/>
          <w:lang w:eastAsia="zh-CN"/>
        </w:rPr>
        <w:t>，</w:t>
      </w:r>
      <w:r>
        <w:rPr>
          <w:rFonts w:hint="eastAsia" w:ascii="宋体" w:hAnsi="宋体"/>
          <w:sz w:val="24"/>
        </w:rPr>
        <w:t>竞价结果无效，出</w:t>
      </w:r>
      <w:r>
        <w:rPr>
          <w:rFonts w:ascii="宋体" w:hAnsi="宋体"/>
          <w:sz w:val="24"/>
        </w:rPr>
        <w:t>让人不予</w:t>
      </w:r>
      <w:r>
        <w:rPr>
          <w:rFonts w:hint="eastAsia" w:ascii="宋体" w:hAnsi="宋体"/>
          <w:sz w:val="24"/>
        </w:rPr>
        <w:t>签订《成交确认书》，由</w:t>
      </w:r>
      <w:r>
        <w:rPr>
          <w:rFonts w:ascii="宋体" w:hAnsi="宋体"/>
          <w:sz w:val="24"/>
        </w:rPr>
        <w:t>出让人</w:t>
      </w:r>
      <w:r>
        <w:rPr>
          <w:rFonts w:hint="eastAsia" w:ascii="宋体" w:hAnsi="宋体"/>
          <w:sz w:val="24"/>
        </w:rPr>
        <w:t>没收全部竞买保证金。涉及违法犯罪的，移交司法机关：</w:t>
      </w:r>
    </w:p>
    <w:p w14:paraId="3609DDA4">
      <w:pPr>
        <w:adjustRightInd w:val="0"/>
        <w:snapToGrid w:val="0"/>
        <w:spacing w:line="400" w:lineRule="exact"/>
        <w:ind w:firstLine="480"/>
        <w:rPr>
          <w:rFonts w:hint="eastAsia" w:ascii="宋体" w:hAnsi="宋体"/>
          <w:sz w:val="24"/>
        </w:rPr>
      </w:pPr>
      <w:r>
        <w:rPr>
          <w:rFonts w:hint="eastAsia" w:ascii="宋体" w:hAnsi="宋体"/>
          <w:sz w:val="24"/>
        </w:rPr>
        <w:t>1</w:t>
      </w:r>
      <w:r>
        <w:rPr>
          <w:rFonts w:hint="eastAsia" w:ascii="宋体" w:hAnsi="宋体"/>
          <w:sz w:val="24"/>
          <w:lang w:eastAsia="zh-CN"/>
        </w:rPr>
        <w:t>.</w:t>
      </w:r>
      <w:r>
        <w:rPr>
          <w:rFonts w:hint="eastAsia" w:ascii="宋体" w:hAnsi="宋体"/>
          <w:sz w:val="24"/>
        </w:rPr>
        <w:t>采取恶意串通等非法手段竞得国有建设用地使用权；</w:t>
      </w:r>
    </w:p>
    <w:p w14:paraId="1BE46423">
      <w:pPr>
        <w:adjustRightInd w:val="0"/>
        <w:snapToGrid w:val="0"/>
        <w:spacing w:line="400" w:lineRule="exact"/>
        <w:ind w:firstLine="480"/>
        <w:rPr>
          <w:rFonts w:hint="eastAsia" w:ascii="宋体" w:hAnsi="宋体"/>
          <w:sz w:val="24"/>
        </w:rPr>
      </w:pPr>
      <w:r>
        <w:rPr>
          <w:rFonts w:hint="eastAsia" w:ascii="宋体" w:hAnsi="宋体"/>
          <w:sz w:val="24"/>
        </w:rPr>
        <w:t>2</w:t>
      </w:r>
      <w:r>
        <w:rPr>
          <w:rFonts w:hint="eastAsia" w:ascii="宋体" w:hAnsi="宋体"/>
          <w:sz w:val="24"/>
          <w:lang w:eastAsia="zh-CN"/>
        </w:rPr>
        <w:t>.</w:t>
      </w:r>
      <w:r>
        <w:rPr>
          <w:rFonts w:hint="eastAsia" w:ascii="宋体" w:hAnsi="宋体"/>
          <w:sz w:val="24"/>
        </w:rPr>
        <w:t>通过黑客攻击、病毒入侵等手段影响或操纵交易系统竞得国有建设用地使用权；</w:t>
      </w:r>
    </w:p>
    <w:p w14:paraId="0252C207">
      <w:pPr>
        <w:adjustRightInd w:val="0"/>
        <w:snapToGrid w:val="0"/>
        <w:spacing w:line="400" w:lineRule="exact"/>
        <w:ind w:firstLine="480"/>
        <w:rPr>
          <w:rFonts w:hint="eastAsia" w:ascii="宋体" w:hAnsi="宋体"/>
          <w:sz w:val="24"/>
        </w:rPr>
      </w:pPr>
      <w:r>
        <w:rPr>
          <w:rFonts w:hint="eastAsia" w:ascii="宋体" w:hAnsi="宋体"/>
          <w:sz w:val="24"/>
        </w:rPr>
        <w:t>3</w:t>
      </w:r>
      <w:r>
        <w:rPr>
          <w:rFonts w:hint="eastAsia" w:ascii="宋体" w:hAnsi="宋体"/>
          <w:sz w:val="24"/>
          <w:lang w:eastAsia="zh-CN"/>
        </w:rPr>
        <w:t>.</w:t>
      </w:r>
      <w:r>
        <w:rPr>
          <w:rFonts w:hint="eastAsia" w:ascii="宋体" w:hAnsi="宋体"/>
          <w:sz w:val="24"/>
        </w:rPr>
        <w:t>实施影响网上交易活动公开、公平、公正的其他违法行为。</w:t>
      </w:r>
    </w:p>
    <w:p w14:paraId="6DF99FC0">
      <w:pPr>
        <w:adjustRightInd w:val="0"/>
        <w:snapToGrid w:val="0"/>
        <w:spacing w:line="400" w:lineRule="exact"/>
        <w:ind w:firstLine="480"/>
        <w:rPr>
          <w:rFonts w:hint="eastAsia" w:ascii="宋体" w:hAnsi="宋体"/>
          <w:b/>
          <w:color w:val="000000"/>
          <w:sz w:val="24"/>
          <w:highlight w:val="none"/>
        </w:rPr>
      </w:pPr>
      <w:r>
        <w:rPr>
          <w:rFonts w:hint="eastAsia" w:ascii="宋体" w:hAnsi="宋体"/>
          <w:b/>
          <w:color w:val="000000"/>
          <w:sz w:val="24"/>
          <w:highlight w:val="none"/>
        </w:rPr>
        <w:t>竞买</w:t>
      </w:r>
      <w:r>
        <w:rPr>
          <w:rFonts w:ascii="宋体" w:hAnsi="宋体"/>
          <w:b/>
          <w:color w:val="000000"/>
          <w:sz w:val="24"/>
          <w:highlight w:val="none"/>
        </w:rPr>
        <w:t>人须认真</w:t>
      </w:r>
      <w:r>
        <w:rPr>
          <w:rFonts w:hint="eastAsia" w:ascii="宋体" w:hAnsi="宋体"/>
          <w:b/>
          <w:color w:val="000000"/>
          <w:sz w:val="24"/>
          <w:highlight w:val="none"/>
        </w:rPr>
        <w:t>阅读《</w:t>
      </w:r>
      <w:r>
        <w:rPr>
          <w:rFonts w:ascii="宋体" w:hAnsi="宋体"/>
          <w:b/>
          <w:color w:val="000000"/>
          <w:sz w:val="24"/>
          <w:highlight w:val="none"/>
        </w:rPr>
        <w:t>青岛市国有建设用地使用权网上拍卖出让文件》</w:t>
      </w:r>
      <w:r>
        <w:rPr>
          <w:rFonts w:hint="eastAsia" w:ascii="宋体" w:hAnsi="宋体"/>
          <w:b/>
          <w:color w:val="000000"/>
          <w:sz w:val="24"/>
          <w:highlight w:val="none"/>
        </w:rPr>
        <w:t>所约定</w:t>
      </w:r>
      <w:r>
        <w:rPr>
          <w:rFonts w:ascii="宋体" w:hAnsi="宋体"/>
          <w:b/>
          <w:color w:val="000000"/>
          <w:sz w:val="24"/>
          <w:highlight w:val="none"/>
        </w:rPr>
        <w:t>的所有事项，并严格遵守，未按规定履行的，由竞买人自行承担</w:t>
      </w:r>
      <w:r>
        <w:rPr>
          <w:rFonts w:hint="eastAsia" w:ascii="宋体" w:hAnsi="宋体"/>
          <w:b/>
          <w:color w:val="000000"/>
          <w:sz w:val="24"/>
          <w:highlight w:val="none"/>
        </w:rPr>
        <w:t>所产生</w:t>
      </w:r>
      <w:r>
        <w:rPr>
          <w:rFonts w:ascii="宋体" w:hAnsi="宋体"/>
          <w:b/>
          <w:color w:val="000000"/>
          <w:sz w:val="24"/>
          <w:highlight w:val="none"/>
        </w:rPr>
        <w:t>的风险和责任。</w:t>
      </w:r>
    </w:p>
    <w:p w14:paraId="433F326D">
      <w:pPr>
        <w:snapToGrid w:val="0"/>
        <w:spacing w:line="400" w:lineRule="exact"/>
        <w:ind w:firstLine="472" w:firstLineChars="196"/>
        <w:rPr>
          <w:rFonts w:ascii="宋体" w:hAnsi="宋体"/>
          <w:b/>
          <w:sz w:val="24"/>
        </w:rPr>
      </w:pPr>
      <w:r>
        <w:rPr>
          <w:rFonts w:hint="eastAsia" w:ascii="宋体" w:hAnsi="宋体"/>
          <w:b/>
          <w:sz w:val="24"/>
          <w:lang w:val="en-US" w:eastAsia="zh-CN"/>
        </w:rPr>
        <w:t>十</w:t>
      </w:r>
      <w:r>
        <w:rPr>
          <w:rFonts w:hint="eastAsia" w:ascii="宋体" w:hAnsi="宋体"/>
          <w:b/>
          <w:sz w:val="24"/>
        </w:rPr>
        <w:t>、联系方式</w:t>
      </w:r>
    </w:p>
    <w:p w14:paraId="64268AAD">
      <w:pPr>
        <w:snapToGrid w:val="0"/>
        <w:spacing w:line="400" w:lineRule="exact"/>
        <w:ind w:firstLine="480"/>
        <w:rPr>
          <w:rFonts w:hint="eastAsia" w:ascii="宋体" w:hAnsi="宋体"/>
          <w:sz w:val="24"/>
        </w:rPr>
      </w:pPr>
      <w:r>
        <w:rPr>
          <w:rFonts w:hint="eastAsia" w:ascii="宋体" w:hAnsi="宋体"/>
          <w:sz w:val="24"/>
        </w:rPr>
        <w:t>出 让 人：青岛市自然资源和规划局</w:t>
      </w:r>
    </w:p>
    <w:p w14:paraId="72B3703E">
      <w:pPr>
        <w:snapToGrid w:val="0"/>
        <w:spacing w:line="400" w:lineRule="exact"/>
        <w:ind w:left="1799" w:leftChars="228" w:hanging="1320" w:hangingChars="550"/>
        <w:rPr>
          <w:rFonts w:hint="eastAsia" w:ascii="宋体" w:hAnsi="宋体"/>
          <w:sz w:val="24"/>
        </w:rPr>
      </w:pPr>
      <w:r>
        <w:rPr>
          <w:rFonts w:hint="eastAsia" w:ascii="宋体" w:hAnsi="宋体"/>
          <w:sz w:val="24"/>
        </w:rPr>
        <w:t>承 办 人：中国（山东）自由贸易试验区青岛片区自然资源局</w:t>
      </w:r>
    </w:p>
    <w:p w14:paraId="1930EE23">
      <w:pPr>
        <w:snapToGrid w:val="0"/>
        <w:spacing w:line="400" w:lineRule="exact"/>
        <w:ind w:left="1799" w:leftChars="228" w:hanging="1320" w:hangingChars="550"/>
        <w:rPr>
          <w:rFonts w:ascii="宋体" w:hAnsi="宋体"/>
          <w:sz w:val="24"/>
        </w:rPr>
      </w:pPr>
      <w:r>
        <w:rPr>
          <w:rFonts w:hint="eastAsia" w:ascii="宋体" w:hAnsi="宋体"/>
          <w:sz w:val="24"/>
        </w:rPr>
        <w:t>联系地址： 山东省</w:t>
      </w:r>
      <w:r>
        <w:rPr>
          <w:rFonts w:ascii="宋体" w:hAnsi="宋体"/>
          <w:sz w:val="24"/>
        </w:rPr>
        <w:t>青岛市黄</w:t>
      </w:r>
      <w:r>
        <w:rPr>
          <w:rFonts w:hint="eastAsia" w:ascii="宋体" w:hAnsi="宋体"/>
          <w:sz w:val="24"/>
        </w:rPr>
        <w:t>岛区鹏</w:t>
      </w:r>
      <w:r>
        <w:rPr>
          <w:rFonts w:ascii="宋体" w:hAnsi="宋体"/>
          <w:sz w:val="24"/>
        </w:rPr>
        <w:t>湾路</w:t>
      </w:r>
      <w:r>
        <w:rPr>
          <w:rFonts w:hint="eastAsia" w:ascii="宋体" w:hAnsi="宋体"/>
          <w:sz w:val="24"/>
        </w:rPr>
        <w:t>57号</w:t>
      </w:r>
      <w:r>
        <w:rPr>
          <w:rFonts w:ascii="宋体" w:hAnsi="宋体"/>
          <w:sz w:val="24"/>
        </w:rPr>
        <w:t xml:space="preserve"> </w:t>
      </w:r>
    </w:p>
    <w:p w14:paraId="156D7C74">
      <w:pPr>
        <w:snapToGrid w:val="0"/>
        <w:spacing w:line="400" w:lineRule="exact"/>
        <w:ind w:left="1799" w:leftChars="228" w:hanging="1320" w:hangingChars="550"/>
        <w:rPr>
          <w:rFonts w:hint="default" w:ascii="宋体" w:hAnsi="宋体" w:eastAsia="宋体"/>
          <w:sz w:val="24"/>
          <w:lang w:val="en-US" w:eastAsia="zh-CN"/>
        </w:rPr>
      </w:pPr>
      <w:r>
        <w:rPr>
          <w:rFonts w:hint="eastAsia" w:ascii="宋体" w:hAnsi="宋体"/>
          <w:sz w:val="24"/>
        </w:rPr>
        <w:t>联系电话： 0532-8676</w:t>
      </w:r>
      <w:r>
        <w:rPr>
          <w:rFonts w:hint="eastAsia" w:ascii="宋体" w:hAnsi="宋体"/>
          <w:sz w:val="24"/>
          <w:lang w:val="en-US" w:eastAsia="zh-CN"/>
        </w:rPr>
        <w:t>2612</w:t>
      </w:r>
    </w:p>
    <w:p w14:paraId="4F61C30B">
      <w:pPr>
        <w:snapToGrid w:val="0"/>
        <w:ind w:right="720" w:firstLine="3840" w:firstLineChars="1600"/>
        <w:jc w:val="center"/>
        <w:rPr>
          <w:rFonts w:hint="eastAsia" w:ascii="宋体" w:hAnsi="宋体"/>
          <w:sz w:val="24"/>
        </w:rPr>
      </w:pPr>
      <w:r>
        <w:rPr>
          <w:rFonts w:hint="eastAsia" w:ascii="宋体" w:hAnsi="宋体"/>
          <w:sz w:val="24"/>
        </w:rPr>
        <w:t xml:space="preserve">  </w:t>
      </w:r>
    </w:p>
    <w:p w14:paraId="6C53D143">
      <w:pPr>
        <w:snapToGrid w:val="0"/>
        <w:ind w:right="720" w:firstLine="3840" w:firstLineChars="1600"/>
        <w:jc w:val="center"/>
        <w:rPr>
          <w:rFonts w:hint="eastAsia" w:ascii="宋体" w:hAnsi="宋体"/>
          <w:sz w:val="24"/>
        </w:rPr>
      </w:pPr>
      <w:bookmarkStart w:id="0" w:name="_GoBack"/>
      <w:bookmarkEnd w:id="0"/>
      <w:r>
        <w:rPr>
          <w:rFonts w:hint="eastAsia" w:ascii="宋体" w:hAnsi="宋体"/>
          <w:sz w:val="24"/>
        </w:rPr>
        <w:t xml:space="preserve">  青岛市自然资源和规划局</w:t>
      </w:r>
    </w:p>
    <w:p w14:paraId="1F40EF21">
      <w:pPr>
        <w:pStyle w:val="2"/>
        <w:spacing w:before="0" w:line="240" w:lineRule="auto"/>
        <w:rPr>
          <w:rFonts w:hint="eastAsia" w:ascii="宋体" w:hAnsi="宋体"/>
          <w:b w:val="0"/>
          <w:bCs w:val="0"/>
          <w:sz w:val="44"/>
          <w:szCs w:val="44"/>
          <w:highlight w:val="none"/>
        </w:rPr>
      </w:pPr>
      <w:r>
        <w:rPr>
          <w:rFonts w:hint="eastAsia" w:ascii="宋体" w:hAnsi="宋体"/>
          <w:sz w:val="24"/>
        </w:rPr>
        <w:t xml:space="preserve"> </w:t>
      </w:r>
      <w:r>
        <w:rPr>
          <w:rFonts w:hint="eastAsia" w:ascii="宋体" w:hAnsi="宋体"/>
          <w:color w:val="FF0000"/>
          <w:sz w:val="24"/>
        </w:rPr>
        <w:t xml:space="preserve"> </w:t>
      </w:r>
      <w:r>
        <w:rPr>
          <w:rFonts w:hint="eastAsia" w:ascii="宋体" w:hAnsi="宋体"/>
          <w:color w:val="000000"/>
          <w:sz w:val="24"/>
        </w:rPr>
        <w:t xml:space="preserve">                             </w:t>
      </w:r>
      <w:r>
        <w:rPr>
          <w:rFonts w:hint="eastAsia" w:ascii="宋体" w:hAnsi="宋体"/>
          <w:color w:val="000000"/>
          <w:sz w:val="24"/>
          <w:highlight w:val="none"/>
        </w:rPr>
        <w:t xml:space="preserve">             </w:t>
      </w:r>
      <w:r>
        <w:rPr>
          <w:rFonts w:hint="eastAsia" w:ascii="宋体" w:hAnsi="宋体"/>
          <w:b w:val="0"/>
          <w:color w:val="000000"/>
          <w:sz w:val="24"/>
          <w:highlight w:val="none"/>
        </w:rPr>
        <w:t>202</w:t>
      </w:r>
      <w:r>
        <w:rPr>
          <w:rFonts w:hint="eastAsia" w:ascii="宋体" w:hAnsi="宋体"/>
          <w:b w:val="0"/>
          <w:color w:val="000000"/>
          <w:sz w:val="24"/>
          <w:highlight w:val="none"/>
          <w:lang w:val="en-US" w:eastAsia="zh-CN"/>
        </w:rPr>
        <w:t>6</w:t>
      </w:r>
      <w:r>
        <w:rPr>
          <w:rFonts w:hint="eastAsia" w:ascii="宋体" w:hAnsi="宋体"/>
          <w:b w:val="0"/>
          <w:color w:val="000000"/>
          <w:sz w:val="24"/>
          <w:highlight w:val="none"/>
        </w:rPr>
        <w:t>年</w:t>
      </w:r>
      <w:r>
        <w:rPr>
          <w:rFonts w:hint="eastAsia" w:ascii="宋体" w:hAnsi="宋体"/>
          <w:b w:val="0"/>
          <w:color w:val="000000"/>
          <w:sz w:val="24"/>
          <w:highlight w:val="none"/>
          <w:lang w:val="en-US" w:eastAsia="zh-CN"/>
        </w:rPr>
        <w:t>9</w:t>
      </w:r>
      <w:r>
        <w:rPr>
          <w:rFonts w:hint="eastAsia" w:ascii="宋体" w:hAnsi="宋体"/>
          <w:b w:val="0"/>
          <w:color w:val="000000"/>
          <w:sz w:val="24"/>
          <w:highlight w:val="none"/>
        </w:rPr>
        <w:t>月</w:t>
      </w:r>
      <w:r>
        <w:rPr>
          <w:rFonts w:hint="eastAsia" w:ascii="宋体" w:hAnsi="宋体"/>
          <w:b w:val="0"/>
          <w:color w:val="000000"/>
          <w:sz w:val="24"/>
          <w:highlight w:val="none"/>
          <w:lang w:val="en-US" w:eastAsia="zh-CN"/>
        </w:rPr>
        <w:t>30</w:t>
      </w:r>
      <w:r>
        <w:rPr>
          <w:rFonts w:hint="eastAsia" w:ascii="宋体" w:hAnsi="宋体"/>
          <w:b w:val="0"/>
          <w:color w:val="000000"/>
          <w:sz w:val="24"/>
          <w:highlight w:val="none"/>
        </w:rPr>
        <w:t>日</w:t>
      </w:r>
    </w:p>
    <w:p w14:paraId="4D7C243D">
      <w:pPr>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7A"/>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252506"/>
    <w:rsid w:val="023D708E"/>
    <w:rsid w:val="044D6D6D"/>
    <w:rsid w:val="077E05CB"/>
    <w:rsid w:val="07F92E63"/>
    <w:rsid w:val="1A41348C"/>
    <w:rsid w:val="3328175E"/>
    <w:rsid w:val="3C7C7201"/>
    <w:rsid w:val="3F252506"/>
    <w:rsid w:val="40AB43DF"/>
    <w:rsid w:val="4C280FBF"/>
    <w:rsid w:val="77D31AA6"/>
    <w:rsid w:val="7E1C13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99"/>
    <w:pPr>
      <w:spacing w:before="200" w:line="271" w:lineRule="auto"/>
      <w:outlineLvl w:val="2"/>
    </w:pPr>
    <w:rPr>
      <w:rFonts w:ascii="Cambria" w:hAnsi="Cambria" w:cs="Cambria"/>
      <w:b/>
      <w:bCs/>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e5315057-db5d-49bc-b5a6-393904e65044</errorID>
      <errorWord>法律、法规</errorWord>
      <group>L1_Word</group>
      <groupName>字词问题</groupName>
      <ability>L2_Typo</ability>
      <abilityName>字词错误</abilityName>
      <candidateList>
        <item>法律法规</item>
      </candidateList>
      <explain/>
      <paraID>1C7AC072</paraID>
      <start>20</start>
      <end>25</end>
      <status>ignored</status>
      <modifiedWord/>
      <trackRevisions>false</trackRevisions>
    </reviewItem>
    <reviewItem>
      <errorID>3e92b728-2491-4679-86c3-c4e8f6ab1eb1</errorID>
      <errorWord>资源节约综合利用</errorWord>
      <group>L1_Political</group>
      <groupName>政治性问题</groupName>
      <ability>L2_Keyword</ability>
      <abilityName>固定表述</abilityName>
      <candidateList>
        <item>资源节约集约利用</item>
      </candidateList>
      <explain>词汇“资源节约集约利用”在特定场景下为固定表述形式，请确认此处的“资源节约综合利用”是否存在不当。</explain>
      <paraID> F25A199</paraID>
      <start>47</start>
      <end>55</end>
      <status>ignored</status>
      <modifiedWord/>
      <trackRevisions>false</trackRevisions>
    </reviewItem>
  </reviewItems>
  <config/>
</contractReview>
</file>

<file path=customXml/itemProps1.xml><?xml version="1.0" encoding="utf-8"?>
<ds:datastoreItem xmlns:ds="http://schemas.openxmlformats.org/officeDocument/2006/customXml" ds:itemID="{121b3d5b-8311-459c-b5dd-b03fce11090e}">
  <ds:schemaRefs/>
</ds:datastoreItem>
</file>

<file path=docProps/app.xml><?xml version="1.0" encoding="utf-8"?>
<Properties xmlns="http://schemas.openxmlformats.org/officeDocument/2006/extended-properties" xmlns:vt="http://schemas.openxmlformats.org/officeDocument/2006/docPropsVTypes">
  <Template>Normal.dotm</Template>
  <Pages>4</Pages>
  <Words>2532</Words>
  <Characters>2772</Characters>
  <Lines>0</Lines>
  <Paragraphs>0</Paragraphs>
  <TotalTime>0</TotalTime>
  <ScaleCrop>false</ScaleCrop>
  <LinksUpToDate>false</LinksUpToDate>
  <CharactersWithSpaces>2831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2026-08-20T05:36:00Z</dcterms:created>
  <dc:creator>^ - ^♐️</dc:creator>
  <cp:lastModifiedBy>^ - ^♐️</cp:lastModifiedBy>
  <dcterms:modified xsi:type="dcterms:W3CDTF">2026-09-29T07:12:11Z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4262DE0DD3684FCBA695E97D165B823E_11</vt:lpwstr>
  </property>
  <property fmtid="{D5CDD505-2E9C-101B-9397-08002B2CF9AE}" pid="4" name="KSOTemplateDocerSaveRecord">
    <vt:lpwstr>eyJoZGlkIjoiN2Q2MDc1ZGQzZTA1MTIxNDgzMjQyNGUyNjkwMzE5YjMiLCJ1c2VySWQiOiI4MTE2MjE1NTcifQ==</vt:lpwstr>
  </property>
</Properties>
</file>