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58FBC">
      <w:pPr>
        <w:overflowPunct w:val="0"/>
        <w:adjustRightInd w:val="0"/>
        <w:snapToGrid w:val="0"/>
        <w:spacing w:before="310" w:beforeLines="50" w:after="310" w:afterLines="50" w:line="560" w:lineRule="exact"/>
        <w:jc w:val="center"/>
        <w:rPr>
          <w:rFonts w:ascii="方正小标宋_GBK" w:hAnsi="黑体" w:eastAsia="方正小标宋_GBK"/>
          <w:snapToGrid w:val="0"/>
          <w:kern w:val="0"/>
          <w:sz w:val="44"/>
          <w:szCs w:val="44"/>
        </w:rPr>
      </w:pPr>
      <w:r>
        <w:rPr>
          <w:rFonts w:ascii="方正小标宋_GBK" w:hAnsi="黑体" w:eastAsia="方正小标宋_GBK"/>
          <w:snapToGrid w:val="0"/>
          <w:kern w:val="0"/>
          <w:sz w:val="44"/>
          <w:szCs w:val="44"/>
        </w:rPr>
        <w:t>2026年政府工作报告公开挂牌督办事项</w:t>
      </w:r>
      <w:r>
        <w:rPr>
          <w:rFonts w:hint="eastAsia" w:ascii="方正小标宋_GBK" w:hAnsi="黑体" w:eastAsia="方正小标宋_GBK"/>
          <w:snapToGrid w:val="0"/>
          <w:kern w:val="0"/>
          <w:sz w:val="44"/>
          <w:szCs w:val="44"/>
        </w:rPr>
        <w:t>上半年</w:t>
      </w:r>
      <w:r>
        <w:rPr>
          <w:rFonts w:ascii="方正小标宋_GBK" w:hAnsi="黑体" w:eastAsia="方正小标宋_GBK"/>
          <w:snapToGrid w:val="0"/>
          <w:kern w:val="0"/>
          <w:sz w:val="44"/>
          <w:szCs w:val="44"/>
        </w:rPr>
        <w:t>进展情况台账</w:t>
      </w:r>
    </w:p>
    <w:tbl>
      <w:tblPr>
        <w:tblStyle w:val="22"/>
        <w:tblW w:w="12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3685"/>
        <w:gridCol w:w="7623"/>
      </w:tblGrid>
      <w:tr w14:paraId="3234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791" w:type="dxa"/>
            <w:vAlign w:val="center"/>
          </w:tcPr>
          <w:p w14:paraId="27AF4F65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3685" w:type="dxa"/>
            <w:vAlign w:val="center"/>
          </w:tcPr>
          <w:p w14:paraId="2E41C7B9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事项内容</w:t>
            </w:r>
          </w:p>
        </w:tc>
        <w:tc>
          <w:tcPr>
            <w:tcW w:w="7623" w:type="dxa"/>
            <w:vAlign w:val="center"/>
          </w:tcPr>
          <w:p w14:paraId="57050DD7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="黑体" w:hAnsi="黑体" w:eastAsia="黑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进展情况</w:t>
            </w:r>
          </w:p>
        </w:tc>
      </w:tr>
      <w:tr w14:paraId="12F7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4B073E3E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</w:t>
            </w:r>
          </w:p>
        </w:tc>
        <w:tc>
          <w:tcPr>
            <w:tcW w:w="3685" w:type="dxa"/>
            <w:vAlign w:val="center"/>
          </w:tcPr>
          <w:p w14:paraId="66F2EA3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举办“购在中国·乐购青岛”主题活动1100场。</w:t>
            </w:r>
          </w:p>
        </w:tc>
        <w:tc>
          <w:tcPr>
            <w:tcW w:w="7623" w:type="dxa"/>
            <w:vAlign w:val="center"/>
          </w:tcPr>
          <w:p w14:paraId="27A22E7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上半年，我市高质量举办“青岛礼物”嘉年华、黑珍珠餐厅“鼎新计划”精致餐饮论坛、第五届国际海洋美食之都·青岛食材荟、跨国公司领导人青岛峰会消费周等600余场“购在中国·乐购青岛”主题活动。</w:t>
            </w:r>
          </w:p>
        </w:tc>
      </w:tr>
      <w:tr w14:paraId="0226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75D3EF4B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</w:t>
            </w:r>
          </w:p>
        </w:tc>
        <w:tc>
          <w:tcPr>
            <w:tcW w:w="3685" w:type="dxa"/>
            <w:vAlign w:val="center"/>
          </w:tcPr>
          <w:p w14:paraId="13642BE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新增邮轮岸上消费线路10条。</w:t>
            </w:r>
          </w:p>
        </w:tc>
        <w:tc>
          <w:tcPr>
            <w:tcW w:w="7623" w:type="dxa"/>
            <w:vAlign w:val="center"/>
          </w:tcPr>
          <w:p w14:paraId="6D797BE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上半年，我市设计推出涵盖历史人文、海洋亲子、时尚潮玩等12条主题线路，并为各主题线路配套推荐我市旅游商品大赛获奖产品和“青岛游礼”入选名单产品的“青岛礼物”，满足游客消费需求。</w:t>
            </w:r>
          </w:p>
        </w:tc>
      </w:tr>
      <w:tr w14:paraId="4E705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1619F8D5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</w:t>
            </w:r>
          </w:p>
        </w:tc>
        <w:tc>
          <w:tcPr>
            <w:tcW w:w="3685" w:type="dxa"/>
            <w:vAlign w:val="center"/>
          </w:tcPr>
          <w:p w14:paraId="2E2B7B1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突破发展入境旅游，力争接待入境游客80万人次以上。</w:t>
            </w:r>
          </w:p>
        </w:tc>
        <w:tc>
          <w:tcPr>
            <w:tcW w:w="7623" w:type="dxa"/>
            <w:vAlign w:val="center"/>
          </w:tcPr>
          <w:p w14:paraId="5F771398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上半年，全市持续加大市场开拓力度，推动入境客源市场结构优化、增量扩大，共接待入境游客44.3万人次，同比增长56.23%，超过2025年前三季度入境游人数之和。</w:t>
            </w:r>
          </w:p>
        </w:tc>
      </w:tr>
      <w:tr w14:paraId="43B2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47B17D7B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4</w:t>
            </w:r>
          </w:p>
        </w:tc>
        <w:tc>
          <w:tcPr>
            <w:tcW w:w="3685" w:type="dxa"/>
            <w:vAlign w:val="center"/>
          </w:tcPr>
          <w:p w14:paraId="5B28B94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推动驻青高校新增和调整学科专业50个。</w:t>
            </w:r>
          </w:p>
        </w:tc>
        <w:tc>
          <w:tcPr>
            <w:tcW w:w="7623" w:type="dxa"/>
            <w:vAlign w:val="center"/>
          </w:tcPr>
          <w:p w14:paraId="723DD577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多次召开会议研讨推动在青高校主动服务我市“10+1”创新型产业体系的具体措施。支持在青高校围绕我市产业发展，主动调整学科专业设置，通过增设我市产业急需紧缺专业，支持我市产业发展。2026年5月，经教育部和省教育厅同意，在青高校共新增和调整学科专业115个。</w:t>
            </w:r>
          </w:p>
        </w:tc>
      </w:tr>
      <w:tr w14:paraId="1FA6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47C95178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5</w:t>
            </w:r>
          </w:p>
        </w:tc>
        <w:tc>
          <w:tcPr>
            <w:tcW w:w="3685" w:type="dxa"/>
            <w:vAlign w:val="center"/>
          </w:tcPr>
          <w:p w14:paraId="586BF6F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培育专精特新、瞪羚、独角兽等创新型企业1500家。</w:t>
            </w:r>
          </w:p>
        </w:tc>
        <w:tc>
          <w:tcPr>
            <w:tcW w:w="7623" w:type="dxa"/>
            <w:vAlign w:val="center"/>
          </w:tcPr>
          <w:p w14:paraId="1C61BB4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创新型中小企业方面，完成2026年创新型中小企业评价，公告企业1356家；专精特新中小企业方面，完成2026年专精特新中小企业复核，复核通过企业501家；“小巨人”企业方面，动态更新企业培育库，入库企业245家，公示第八批“小巨人”企业申报复核推荐名单，其中新申报企业78家，复核企业60家；瞪羚、独角兽企业方面，推动出台独角兽企业专项奖补政策，持续对接省工信厅待政策确定后协助企业申报。</w:t>
            </w:r>
          </w:p>
        </w:tc>
      </w:tr>
      <w:tr w14:paraId="18BB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4A26D250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6</w:t>
            </w:r>
          </w:p>
        </w:tc>
        <w:tc>
          <w:tcPr>
            <w:tcW w:w="3685" w:type="dxa"/>
            <w:vAlign w:val="center"/>
          </w:tcPr>
          <w:p w14:paraId="7B86458B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发布1000个人工智能场景清单。</w:t>
            </w:r>
          </w:p>
        </w:tc>
        <w:tc>
          <w:tcPr>
            <w:tcW w:w="7623" w:type="dxa"/>
            <w:vAlign w:val="center"/>
          </w:tcPr>
          <w:p w14:paraId="6EC73F5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共发布人工智能各类场景清单518个。其中，青岛单人AI创业家（OPIE）平台的AI场景商城6月上线运行，发布AI应用场景需求142项、吸引揭榜开发者超1000人报名；发布青岛市人工智能康复康养场景、青岛市政务领域人工智能大模型应用场景开放清单等。</w:t>
            </w:r>
          </w:p>
        </w:tc>
      </w:tr>
      <w:tr w14:paraId="6A5C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0B6FCE1E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7</w:t>
            </w:r>
          </w:p>
        </w:tc>
        <w:tc>
          <w:tcPr>
            <w:tcW w:w="3685" w:type="dxa"/>
            <w:vAlign w:val="center"/>
          </w:tcPr>
          <w:p w14:paraId="75E612EE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培育12个国家级“人工智能+”典型应用。</w:t>
            </w:r>
          </w:p>
        </w:tc>
        <w:tc>
          <w:tcPr>
            <w:tcW w:w="7623" w:type="dxa"/>
            <w:vAlign w:val="center"/>
          </w:tcPr>
          <w:p w14:paraId="6830485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海信空调有限公司“基于新型信息化技术的家电行业数字化应用领航实践”、卡奥斯化智物联科技（青岛）有限公司“基于工业互联网平台的集团管控与产业链协同创新应用”、青岛港国际股份有限公司“基于全栈国产算力的港口全要素调度智能体”等9个案例入选工信部新一代信息技术融合应用、人工智能典型案例公示名单。</w:t>
            </w:r>
          </w:p>
        </w:tc>
      </w:tr>
      <w:tr w14:paraId="30E8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5F81EE6B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8</w:t>
            </w:r>
          </w:p>
        </w:tc>
        <w:tc>
          <w:tcPr>
            <w:tcW w:w="3685" w:type="dxa"/>
            <w:vAlign w:val="center"/>
          </w:tcPr>
          <w:p w14:paraId="0B0D400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支持企业、高校建设14个机器人专业训练场。</w:t>
            </w:r>
          </w:p>
        </w:tc>
        <w:tc>
          <w:tcPr>
            <w:tcW w:w="7623" w:type="dxa"/>
            <w:vAlign w:val="center"/>
          </w:tcPr>
          <w:p w14:paraId="280C524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上半年，围绕康养、制造、家居、教育等重点领域，我市重点建设20个训练场项目，目前已建成7个。推荐8个训练场成功入选全省首批重点建设的具身智能机器人训练场名单，入选数量位居全省首位。</w:t>
            </w:r>
          </w:p>
        </w:tc>
      </w:tr>
      <w:tr w14:paraId="4D539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791" w:type="dxa"/>
            <w:vAlign w:val="center"/>
          </w:tcPr>
          <w:p w14:paraId="094BD30A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9</w:t>
            </w:r>
          </w:p>
        </w:tc>
        <w:tc>
          <w:tcPr>
            <w:tcW w:w="3685" w:type="dxa"/>
            <w:vAlign w:val="center"/>
          </w:tcPr>
          <w:p w14:paraId="5106E46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调整职业教育专业55个。</w:t>
            </w:r>
          </w:p>
        </w:tc>
        <w:tc>
          <w:tcPr>
            <w:tcW w:w="7623" w:type="dxa"/>
            <w:vAlign w:val="center"/>
          </w:tcPr>
          <w:p w14:paraId="10BFEDB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中高职院校共新增专业点67个，其中，在青高职院校新增具身智能机器人技术、海洋工程装备技术、低空智联网技术等42个专业点，涵盖智能装备、新一代信息技术等重点产业领域；中职学校新增“3+4”中本贯通、联办五年制高职、三二连读及三年制中职等专业点25个，重点增设人工智能技术与应用、无人机操控与维护、工业机器人技术应用等紧缺专业。</w:t>
            </w:r>
          </w:p>
        </w:tc>
      </w:tr>
      <w:tr w14:paraId="5669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4DAA3338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10</w:t>
            </w:r>
          </w:p>
        </w:tc>
        <w:tc>
          <w:tcPr>
            <w:tcW w:w="3685" w:type="dxa"/>
            <w:vAlign w:val="center"/>
          </w:tcPr>
          <w:p w14:paraId="0C4A61C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新增厂中校、校中厂20家。</w:t>
            </w:r>
          </w:p>
        </w:tc>
        <w:tc>
          <w:tcPr>
            <w:tcW w:w="7623" w:type="dxa"/>
            <w:vAlign w:val="center"/>
          </w:tcPr>
          <w:p w14:paraId="354D605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“职链青岛”职业教育赋能“10+1”创新型产业体系行动方案》（青教通字〔2026〕20号），明确20家“厂中校”“校中厂”的建设标准、时间标准。下步，将推动20个“厂中校、校中厂”项目尽快落地，确保完成年度目标任务。</w:t>
            </w:r>
          </w:p>
        </w:tc>
      </w:tr>
      <w:tr w14:paraId="5C75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0FA53F7A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11</w:t>
            </w:r>
          </w:p>
        </w:tc>
        <w:tc>
          <w:tcPr>
            <w:tcW w:w="3685" w:type="dxa"/>
            <w:vAlign w:val="center"/>
          </w:tcPr>
          <w:p w14:paraId="539EEB0E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举办各类会展活动370场。</w:t>
            </w:r>
          </w:p>
        </w:tc>
        <w:tc>
          <w:tcPr>
            <w:tcW w:w="7623" w:type="dxa"/>
            <w:vAlign w:val="center"/>
          </w:tcPr>
          <w:p w14:paraId="7A0CE9BB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上半年，全市已举办上合组织国家食品机械与特色产品采购对接会、青岛年货展销会、山东春季国际车展等各类会展活动216场。</w:t>
            </w:r>
          </w:p>
        </w:tc>
      </w:tr>
      <w:tr w14:paraId="24F4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68AAD179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12</w:t>
            </w:r>
          </w:p>
        </w:tc>
        <w:tc>
          <w:tcPr>
            <w:tcW w:w="3685" w:type="dxa"/>
            <w:vAlign w:val="center"/>
          </w:tcPr>
          <w:p w14:paraId="3744EECC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培育国家级5G工厂3家。</w:t>
            </w:r>
          </w:p>
        </w:tc>
        <w:tc>
          <w:tcPr>
            <w:tcW w:w="7623" w:type="dxa"/>
            <w:vAlign w:val="center"/>
          </w:tcPr>
          <w:p w14:paraId="3215C021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上半年，我市4个项目入选工信部5G工厂典型实践，数量居全国城市首位。</w:t>
            </w:r>
          </w:p>
        </w:tc>
      </w:tr>
      <w:tr w14:paraId="14AFB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32D5C01F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13</w:t>
            </w:r>
          </w:p>
        </w:tc>
        <w:tc>
          <w:tcPr>
            <w:tcW w:w="3685" w:type="dxa"/>
            <w:vAlign w:val="center"/>
          </w:tcPr>
          <w:p w14:paraId="65D9F16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常态开展融链固链建链行动，举办各类对接100场，实打实帮助企业融资金、拓市场、聚人才。</w:t>
            </w:r>
          </w:p>
        </w:tc>
        <w:tc>
          <w:tcPr>
            <w:tcW w:w="7623" w:type="dxa"/>
            <w:vAlign w:val="center"/>
          </w:tcPr>
          <w:p w14:paraId="2B55D505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上半年，我市共组织一起益企、融链固链建链常态化对接、中小企业数字化转型、政策宣贯、出海服务、银企对接等各类对接活动65场次，参与3160余人次、线上2.5万余人次。</w:t>
            </w:r>
          </w:p>
        </w:tc>
      </w:tr>
      <w:tr w14:paraId="6CD5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5E2A723E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14</w:t>
            </w:r>
          </w:p>
        </w:tc>
        <w:tc>
          <w:tcPr>
            <w:tcW w:w="3685" w:type="dxa"/>
            <w:vAlign w:val="center"/>
          </w:tcPr>
          <w:p w14:paraId="61649FD0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推动自贸区开展海洋经济政策集成改革，推出30项制度创新成果。</w:t>
            </w:r>
          </w:p>
        </w:tc>
        <w:tc>
          <w:tcPr>
            <w:tcW w:w="7623" w:type="dxa"/>
            <w:vAlign w:val="center"/>
          </w:tcPr>
          <w:p w14:paraId="2F5D5348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制定了海洋经济政策集成改革方案，目前已上报国家进行审核发布；推动自贸区总结形成了“国际航行船舶船员换班‘联合查检’新模式”等41项制度创新案例，目前正在进行案例评审。下步，我市将积极推动自贸区申报新一批全省复制推广制度创新成果。</w:t>
            </w:r>
          </w:p>
        </w:tc>
      </w:tr>
      <w:tr w14:paraId="07E93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0229D95D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15</w:t>
            </w:r>
          </w:p>
        </w:tc>
        <w:tc>
          <w:tcPr>
            <w:tcW w:w="3685" w:type="dxa"/>
            <w:vAlign w:val="center"/>
          </w:tcPr>
          <w:p w14:paraId="54CB40C0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组织企业参加境外展洽活动350场。</w:t>
            </w:r>
          </w:p>
        </w:tc>
        <w:tc>
          <w:tcPr>
            <w:tcW w:w="7623" w:type="dxa"/>
            <w:vAlign w:val="center"/>
          </w:tcPr>
          <w:p w14:paraId="2A391AB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上半年，我市组织1224家企业参加德国法兰克福国际家用及商用纺织品博览会、迪拜海湾食品展等165余场境外展会。</w:t>
            </w:r>
          </w:p>
        </w:tc>
      </w:tr>
      <w:tr w14:paraId="03EAB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791" w:type="dxa"/>
            <w:vAlign w:val="center"/>
          </w:tcPr>
          <w:p w14:paraId="78602A46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16</w:t>
            </w:r>
          </w:p>
        </w:tc>
        <w:tc>
          <w:tcPr>
            <w:tcW w:w="3685" w:type="dxa"/>
            <w:vAlign w:val="center"/>
          </w:tcPr>
          <w:p w14:paraId="5B58ABC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新建、改造高标准农田20万亩。</w:t>
            </w:r>
          </w:p>
        </w:tc>
        <w:tc>
          <w:tcPr>
            <w:tcW w:w="7623" w:type="dxa"/>
            <w:vAlign w:val="center"/>
          </w:tcPr>
          <w:p w14:paraId="6663658E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上半年，11.9万亩超长期国债高标准农田项目已完成招投标，确定项目施工单位，正在按进度推进建设；15万亩高标准农田建设项目正在组织相关区（市）编制项目实施方案。</w:t>
            </w:r>
          </w:p>
        </w:tc>
      </w:tr>
      <w:tr w14:paraId="2C468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791" w:type="dxa"/>
            <w:vAlign w:val="center"/>
          </w:tcPr>
          <w:p w14:paraId="3C6D4878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17</w:t>
            </w:r>
          </w:p>
        </w:tc>
        <w:tc>
          <w:tcPr>
            <w:tcW w:w="3685" w:type="dxa"/>
            <w:vAlign w:val="center"/>
          </w:tcPr>
          <w:p w14:paraId="4B51BDCA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建设11处水利设施。</w:t>
            </w:r>
          </w:p>
        </w:tc>
        <w:tc>
          <w:tcPr>
            <w:tcW w:w="7623" w:type="dxa"/>
            <w:vAlign w:val="center"/>
          </w:tcPr>
          <w:p w14:paraId="15248B7C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官路水库及输配水工程、莱西市产芝水库至城区水厂引水工程、南胶莱河上游、胶河上游、墨水河等项目正在推进建设；仲村水库除险加固项目可研已批复，镰湾河部分河段清淤工程正在开展施工招投标准备工作，风河、大卢河施工区域边界测绘已基本完成。</w:t>
            </w:r>
          </w:p>
        </w:tc>
      </w:tr>
      <w:tr w14:paraId="76E43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2A17DFD9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18</w:t>
            </w:r>
          </w:p>
        </w:tc>
        <w:tc>
          <w:tcPr>
            <w:tcW w:w="3685" w:type="dxa"/>
            <w:vAlign w:val="center"/>
          </w:tcPr>
          <w:p w14:paraId="7C2C4CB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治理8万亩易涝片区。</w:t>
            </w:r>
          </w:p>
        </w:tc>
        <w:tc>
          <w:tcPr>
            <w:tcW w:w="7623" w:type="dxa"/>
            <w:vAlign w:val="center"/>
          </w:tcPr>
          <w:p w14:paraId="3238AD1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上半年，我市出台《青岛市农田重点易涝区治理方案（2026-2028年）》，正在结合15万亩高标准农田建设任务，同步开展8万亩易涝片区治理工作。</w:t>
            </w:r>
          </w:p>
        </w:tc>
      </w:tr>
      <w:tr w14:paraId="75F1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6E7F6A5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19</w:t>
            </w:r>
          </w:p>
        </w:tc>
        <w:tc>
          <w:tcPr>
            <w:tcW w:w="3685" w:type="dxa"/>
            <w:vAlign w:val="center"/>
          </w:tcPr>
          <w:p w14:paraId="3F940915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深挖“土特产”资源，新增优质农产品40个。</w:t>
            </w:r>
          </w:p>
        </w:tc>
        <w:tc>
          <w:tcPr>
            <w:tcW w:w="7623" w:type="dxa"/>
            <w:vAlign w:val="center"/>
          </w:tcPr>
          <w:p w14:paraId="69E8747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上半年，我市出台《关于建设“土特产”富民产业园引领特色农业高质量发展的实施意见》，开展特色资源普查，全面摸底特色农业发展现状。截至6月底，新增优质农产品29个，5个产品正在审核。</w:t>
            </w:r>
          </w:p>
        </w:tc>
      </w:tr>
      <w:tr w14:paraId="21AF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4CD24AF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20</w:t>
            </w:r>
          </w:p>
        </w:tc>
        <w:tc>
          <w:tcPr>
            <w:tcW w:w="3685" w:type="dxa"/>
            <w:vAlign w:val="center"/>
          </w:tcPr>
          <w:p w14:paraId="666555B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培育农村电商带头人350名。</w:t>
            </w:r>
          </w:p>
        </w:tc>
        <w:tc>
          <w:tcPr>
            <w:tcW w:w="7623" w:type="dxa"/>
            <w:vAlign w:val="center"/>
          </w:tcPr>
          <w:p w14:paraId="136FB8F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青岛市2026年高素质农民培育工作实施方案》，围绕品牌营销、产品设计、视频拍摄等内容，确定8期农村电商专题培训班。筹备青岛市第二届乡村好品推荐官职业技能竞赛，实现以赛促训、学以致用。预计将于三季度集中开展农村电商带头人认定工作。</w:t>
            </w:r>
          </w:p>
        </w:tc>
      </w:tr>
      <w:tr w14:paraId="15FA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4D112485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21</w:t>
            </w:r>
          </w:p>
        </w:tc>
        <w:tc>
          <w:tcPr>
            <w:tcW w:w="3685" w:type="dxa"/>
            <w:vAlign w:val="center"/>
          </w:tcPr>
          <w:p w14:paraId="425720AB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完成农民技能培训10万人。</w:t>
            </w:r>
          </w:p>
        </w:tc>
        <w:tc>
          <w:tcPr>
            <w:tcW w:w="7623" w:type="dxa"/>
            <w:vAlign w:val="center"/>
          </w:tcPr>
          <w:p w14:paraId="56153AC6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紧扣农时农事，采用线下实操课堂、线上云端授课相结合等多元模式，围绕防灾减灾、病虫害绿色防控、特色产业、粮食绿色增产等核心农技主题持续开展农民技能培训，累计完成农民技能培训7万余人。</w:t>
            </w:r>
          </w:p>
        </w:tc>
      </w:tr>
      <w:tr w14:paraId="405F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2C7482C3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22</w:t>
            </w:r>
          </w:p>
        </w:tc>
        <w:tc>
          <w:tcPr>
            <w:tcW w:w="3685" w:type="dxa"/>
            <w:vAlign w:val="center"/>
          </w:tcPr>
          <w:p w14:paraId="4C8978C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提升14个重点小城镇发展水平。</w:t>
            </w:r>
          </w:p>
        </w:tc>
        <w:tc>
          <w:tcPr>
            <w:tcW w:w="7623" w:type="dxa"/>
            <w:vAlign w:val="center"/>
          </w:tcPr>
          <w:p w14:paraId="3272597B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上半年，我市出台第二轮小城镇创新提升行动实施意见，筛选14个试点镇和2个涉农街道，深化产城融合，力促城乡融合发展，着力提升小城镇发展能级。</w:t>
            </w:r>
          </w:p>
        </w:tc>
      </w:tr>
      <w:tr w14:paraId="63CFC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6DFAB3BB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23</w:t>
            </w:r>
          </w:p>
        </w:tc>
        <w:tc>
          <w:tcPr>
            <w:tcW w:w="3685" w:type="dxa"/>
            <w:vAlign w:val="center"/>
          </w:tcPr>
          <w:p w14:paraId="5C149491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建设8个市级乡村振兴片区、200个市级和美乡村。</w:t>
            </w:r>
          </w:p>
        </w:tc>
        <w:tc>
          <w:tcPr>
            <w:tcW w:w="7623" w:type="dxa"/>
            <w:vAlign w:val="center"/>
          </w:tcPr>
          <w:p w14:paraId="3C8EC328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上半年，全市8个第二批市级乡村振兴片区项目建设有序推进，整体建设进度达63.92%。200个市级和美乡村建设方案编制已全部完成，72个村庄完成村级议事，22个村庄完成镇（街道）控制价审核。</w:t>
            </w:r>
          </w:p>
        </w:tc>
      </w:tr>
      <w:tr w14:paraId="28DE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341C14D6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24</w:t>
            </w:r>
          </w:p>
        </w:tc>
        <w:tc>
          <w:tcPr>
            <w:tcW w:w="3685" w:type="dxa"/>
            <w:vAlign w:val="center"/>
          </w:tcPr>
          <w:p w14:paraId="3C8D64E8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建设、养护“四好农村路”600公里。</w:t>
            </w:r>
          </w:p>
        </w:tc>
        <w:tc>
          <w:tcPr>
            <w:tcW w:w="7623" w:type="dxa"/>
            <w:vAlign w:val="center"/>
          </w:tcPr>
          <w:p w14:paraId="6997C63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上半年，我市出台《青岛市新一轮农村路提升行动方案》《青岛市农村公路市级以奖代补激励政策实施方案》，正在按计划推进年度建设养护任务。截至6月底，已完成建设、养护“四好农村路”190公里。</w:t>
            </w:r>
          </w:p>
        </w:tc>
      </w:tr>
      <w:tr w14:paraId="0411B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791" w:type="dxa"/>
            <w:vAlign w:val="center"/>
          </w:tcPr>
          <w:p w14:paraId="06F5E52B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25</w:t>
            </w:r>
          </w:p>
        </w:tc>
        <w:tc>
          <w:tcPr>
            <w:tcW w:w="3685" w:type="dxa"/>
            <w:vAlign w:val="center"/>
          </w:tcPr>
          <w:p w14:paraId="3D465AD1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完成120个村庄生活污水治理。</w:t>
            </w:r>
          </w:p>
        </w:tc>
        <w:tc>
          <w:tcPr>
            <w:tcW w:w="7623" w:type="dxa"/>
            <w:vAlign w:val="center"/>
          </w:tcPr>
          <w:p w14:paraId="3FFFDC0B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上半年，我市印发《关于做好2026年全市农村生活污水治理工作的通知》，明确重点工作任务。截至6月底，全市已开工87个村庄的生活污水治理项目，其中18个已完工。</w:t>
            </w:r>
          </w:p>
        </w:tc>
      </w:tr>
      <w:tr w14:paraId="0E7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177E1750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26</w:t>
            </w:r>
          </w:p>
        </w:tc>
        <w:tc>
          <w:tcPr>
            <w:tcW w:w="3685" w:type="dxa"/>
            <w:vAlign w:val="center"/>
          </w:tcPr>
          <w:p w14:paraId="292D8E90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新增省级幸福河湖3条（个）。</w:t>
            </w:r>
          </w:p>
        </w:tc>
        <w:tc>
          <w:tcPr>
            <w:tcW w:w="7623" w:type="dxa"/>
            <w:vAlign w:val="center"/>
          </w:tcPr>
          <w:p w14:paraId="6EC52FE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上半年，我市胶河、跃进河和山里河3条河道的省级幸福河湖建设实施方案已成功通过省级审核，待省级幸福河湖建设资金到位后，将按实施方案做好省级幸福河湖建设工作。</w:t>
            </w:r>
          </w:p>
        </w:tc>
      </w:tr>
      <w:tr w14:paraId="414E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7C2E9939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27</w:t>
            </w:r>
          </w:p>
        </w:tc>
        <w:tc>
          <w:tcPr>
            <w:tcW w:w="3685" w:type="dxa"/>
            <w:vAlign w:val="center"/>
          </w:tcPr>
          <w:p w14:paraId="5475A969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建设30个智能微电网项目。</w:t>
            </w:r>
          </w:p>
        </w:tc>
        <w:tc>
          <w:tcPr>
            <w:tcW w:w="7623" w:type="dxa"/>
            <w:vAlign w:val="center"/>
          </w:tcPr>
          <w:p w14:paraId="3EEFD59C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培育推进工业企业、公共单位、能源交通融合基础设施、海岛乡村微电网等多种类型智能微电网场景项目13个；梳理公共机构（学校）、工业企业等领域意向智能微电网场景需求10个，推选青岛地铁源网荷储一体化项目、青岛供电公司大小管岛定频构网智能微电网项目、特来电新能源“车—巢—网”协同智能微电网等3个项目参与全省新能源典型场景评选。</w:t>
            </w:r>
          </w:p>
        </w:tc>
      </w:tr>
      <w:tr w14:paraId="608FA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5B95CEFD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28</w:t>
            </w:r>
          </w:p>
        </w:tc>
        <w:tc>
          <w:tcPr>
            <w:tcW w:w="3685" w:type="dxa"/>
            <w:vAlign w:val="center"/>
          </w:tcPr>
          <w:p w14:paraId="23008A87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创建省级以上绿色制造单位20家。</w:t>
            </w:r>
          </w:p>
        </w:tc>
        <w:tc>
          <w:tcPr>
            <w:tcW w:w="7623" w:type="dxa"/>
            <w:vAlign w:val="center"/>
          </w:tcPr>
          <w:p w14:paraId="1079980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上半年，我市创建市级绿色工厂87家、绿色供应链管理企业5家，推荐128家单位参评山东省绿色制造单位，预计三季度公布入选企业名单。</w:t>
            </w:r>
          </w:p>
        </w:tc>
      </w:tr>
      <w:tr w14:paraId="5AD6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1BF82248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29</w:t>
            </w:r>
          </w:p>
        </w:tc>
        <w:tc>
          <w:tcPr>
            <w:tcW w:w="3685" w:type="dxa"/>
            <w:vAlign w:val="center"/>
          </w:tcPr>
          <w:p w14:paraId="6C0B2C1D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新增绿色建筑400万平方米。</w:t>
            </w:r>
          </w:p>
        </w:tc>
        <w:tc>
          <w:tcPr>
            <w:tcW w:w="7623" w:type="dxa"/>
            <w:vAlign w:val="center"/>
          </w:tcPr>
          <w:p w14:paraId="3F4C6567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青岛市建筑节能和产业化领域专家委员会使用管理办法》，印发《关于进一步加强绿色建筑工程管理情况月调度的通知》，完善绿色建筑专家委员会管理制度，进一步提高专家智库服务绿色建筑工程的科学化管理水平，对全市绿色建筑工程情况开展逐月排查。截至6月底，全市新增绿色建筑303万平方米。</w:t>
            </w:r>
          </w:p>
        </w:tc>
      </w:tr>
      <w:tr w14:paraId="5A9B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49782F1F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30</w:t>
            </w:r>
          </w:p>
        </w:tc>
        <w:tc>
          <w:tcPr>
            <w:tcW w:w="3685" w:type="dxa"/>
            <w:vAlign w:val="center"/>
          </w:tcPr>
          <w:p w14:paraId="4F306915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完成7座污水处理厂提质扩容。</w:t>
            </w:r>
          </w:p>
        </w:tc>
        <w:tc>
          <w:tcPr>
            <w:tcW w:w="7623" w:type="dxa"/>
            <w:vAlign w:val="center"/>
          </w:tcPr>
          <w:p w14:paraId="48F9582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7座污水处理厂提质扩容进展符合时序进度：城阳区污水处理厂二期工程、平度东部污水处理厂已竣工；城阳区污水处理厂三期工程、娄山河污水处理厂提标扩建工程预计三季度竣工；风河湿地公园工程已完成总工程量的90%、张村河水质净化厂扩建工程已完成总工程量的50%；即墨区大任河污水处理厂扩建及提标改造工程于7月10日开工，已完成总工程量的5%。</w:t>
            </w:r>
          </w:p>
        </w:tc>
      </w:tr>
      <w:tr w14:paraId="7DDCA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7E9A4504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31</w:t>
            </w:r>
          </w:p>
        </w:tc>
        <w:tc>
          <w:tcPr>
            <w:tcW w:w="3685" w:type="dxa"/>
            <w:vAlign w:val="center"/>
          </w:tcPr>
          <w:p w14:paraId="7153A01F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实施公共空间“微提升”100处。</w:t>
            </w:r>
          </w:p>
        </w:tc>
        <w:tc>
          <w:tcPr>
            <w:tcW w:w="7623" w:type="dxa"/>
            <w:vAlign w:val="center"/>
          </w:tcPr>
          <w:p w14:paraId="02726E9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上半年，我市出台《青岛市城市小微公共空间整治提升实施方案》，建立整治提升项目台账，制定整治计划，推动整治提升工作落地落实，截至6月底，78处公共空间“微提升”项目已开工实施，其中42处已完工。</w:t>
            </w:r>
          </w:p>
        </w:tc>
      </w:tr>
      <w:tr w14:paraId="0AF4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6522314C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32</w:t>
            </w:r>
          </w:p>
        </w:tc>
        <w:tc>
          <w:tcPr>
            <w:tcW w:w="3685" w:type="dxa"/>
            <w:vAlign w:val="center"/>
          </w:tcPr>
          <w:p w14:paraId="52C3A979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整治沿路和景区周边问题点位200处。</w:t>
            </w:r>
          </w:p>
        </w:tc>
        <w:tc>
          <w:tcPr>
            <w:tcW w:w="7623" w:type="dxa"/>
            <w:vAlign w:val="center"/>
          </w:tcPr>
          <w:p w14:paraId="5BD1DBE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出台《2026年最美路段工作方案》《2026年重点区域市容环境综合整治提升方案》，推进沿路和景区周边问题点位整治工作，共整治完成沿路和景区周边问题点位128处，其中沿路点位58处、景区周边等区域点位70处。同时，积极在各区（市）开展路域环境问题自查自改，累计清理垃圾600余吨，整治飘浮物及施工堆场740余处，推进路域面貌提档升级。</w:t>
            </w:r>
          </w:p>
        </w:tc>
      </w:tr>
      <w:tr w14:paraId="54DD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76793F6A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33</w:t>
            </w:r>
          </w:p>
        </w:tc>
        <w:tc>
          <w:tcPr>
            <w:tcW w:w="3685" w:type="dxa"/>
            <w:vAlign w:val="center"/>
          </w:tcPr>
          <w:p w14:paraId="153ABFA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系统化解交通堵点100处。</w:t>
            </w:r>
          </w:p>
        </w:tc>
        <w:tc>
          <w:tcPr>
            <w:tcW w:w="7623" w:type="dxa"/>
            <w:vAlign w:val="center"/>
          </w:tcPr>
          <w:p w14:paraId="03480859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上半年，全市累计完成福州路江西路至敦化路路段5个路口、山姆超市内外道路交通、台柳路怀远路东西进口车道等42个交通堵点的梳理优化工作，提升通行效率。</w:t>
            </w:r>
          </w:p>
        </w:tc>
      </w:tr>
      <w:tr w14:paraId="5BBD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53920BEA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34</w:t>
            </w:r>
          </w:p>
        </w:tc>
        <w:tc>
          <w:tcPr>
            <w:tcW w:w="3685" w:type="dxa"/>
            <w:vAlign w:val="center"/>
          </w:tcPr>
          <w:p w14:paraId="15656F24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举办群众文化活动5万场。</w:t>
            </w:r>
          </w:p>
        </w:tc>
        <w:tc>
          <w:tcPr>
            <w:tcW w:w="7623" w:type="dxa"/>
            <w:vAlign w:val="center"/>
          </w:tcPr>
          <w:p w14:paraId="63A05D00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上半年，我市累计开展“乐动青岛·和鸣东西”一月一主题、“文化进万家”“戏曲进乡村”“四季村晚”“文化快闪”等线上线下群众文化活动2.6万余场次。</w:t>
            </w:r>
          </w:p>
        </w:tc>
      </w:tr>
      <w:tr w14:paraId="2F14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2130A271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35</w:t>
            </w:r>
          </w:p>
        </w:tc>
        <w:tc>
          <w:tcPr>
            <w:tcW w:w="3685" w:type="dxa"/>
            <w:vAlign w:val="center"/>
          </w:tcPr>
          <w:p w14:paraId="13CB0F77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落实微短剧支持政策，拍摄作品300部。</w:t>
            </w:r>
          </w:p>
        </w:tc>
        <w:tc>
          <w:tcPr>
            <w:tcW w:w="7623" w:type="dxa"/>
            <w:vAlign w:val="center"/>
          </w:tcPr>
          <w:p w14:paraId="29DF3372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持续完善影视取景配套，推进拍摄基地建设，两处微短剧拍摄取景地入选全省第二批推荐名单；加强市场主体培育，新增广播电视节目制作经营机构89家；累计拍摄制作各类微短剧150余部（含AI微短剧），其中备案立项重点微短剧11部，上线播出重点微短剧5部。</w:t>
            </w:r>
          </w:p>
        </w:tc>
      </w:tr>
      <w:tr w14:paraId="1D7F6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10414899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36</w:t>
            </w:r>
          </w:p>
        </w:tc>
        <w:tc>
          <w:tcPr>
            <w:tcW w:w="3685" w:type="dxa"/>
            <w:vAlign w:val="center"/>
          </w:tcPr>
          <w:p w14:paraId="537C8743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开展群众性体育活动1.5万场。</w:t>
            </w:r>
          </w:p>
        </w:tc>
        <w:tc>
          <w:tcPr>
            <w:tcW w:w="7623" w:type="dxa"/>
            <w:vAlign w:val="center"/>
          </w:tcPr>
          <w:p w14:paraId="4F10B701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上半年，我市成功举办第二届全国全民健身大赛开幕式、2026青岛马拉松、全民健身登山活动以及迎新跑、健步行、彩虹跑等群众性体育活动9111场（次）。</w:t>
            </w:r>
            <w:bookmarkStart w:id="0" w:name="_GoBack"/>
            <w:bookmarkEnd w:id="0"/>
          </w:p>
        </w:tc>
      </w:tr>
      <w:tr w14:paraId="76584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791" w:type="dxa"/>
            <w:vAlign w:val="center"/>
          </w:tcPr>
          <w:p w14:paraId="08F63C1D">
            <w:pPr>
              <w:overflowPunct w:val="0"/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37</w:t>
            </w:r>
          </w:p>
        </w:tc>
        <w:tc>
          <w:tcPr>
            <w:tcW w:w="3685" w:type="dxa"/>
            <w:vAlign w:val="center"/>
          </w:tcPr>
          <w:p w14:paraId="47E245A9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持续抓好重点群体就业，开发青年就业见习岗位1万个。</w:t>
            </w:r>
          </w:p>
        </w:tc>
        <w:tc>
          <w:tcPr>
            <w:tcW w:w="7623" w:type="dxa"/>
            <w:vAlign w:val="center"/>
          </w:tcPr>
          <w:p w14:paraId="60018889">
            <w:pPr>
              <w:overflowPunct w:val="0"/>
              <w:adjustRightInd w:val="0"/>
              <w:snapToGrid w:val="0"/>
              <w:spacing w:line="400" w:lineRule="exact"/>
              <w:rPr>
                <w:rFonts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kern w:val="0"/>
                <w:sz w:val="28"/>
                <w:szCs w:val="28"/>
              </w:rPr>
              <w:t>上半年，我市持续推进就业见习岗位募集工作，加强就业见习管理。截至6月底，全市共归集发布就业见习岗位6828个。同步推出高校毕业生就业创业免租金住宿房源4845间，累计入住毕业生8100余人；开展“春风行动”等各类招聘活动564场，发布招聘岗位32万个。</w:t>
            </w:r>
          </w:p>
        </w:tc>
      </w:tr>
    </w:tbl>
    <w:p w14:paraId="71A7D0A0"/>
    <w:sectPr>
      <w:footerReference r:id="rId3" w:type="default"/>
      <w:pgSz w:w="16838" w:h="11906" w:orient="landscape"/>
      <w:pgMar w:top="1587" w:right="2098" w:bottom="1474" w:left="1984" w:header="851" w:footer="1361" w:gutter="0"/>
      <w:cols w:space="0" w:num="1"/>
      <w:docGrid w:type="linesAndChars" w:linePitch="621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pingfang sc semibold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27420">
    <w:pPr>
      <w:pStyle w:val="1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03F9CC">
                          <w:pPr>
                            <w:pStyle w:val="13"/>
                            <w:rPr>
                              <w:rFonts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03F9CC">
                    <w:pPr>
                      <w:pStyle w:val="13"/>
                      <w:rPr>
                        <w:rFonts w:ascii="仿宋_GB2312" w:hAnsi="仿宋_GB2312" w:eastAsia="仿宋_GB2312" w:cs="仿宋_GB2312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58"/>
  <w:drawingGridVerticalSpacing w:val="621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kMWIwOWY1ZGYyMzM5NGNmM2I4MWVmNzY2NjFiOTEifQ=="/>
  </w:docVars>
  <w:rsids>
    <w:rsidRoot w:val="00172A27"/>
    <w:rsid w:val="00011616"/>
    <w:rsid w:val="00011785"/>
    <w:rsid w:val="00013497"/>
    <w:rsid w:val="00016482"/>
    <w:rsid w:val="00023B8A"/>
    <w:rsid w:val="00033D0C"/>
    <w:rsid w:val="00033FED"/>
    <w:rsid w:val="00034A9B"/>
    <w:rsid w:val="00035650"/>
    <w:rsid w:val="00041999"/>
    <w:rsid w:val="000465AB"/>
    <w:rsid w:val="000469F3"/>
    <w:rsid w:val="0005437E"/>
    <w:rsid w:val="00057A74"/>
    <w:rsid w:val="00064C0F"/>
    <w:rsid w:val="00067AC3"/>
    <w:rsid w:val="00071E28"/>
    <w:rsid w:val="0008101F"/>
    <w:rsid w:val="00087FE0"/>
    <w:rsid w:val="000923F7"/>
    <w:rsid w:val="00093125"/>
    <w:rsid w:val="00096A18"/>
    <w:rsid w:val="00096DFE"/>
    <w:rsid w:val="000A38D2"/>
    <w:rsid w:val="000A4A51"/>
    <w:rsid w:val="000A710B"/>
    <w:rsid w:val="000B69C0"/>
    <w:rsid w:val="000C1EA5"/>
    <w:rsid w:val="000C44A9"/>
    <w:rsid w:val="000D3FF2"/>
    <w:rsid w:val="000E05B4"/>
    <w:rsid w:val="000E53E3"/>
    <w:rsid w:val="000E6AB6"/>
    <w:rsid w:val="000F0BB1"/>
    <w:rsid w:val="000F12BA"/>
    <w:rsid w:val="000F185C"/>
    <w:rsid w:val="000F1AC2"/>
    <w:rsid w:val="000F2E6D"/>
    <w:rsid w:val="001002E8"/>
    <w:rsid w:val="0010095F"/>
    <w:rsid w:val="0010213E"/>
    <w:rsid w:val="00106CA7"/>
    <w:rsid w:val="00110C04"/>
    <w:rsid w:val="00117CBB"/>
    <w:rsid w:val="00122EA9"/>
    <w:rsid w:val="00124CAB"/>
    <w:rsid w:val="001255F9"/>
    <w:rsid w:val="001267B7"/>
    <w:rsid w:val="00127543"/>
    <w:rsid w:val="00130DF1"/>
    <w:rsid w:val="001373D5"/>
    <w:rsid w:val="001376EC"/>
    <w:rsid w:val="00141099"/>
    <w:rsid w:val="0014302B"/>
    <w:rsid w:val="00162A0E"/>
    <w:rsid w:val="001655F4"/>
    <w:rsid w:val="001664B8"/>
    <w:rsid w:val="0016734F"/>
    <w:rsid w:val="001673FC"/>
    <w:rsid w:val="00170235"/>
    <w:rsid w:val="00172A27"/>
    <w:rsid w:val="00172BD1"/>
    <w:rsid w:val="001769DC"/>
    <w:rsid w:val="00176A0E"/>
    <w:rsid w:val="00192867"/>
    <w:rsid w:val="0019775E"/>
    <w:rsid w:val="001B042A"/>
    <w:rsid w:val="001B1F03"/>
    <w:rsid w:val="001B2B48"/>
    <w:rsid w:val="001B336D"/>
    <w:rsid w:val="001B588E"/>
    <w:rsid w:val="001C5392"/>
    <w:rsid w:val="001C65C7"/>
    <w:rsid w:val="001D10CB"/>
    <w:rsid w:val="001D63CA"/>
    <w:rsid w:val="001E3550"/>
    <w:rsid w:val="001E3570"/>
    <w:rsid w:val="001E54AE"/>
    <w:rsid w:val="002005C5"/>
    <w:rsid w:val="002012B3"/>
    <w:rsid w:val="00203ABB"/>
    <w:rsid w:val="00207CC7"/>
    <w:rsid w:val="002103C1"/>
    <w:rsid w:val="002152CB"/>
    <w:rsid w:val="002210E9"/>
    <w:rsid w:val="00223329"/>
    <w:rsid w:val="00226022"/>
    <w:rsid w:val="00233552"/>
    <w:rsid w:val="0023387B"/>
    <w:rsid w:val="0023531D"/>
    <w:rsid w:val="00243340"/>
    <w:rsid w:val="00244DA9"/>
    <w:rsid w:val="0024536F"/>
    <w:rsid w:val="00251AD1"/>
    <w:rsid w:val="00254EEC"/>
    <w:rsid w:val="002602ED"/>
    <w:rsid w:val="00263A16"/>
    <w:rsid w:val="0028323F"/>
    <w:rsid w:val="002837D8"/>
    <w:rsid w:val="00283E6B"/>
    <w:rsid w:val="00294966"/>
    <w:rsid w:val="00296077"/>
    <w:rsid w:val="002A0380"/>
    <w:rsid w:val="002A07FB"/>
    <w:rsid w:val="002A0986"/>
    <w:rsid w:val="002B5FE0"/>
    <w:rsid w:val="002C0E59"/>
    <w:rsid w:val="002C7B46"/>
    <w:rsid w:val="002C7B4E"/>
    <w:rsid w:val="002D24A7"/>
    <w:rsid w:val="002D3EE0"/>
    <w:rsid w:val="002D75F2"/>
    <w:rsid w:val="002E1187"/>
    <w:rsid w:val="002F4393"/>
    <w:rsid w:val="00303FF3"/>
    <w:rsid w:val="00304C88"/>
    <w:rsid w:val="00311D68"/>
    <w:rsid w:val="003266A9"/>
    <w:rsid w:val="00330AAA"/>
    <w:rsid w:val="00330B10"/>
    <w:rsid w:val="00336084"/>
    <w:rsid w:val="00341780"/>
    <w:rsid w:val="003458DA"/>
    <w:rsid w:val="003517BD"/>
    <w:rsid w:val="003518F7"/>
    <w:rsid w:val="003529F9"/>
    <w:rsid w:val="00356396"/>
    <w:rsid w:val="003573E9"/>
    <w:rsid w:val="003577CE"/>
    <w:rsid w:val="0036445C"/>
    <w:rsid w:val="00367261"/>
    <w:rsid w:val="003745D5"/>
    <w:rsid w:val="00374F9E"/>
    <w:rsid w:val="00376ED9"/>
    <w:rsid w:val="003853E1"/>
    <w:rsid w:val="00393402"/>
    <w:rsid w:val="0039380E"/>
    <w:rsid w:val="003976C6"/>
    <w:rsid w:val="003A1E48"/>
    <w:rsid w:val="003B6444"/>
    <w:rsid w:val="003C1C97"/>
    <w:rsid w:val="003C28AF"/>
    <w:rsid w:val="003C3CEE"/>
    <w:rsid w:val="003C3D91"/>
    <w:rsid w:val="003C49CD"/>
    <w:rsid w:val="003C50FD"/>
    <w:rsid w:val="003C5599"/>
    <w:rsid w:val="003C722B"/>
    <w:rsid w:val="003D07D2"/>
    <w:rsid w:val="003D15D2"/>
    <w:rsid w:val="003D1966"/>
    <w:rsid w:val="003D3F36"/>
    <w:rsid w:val="003E005E"/>
    <w:rsid w:val="003E1491"/>
    <w:rsid w:val="003F2ED1"/>
    <w:rsid w:val="003F743C"/>
    <w:rsid w:val="003F754E"/>
    <w:rsid w:val="004057DF"/>
    <w:rsid w:val="00406627"/>
    <w:rsid w:val="00410881"/>
    <w:rsid w:val="004268BA"/>
    <w:rsid w:val="004318D5"/>
    <w:rsid w:val="00432284"/>
    <w:rsid w:val="004328F2"/>
    <w:rsid w:val="00433672"/>
    <w:rsid w:val="00435119"/>
    <w:rsid w:val="00437342"/>
    <w:rsid w:val="00443CCC"/>
    <w:rsid w:val="004518B0"/>
    <w:rsid w:val="004537E2"/>
    <w:rsid w:val="004546B1"/>
    <w:rsid w:val="00460732"/>
    <w:rsid w:val="00465050"/>
    <w:rsid w:val="00481909"/>
    <w:rsid w:val="00481E31"/>
    <w:rsid w:val="00483D26"/>
    <w:rsid w:val="0048459F"/>
    <w:rsid w:val="00486793"/>
    <w:rsid w:val="00486FC8"/>
    <w:rsid w:val="00487AE2"/>
    <w:rsid w:val="004A6709"/>
    <w:rsid w:val="004B009D"/>
    <w:rsid w:val="004B00C1"/>
    <w:rsid w:val="004D082A"/>
    <w:rsid w:val="004D0D95"/>
    <w:rsid w:val="004D44C2"/>
    <w:rsid w:val="004D5FDA"/>
    <w:rsid w:val="004E1CD0"/>
    <w:rsid w:val="004E35C9"/>
    <w:rsid w:val="004F3DD5"/>
    <w:rsid w:val="004F756A"/>
    <w:rsid w:val="004F77B3"/>
    <w:rsid w:val="00506D78"/>
    <w:rsid w:val="00513AFF"/>
    <w:rsid w:val="00516B42"/>
    <w:rsid w:val="005224D2"/>
    <w:rsid w:val="00525610"/>
    <w:rsid w:val="00527ED7"/>
    <w:rsid w:val="00530766"/>
    <w:rsid w:val="0053346C"/>
    <w:rsid w:val="00533767"/>
    <w:rsid w:val="00534976"/>
    <w:rsid w:val="0053524D"/>
    <w:rsid w:val="00540A9F"/>
    <w:rsid w:val="005424F1"/>
    <w:rsid w:val="005470EB"/>
    <w:rsid w:val="00552B3D"/>
    <w:rsid w:val="00555A87"/>
    <w:rsid w:val="00556E09"/>
    <w:rsid w:val="00563952"/>
    <w:rsid w:val="00564343"/>
    <w:rsid w:val="0056683F"/>
    <w:rsid w:val="005732A0"/>
    <w:rsid w:val="00590149"/>
    <w:rsid w:val="00590DDD"/>
    <w:rsid w:val="00592E5B"/>
    <w:rsid w:val="0059378E"/>
    <w:rsid w:val="00594B91"/>
    <w:rsid w:val="00596A24"/>
    <w:rsid w:val="005B0535"/>
    <w:rsid w:val="005D035F"/>
    <w:rsid w:val="005D2CA6"/>
    <w:rsid w:val="005D5DDC"/>
    <w:rsid w:val="005D6002"/>
    <w:rsid w:val="005E30BE"/>
    <w:rsid w:val="005E7003"/>
    <w:rsid w:val="005F05C1"/>
    <w:rsid w:val="005F2701"/>
    <w:rsid w:val="005F27DE"/>
    <w:rsid w:val="005F50C1"/>
    <w:rsid w:val="005F61EB"/>
    <w:rsid w:val="005F760F"/>
    <w:rsid w:val="00604F07"/>
    <w:rsid w:val="00606A11"/>
    <w:rsid w:val="00614105"/>
    <w:rsid w:val="0062462B"/>
    <w:rsid w:val="00632CD3"/>
    <w:rsid w:val="00632EE8"/>
    <w:rsid w:val="0063384D"/>
    <w:rsid w:val="00640FCC"/>
    <w:rsid w:val="00651BEC"/>
    <w:rsid w:val="00662096"/>
    <w:rsid w:val="00665888"/>
    <w:rsid w:val="0067198C"/>
    <w:rsid w:val="006744C1"/>
    <w:rsid w:val="0068101D"/>
    <w:rsid w:val="0068769D"/>
    <w:rsid w:val="006A78DF"/>
    <w:rsid w:val="006B0FB6"/>
    <w:rsid w:val="006B3160"/>
    <w:rsid w:val="006C3BD4"/>
    <w:rsid w:val="006D65E6"/>
    <w:rsid w:val="006E7486"/>
    <w:rsid w:val="006F02A6"/>
    <w:rsid w:val="006F1386"/>
    <w:rsid w:val="006F3162"/>
    <w:rsid w:val="006F46BD"/>
    <w:rsid w:val="006F57B8"/>
    <w:rsid w:val="007022A2"/>
    <w:rsid w:val="00704642"/>
    <w:rsid w:val="00710F37"/>
    <w:rsid w:val="007148A0"/>
    <w:rsid w:val="00722D1C"/>
    <w:rsid w:val="00723054"/>
    <w:rsid w:val="007238D7"/>
    <w:rsid w:val="00724585"/>
    <w:rsid w:val="00725203"/>
    <w:rsid w:val="00732A27"/>
    <w:rsid w:val="00735CC7"/>
    <w:rsid w:val="00736C25"/>
    <w:rsid w:val="00736EBB"/>
    <w:rsid w:val="00740756"/>
    <w:rsid w:val="00744EFB"/>
    <w:rsid w:val="00753ECA"/>
    <w:rsid w:val="00790ED5"/>
    <w:rsid w:val="007950E0"/>
    <w:rsid w:val="007A089D"/>
    <w:rsid w:val="007A74B7"/>
    <w:rsid w:val="007B0FF2"/>
    <w:rsid w:val="007B6E7B"/>
    <w:rsid w:val="007C3625"/>
    <w:rsid w:val="007D6C75"/>
    <w:rsid w:val="007E15E7"/>
    <w:rsid w:val="008025F2"/>
    <w:rsid w:val="00803C50"/>
    <w:rsid w:val="00803D4E"/>
    <w:rsid w:val="008054E9"/>
    <w:rsid w:val="00805EFA"/>
    <w:rsid w:val="00806BF2"/>
    <w:rsid w:val="00821FDF"/>
    <w:rsid w:val="00831A04"/>
    <w:rsid w:val="008448E0"/>
    <w:rsid w:val="00846EC2"/>
    <w:rsid w:val="0085247E"/>
    <w:rsid w:val="0085402F"/>
    <w:rsid w:val="008540F4"/>
    <w:rsid w:val="008549B6"/>
    <w:rsid w:val="00854CFE"/>
    <w:rsid w:val="008608E9"/>
    <w:rsid w:val="00861153"/>
    <w:rsid w:val="00863014"/>
    <w:rsid w:val="008669AE"/>
    <w:rsid w:val="00871B1B"/>
    <w:rsid w:val="00872F62"/>
    <w:rsid w:val="00880CE1"/>
    <w:rsid w:val="008853C3"/>
    <w:rsid w:val="008934C8"/>
    <w:rsid w:val="00897433"/>
    <w:rsid w:val="008A027F"/>
    <w:rsid w:val="008A0696"/>
    <w:rsid w:val="008A10DA"/>
    <w:rsid w:val="008A4F30"/>
    <w:rsid w:val="008C20FE"/>
    <w:rsid w:val="008C3BFD"/>
    <w:rsid w:val="008D0704"/>
    <w:rsid w:val="008D51BD"/>
    <w:rsid w:val="008E0260"/>
    <w:rsid w:val="008E21FE"/>
    <w:rsid w:val="008F0F56"/>
    <w:rsid w:val="00900D1A"/>
    <w:rsid w:val="00900E3B"/>
    <w:rsid w:val="009011E2"/>
    <w:rsid w:val="0090247D"/>
    <w:rsid w:val="00906DB7"/>
    <w:rsid w:val="00910CA4"/>
    <w:rsid w:val="009131D2"/>
    <w:rsid w:val="00920750"/>
    <w:rsid w:val="00920F67"/>
    <w:rsid w:val="00922550"/>
    <w:rsid w:val="00924F64"/>
    <w:rsid w:val="009278B1"/>
    <w:rsid w:val="0093293B"/>
    <w:rsid w:val="009358E4"/>
    <w:rsid w:val="00936218"/>
    <w:rsid w:val="00940C6F"/>
    <w:rsid w:val="00945746"/>
    <w:rsid w:val="00946122"/>
    <w:rsid w:val="00955968"/>
    <w:rsid w:val="0095694F"/>
    <w:rsid w:val="00957834"/>
    <w:rsid w:val="00960D7A"/>
    <w:rsid w:val="009627BA"/>
    <w:rsid w:val="00963E09"/>
    <w:rsid w:val="00980F88"/>
    <w:rsid w:val="009910AF"/>
    <w:rsid w:val="009967E5"/>
    <w:rsid w:val="009970C2"/>
    <w:rsid w:val="009B53E9"/>
    <w:rsid w:val="009B7EEC"/>
    <w:rsid w:val="009C4BA0"/>
    <w:rsid w:val="009D20B6"/>
    <w:rsid w:val="009D3779"/>
    <w:rsid w:val="009D6A11"/>
    <w:rsid w:val="009D6F94"/>
    <w:rsid w:val="009E60A9"/>
    <w:rsid w:val="009F2464"/>
    <w:rsid w:val="009F577E"/>
    <w:rsid w:val="009F6588"/>
    <w:rsid w:val="00A03F77"/>
    <w:rsid w:val="00A04E9C"/>
    <w:rsid w:val="00A106AF"/>
    <w:rsid w:val="00A114F5"/>
    <w:rsid w:val="00A21800"/>
    <w:rsid w:val="00A247C5"/>
    <w:rsid w:val="00A341E6"/>
    <w:rsid w:val="00A35522"/>
    <w:rsid w:val="00A40525"/>
    <w:rsid w:val="00A406C8"/>
    <w:rsid w:val="00A41459"/>
    <w:rsid w:val="00A42322"/>
    <w:rsid w:val="00A43388"/>
    <w:rsid w:val="00A44D20"/>
    <w:rsid w:val="00A4629B"/>
    <w:rsid w:val="00A47BF5"/>
    <w:rsid w:val="00A509C8"/>
    <w:rsid w:val="00A515EE"/>
    <w:rsid w:val="00A55383"/>
    <w:rsid w:val="00A56CEF"/>
    <w:rsid w:val="00A62F27"/>
    <w:rsid w:val="00A66836"/>
    <w:rsid w:val="00A77069"/>
    <w:rsid w:val="00A8580B"/>
    <w:rsid w:val="00A87D44"/>
    <w:rsid w:val="00A914C4"/>
    <w:rsid w:val="00A915C0"/>
    <w:rsid w:val="00A921EF"/>
    <w:rsid w:val="00A9482B"/>
    <w:rsid w:val="00AA013D"/>
    <w:rsid w:val="00AA4E9F"/>
    <w:rsid w:val="00AA6DAB"/>
    <w:rsid w:val="00AB57DD"/>
    <w:rsid w:val="00AC0745"/>
    <w:rsid w:val="00AC1260"/>
    <w:rsid w:val="00AC4650"/>
    <w:rsid w:val="00AC5B85"/>
    <w:rsid w:val="00AD2AB1"/>
    <w:rsid w:val="00AD2F75"/>
    <w:rsid w:val="00AE74B3"/>
    <w:rsid w:val="00AF1D9B"/>
    <w:rsid w:val="00B01D13"/>
    <w:rsid w:val="00B12025"/>
    <w:rsid w:val="00B127FC"/>
    <w:rsid w:val="00B13D33"/>
    <w:rsid w:val="00B15883"/>
    <w:rsid w:val="00B20843"/>
    <w:rsid w:val="00B2340C"/>
    <w:rsid w:val="00B3208B"/>
    <w:rsid w:val="00B33D84"/>
    <w:rsid w:val="00B4450C"/>
    <w:rsid w:val="00B57017"/>
    <w:rsid w:val="00B57276"/>
    <w:rsid w:val="00B640CF"/>
    <w:rsid w:val="00B722DB"/>
    <w:rsid w:val="00B7478F"/>
    <w:rsid w:val="00B758D7"/>
    <w:rsid w:val="00B805DD"/>
    <w:rsid w:val="00B83409"/>
    <w:rsid w:val="00B84912"/>
    <w:rsid w:val="00BB057C"/>
    <w:rsid w:val="00BB5C6B"/>
    <w:rsid w:val="00BC5ADC"/>
    <w:rsid w:val="00BD0EC4"/>
    <w:rsid w:val="00BD3543"/>
    <w:rsid w:val="00BD7E28"/>
    <w:rsid w:val="00BE3234"/>
    <w:rsid w:val="00BE39DF"/>
    <w:rsid w:val="00BE481E"/>
    <w:rsid w:val="00C035B1"/>
    <w:rsid w:val="00C10C6D"/>
    <w:rsid w:val="00C14370"/>
    <w:rsid w:val="00C146BB"/>
    <w:rsid w:val="00C16843"/>
    <w:rsid w:val="00C17C86"/>
    <w:rsid w:val="00C20615"/>
    <w:rsid w:val="00C21A41"/>
    <w:rsid w:val="00C2345D"/>
    <w:rsid w:val="00C25E45"/>
    <w:rsid w:val="00C27D47"/>
    <w:rsid w:val="00C34FE0"/>
    <w:rsid w:val="00C479EB"/>
    <w:rsid w:val="00C51351"/>
    <w:rsid w:val="00C63236"/>
    <w:rsid w:val="00C64334"/>
    <w:rsid w:val="00C6487C"/>
    <w:rsid w:val="00C70708"/>
    <w:rsid w:val="00C757F0"/>
    <w:rsid w:val="00C87AA9"/>
    <w:rsid w:val="00C9088C"/>
    <w:rsid w:val="00C95524"/>
    <w:rsid w:val="00CA6ED6"/>
    <w:rsid w:val="00CB3A29"/>
    <w:rsid w:val="00CB63F3"/>
    <w:rsid w:val="00CC653E"/>
    <w:rsid w:val="00CD3838"/>
    <w:rsid w:val="00CD5BCC"/>
    <w:rsid w:val="00CE21BA"/>
    <w:rsid w:val="00CE4B1B"/>
    <w:rsid w:val="00CE5810"/>
    <w:rsid w:val="00CF068E"/>
    <w:rsid w:val="00CF0ABB"/>
    <w:rsid w:val="00D00792"/>
    <w:rsid w:val="00D02AE8"/>
    <w:rsid w:val="00D3259F"/>
    <w:rsid w:val="00D3501B"/>
    <w:rsid w:val="00D40922"/>
    <w:rsid w:val="00D43A66"/>
    <w:rsid w:val="00D447A3"/>
    <w:rsid w:val="00D45E6F"/>
    <w:rsid w:val="00D502EE"/>
    <w:rsid w:val="00D50580"/>
    <w:rsid w:val="00D50D84"/>
    <w:rsid w:val="00D52897"/>
    <w:rsid w:val="00D56721"/>
    <w:rsid w:val="00D72CBA"/>
    <w:rsid w:val="00D77429"/>
    <w:rsid w:val="00D8203B"/>
    <w:rsid w:val="00D8252D"/>
    <w:rsid w:val="00D912D3"/>
    <w:rsid w:val="00D9155D"/>
    <w:rsid w:val="00D918AA"/>
    <w:rsid w:val="00D93BA6"/>
    <w:rsid w:val="00D94AD6"/>
    <w:rsid w:val="00D96A8B"/>
    <w:rsid w:val="00DA4434"/>
    <w:rsid w:val="00DA56FD"/>
    <w:rsid w:val="00DA6A4F"/>
    <w:rsid w:val="00DB3D4A"/>
    <w:rsid w:val="00DB4251"/>
    <w:rsid w:val="00DB570E"/>
    <w:rsid w:val="00DB716A"/>
    <w:rsid w:val="00DB76B2"/>
    <w:rsid w:val="00DC0AA7"/>
    <w:rsid w:val="00DC3554"/>
    <w:rsid w:val="00DC52AD"/>
    <w:rsid w:val="00DC5B91"/>
    <w:rsid w:val="00DC682C"/>
    <w:rsid w:val="00DD0B36"/>
    <w:rsid w:val="00DD22F7"/>
    <w:rsid w:val="00DD390B"/>
    <w:rsid w:val="00DD506F"/>
    <w:rsid w:val="00DE1605"/>
    <w:rsid w:val="00DE3CDF"/>
    <w:rsid w:val="00DE4A2F"/>
    <w:rsid w:val="00DF242E"/>
    <w:rsid w:val="00DF76DB"/>
    <w:rsid w:val="00E00842"/>
    <w:rsid w:val="00E01A8C"/>
    <w:rsid w:val="00E07490"/>
    <w:rsid w:val="00E219E1"/>
    <w:rsid w:val="00E332AC"/>
    <w:rsid w:val="00E359F9"/>
    <w:rsid w:val="00E4149C"/>
    <w:rsid w:val="00E4313F"/>
    <w:rsid w:val="00E43951"/>
    <w:rsid w:val="00E54778"/>
    <w:rsid w:val="00E55C20"/>
    <w:rsid w:val="00E6372D"/>
    <w:rsid w:val="00E65589"/>
    <w:rsid w:val="00E66D03"/>
    <w:rsid w:val="00E774A6"/>
    <w:rsid w:val="00E92507"/>
    <w:rsid w:val="00E94B38"/>
    <w:rsid w:val="00EA2E36"/>
    <w:rsid w:val="00EB12A3"/>
    <w:rsid w:val="00EB5EB7"/>
    <w:rsid w:val="00EB77A0"/>
    <w:rsid w:val="00EC0D7C"/>
    <w:rsid w:val="00EC1CA1"/>
    <w:rsid w:val="00EC303B"/>
    <w:rsid w:val="00EC6401"/>
    <w:rsid w:val="00EC74A4"/>
    <w:rsid w:val="00ED1231"/>
    <w:rsid w:val="00ED3CA1"/>
    <w:rsid w:val="00EE168B"/>
    <w:rsid w:val="00F047E0"/>
    <w:rsid w:val="00F063F5"/>
    <w:rsid w:val="00F127AC"/>
    <w:rsid w:val="00F1342A"/>
    <w:rsid w:val="00F143D4"/>
    <w:rsid w:val="00F24B85"/>
    <w:rsid w:val="00F34064"/>
    <w:rsid w:val="00F37311"/>
    <w:rsid w:val="00F42604"/>
    <w:rsid w:val="00F45755"/>
    <w:rsid w:val="00F46F80"/>
    <w:rsid w:val="00F47AE1"/>
    <w:rsid w:val="00F5066D"/>
    <w:rsid w:val="00F5772D"/>
    <w:rsid w:val="00F61706"/>
    <w:rsid w:val="00F64718"/>
    <w:rsid w:val="00F7302C"/>
    <w:rsid w:val="00F73667"/>
    <w:rsid w:val="00F73AFB"/>
    <w:rsid w:val="00F76F96"/>
    <w:rsid w:val="00F800EA"/>
    <w:rsid w:val="00F83B23"/>
    <w:rsid w:val="00F93D79"/>
    <w:rsid w:val="00F969C5"/>
    <w:rsid w:val="00FA752B"/>
    <w:rsid w:val="00FB34FB"/>
    <w:rsid w:val="00FB4FB4"/>
    <w:rsid w:val="00FB5E5D"/>
    <w:rsid w:val="00FB6CF3"/>
    <w:rsid w:val="00FC11DB"/>
    <w:rsid w:val="00FC1456"/>
    <w:rsid w:val="00FC205B"/>
    <w:rsid w:val="00FD16BC"/>
    <w:rsid w:val="00FD3D0D"/>
    <w:rsid w:val="00FD42A0"/>
    <w:rsid w:val="00FE0E4A"/>
    <w:rsid w:val="00FE2328"/>
    <w:rsid w:val="00FE49AD"/>
    <w:rsid w:val="00FF0223"/>
    <w:rsid w:val="00FF0606"/>
    <w:rsid w:val="00FF089C"/>
    <w:rsid w:val="00FF6572"/>
    <w:rsid w:val="00FF67F2"/>
    <w:rsid w:val="00FF6CB1"/>
    <w:rsid w:val="00FF6EC6"/>
    <w:rsid w:val="00FF7C29"/>
    <w:rsid w:val="01372215"/>
    <w:rsid w:val="0157294D"/>
    <w:rsid w:val="01810306"/>
    <w:rsid w:val="01A65AC7"/>
    <w:rsid w:val="01CF1530"/>
    <w:rsid w:val="02041109"/>
    <w:rsid w:val="02B7344D"/>
    <w:rsid w:val="03250AC9"/>
    <w:rsid w:val="036A1510"/>
    <w:rsid w:val="039608BE"/>
    <w:rsid w:val="04071455"/>
    <w:rsid w:val="04100A56"/>
    <w:rsid w:val="04436FA2"/>
    <w:rsid w:val="0469610A"/>
    <w:rsid w:val="047C774D"/>
    <w:rsid w:val="04885428"/>
    <w:rsid w:val="04A92F0B"/>
    <w:rsid w:val="05096B07"/>
    <w:rsid w:val="053A45EC"/>
    <w:rsid w:val="058D28AE"/>
    <w:rsid w:val="05F436DD"/>
    <w:rsid w:val="06A70A40"/>
    <w:rsid w:val="06C61153"/>
    <w:rsid w:val="07D83A56"/>
    <w:rsid w:val="07FB7009"/>
    <w:rsid w:val="087E4ECC"/>
    <w:rsid w:val="092B5F96"/>
    <w:rsid w:val="09862E1C"/>
    <w:rsid w:val="09985B44"/>
    <w:rsid w:val="09C55CB4"/>
    <w:rsid w:val="0A6F4E5A"/>
    <w:rsid w:val="0AE72A95"/>
    <w:rsid w:val="0B050F9D"/>
    <w:rsid w:val="0B6957BD"/>
    <w:rsid w:val="0BB636D9"/>
    <w:rsid w:val="0D010765"/>
    <w:rsid w:val="0DCE6B40"/>
    <w:rsid w:val="0DCF6FB4"/>
    <w:rsid w:val="0DFB64F3"/>
    <w:rsid w:val="0EEE1651"/>
    <w:rsid w:val="0F18170A"/>
    <w:rsid w:val="0F362D0F"/>
    <w:rsid w:val="11210A76"/>
    <w:rsid w:val="11627CCB"/>
    <w:rsid w:val="11774713"/>
    <w:rsid w:val="122D08D1"/>
    <w:rsid w:val="12BB3B36"/>
    <w:rsid w:val="1394545B"/>
    <w:rsid w:val="14342F17"/>
    <w:rsid w:val="14882D0D"/>
    <w:rsid w:val="148B12E6"/>
    <w:rsid w:val="15594652"/>
    <w:rsid w:val="157737C6"/>
    <w:rsid w:val="159727E3"/>
    <w:rsid w:val="15B624A2"/>
    <w:rsid w:val="15D2390F"/>
    <w:rsid w:val="15EB2C17"/>
    <w:rsid w:val="16257519"/>
    <w:rsid w:val="16561D64"/>
    <w:rsid w:val="165878EE"/>
    <w:rsid w:val="176C5EDE"/>
    <w:rsid w:val="176D6E74"/>
    <w:rsid w:val="178F65EB"/>
    <w:rsid w:val="17AE1A36"/>
    <w:rsid w:val="186D504C"/>
    <w:rsid w:val="19351D69"/>
    <w:rsid w:val="1A2F7FCF"/>
    <w:rsid w:val="1AD6560B"/>
    <w:rsid w:val="1AE34998"/>
    <w:rsid w:val="1AF37D51"/>
    <w:rsid w:val="1B0F59A2"/>
    <w:rsid w:val="1B47747B"/>
    <w:rsid w:val="1B754A9E"/>
    <w:rsid w:val="1B7F1285"/>
    <w:rsid w:val="1B8B3FFD"/>
    <w:rsid w:val="1C5454C0"/>
    <w:rsid w:val="1C7056EB"/>
    <w:rsid w:val="1C7B7E93"/>
    <w:rsid w:val="1CEF27C8"/>
    <w:rsid w:val="1D46539F"/>
    <w:rsid w:val="1D5A6C83"/>
    <w:rsid w:val="1D8A329A"/>
    <w:rsid w:val="1E4D035B"/>
    <w:rsid w:val="1E935A95"/>
    <w:rsid w:val="1EA92957"/>
    <w:rsid w:val="1EB23B06"/>
    <w:rsid w:val="1ED41BCE"/>
    <w:rsid w:val="1F1557FF"/>
    <w:rsid w:val="1F49071C"/>
    <w:rsid w:val="1F6D2589"/>
    <w:rsid w:val="1F7302A9"/>
    <w:rsid w:val="200C56F6"/>
    <w:rsid w:val="202A22FB"/>
    <w:rsid w:val="202C7795"/>
    <w:rsid w:val="206871E1"/>
    <w:rsid w:val="20835662"/>
    <w:rsid w:val="208B29DF"/>
    <w:rsid w:val="20973FD6"/>
    <w:rsid w:val="20D13BBF"/>
    <w:rsid w:val="20E47A46"/>
    <w:rsid w:val="21D94750"/>
    <w:rsid w:val="21EB0098"/>
    <w:rsid w:val="22AC524A"/>
    <w:rsid w:val="22CF5433"/>
    <w:rsid w:val="23022298"/>
    <w:rsid w:val="232C6B1F"/>
    <w:rsid w:val="232E7BEA"/>
    <w:rsid w:val="23827050"/>
    <w:rsid w:val="23902475"/>
    <w:rsid w:val="240F7CB3"/>
    <w:rsid w:val="241F37F9"/>
    <w:rsid w:val="24787223"/>
    <w:rsid w:val="24B403E6"/>
    <w:rsid w:val="256D0290"/>
    <w:rsid w:val="25F747AF"/>
    <w:rsid w:val="26025181"/>
    <w:rsid w:val="269A6AF1"/>
    <w:rsid w:val="26A15EA6"/>
    <w:rsid w:val="26A30712"/>
    <w:rsid w:val="27930786"/>
    <w:rsid w:val="27940A29"/>
    <w:rsid w:val="27B6682A"/>
    <w:rsid w:val="27F17191"/>
    <w:rsid w:val="285830B6"/>
    <w:rsid w:val="28623891"/>
    <w:rsid w:val="290A0BCF"/>
    <w:rsid w:val="292A3215"/>
    <w:rsid w:val="29553BB9"/>
    <w:rsid w:val="297D52F3"/>
    <w:rsid w:val="29CC2AD1"/>
    <w:rsid w:val="29CD4488"/>
    <w:rsid w:val="2A141C4B"/>
    <w:rsid w:val="2A3854DA"/>
    <w:rsid w:val="2A3F610A"/>
    <w:rsid w:val="2A5A6D02"/>
    <w:rsid w:val="2AB517FC"/>
    <w:rsid w:val="2AB54EB7"/>
    <w:rsid w:val="2AD56A21"/>
    <w:rsid w:val="2AD96DF8"/>
    <w:rsid w:val="2B391645"/>
    <w:rsid w:val="2B461F36"/>
    <w:rsid w:val="2B6A5B87"/>
    <w:rsid w:val="2B8209DE"/>
    <w:rsid w:val="2B9E5727"/>
    <w:rsid w:val="2BC00A46"/>
    <w:rsid w:val="2C7061C4"/>
    <w:rsid w:val="2CA60ADA"/>
    <w:rsid w:val="2CB27900"/>
    <w:rsid w:val="2CC03124"/>
    <w:rsid w:val="2D386E17"/>
    <w:rsid w:val="2D450129"/>
    <w:rsid w:val="2DA03BFD"/>
    <w:rsid w:val="2DE50725"/>
    <w:rsid w:val="2E6469D8"/>
    <w:rsid w:val="2E870BF1"/>
    <w:rsid w:val="2E8D41D4"/>
    <w:rsid w:val="2E9711A6"/>
    <w:rsid w:val="2F3921A4"/>
    <w:rsid w:val="2FB40C41"/>
    <w:rsid w:val="3004034E"/>
    <w:rsid w:val="300B4EF7"/>
    <w:rsid w:val="300F5CEA"/>
    <w:rsid w:val="30154862"/>
    <w:rsid w:val="302B38E1"/>
    <w:rsid w:val="305D4FDA"/>
    <w:rsid w:val="309423B5"/>
    <w:rsid w:val="30B96E2D"/>
    <w:rsid w:val="31412E1B"/>
    <w:rsid w:val="314F3970"/>
    <w:rsid w:val="31AF7D85"/>
    <w:rsid w:val="31C10324"/>
    <w:rsid w:val="32941182"/>
    <w:rsid w:val="32953ED5"/>
    <w:rsid w:val="32970920"/>
    <w:rsid w:val="32F802F1"/>
    <w:rsid w:val="33995376"/>
    <w:rsid w:val="33AC2F08"/>
    <w:rsid w:val="34237336"/>
    <w:rsid w:val="3489363D"/>
    <w:rsid w:val="351A71A6"/>
    <w:rsid w:val="357B6339"/>
    <w:rsid w:val="35FB603C"/>
    <w:rsid w:val="36341386"/>
    <w:rsid w:val="375C3686"/>
    <w:rsid w:val="37C572DE"/>
    <w:rsid w:val="37DD0D9A"/>
    <w:rsid w:val="37FC4126"/>
    <w:rsid w:val="38357B53"/>
    <w:rsid w:val="38AB198A"/>
    <w:rsid w:val="38BD5CBF"/>
    <w:rsid w:val="39DD2056"/>
    <w:rsid w:val="3A782821"/>
    <w:rsid w:val="3B041230"/>
    <w:rsid w:val="3B5818F8"/>
    <w:rsid w:val="3BE058FC"/>
    <w:rsid w:val="3BE27ADA"/>
    <w:rsid w:val="3C213393"/>
    <w:rsid w:val="3CA11A68"/>
    <w:rsid w:val="3D09399B"/>
    <w:rsid w:val="3DA037A5"/>
    <w:rsid w:val="3DA5098E"/>
    <w:rsid w:val="3DA94408"/>
    <w:rsid w:val="3E143768"/>
    <w:rsid w:val="3F19380F"/>
    <w:rsid w:val="3F4E170B"/>
    <w:rsid w:val="3FB471C3"/>
    <w:rsid w:val="3FFC40B1"/>
    <w:rsid w:val="40685026"/>
    <w:rsid w:val="40B76DFA"/>
    <w:rsid w:val="40ED0AAF"/>
    <w:rsid w:val="41441021"/>
    <w:rsid w:val="41D84912"/>
    <w:rsid w:val="42C837EF"/>
    <w:rsid w:val="42ED2DEC"/>
    <w:rsid w:val="43574CFA"/>
    <w:rsid w:val="43646820"/>
    <w:rsid w:val="438C45B0"/>
    <w:rsid w:val="44D73F50"/>
    <w:rsid w:val="451A3310"/>
    <w:rsid w:val="453F3CA3"/>
    <w:rsid w:val="45C90E68"/>
    <w:rsid w:val="47486A40"/>
    <w:rsid w:val="4779309D"/>
    <w:rsid w:val="477F61D9"/>
    <w:rsid w:val="477F68D2"/>
    <w:rsid w:val="4818612F"/>
    <w:rsid w:val="48355542"/>
    <w:rsid w:val="487E3CAA"/>
    <w:rsid w:val="48E64681"/>
    <w:rsid w:val="490509D5"/>
    <w:rsid w:val="490857CC"/>
    <w:rsid w:val="494E68AF"/>
    <w:rsid w:val="49F14158"/>
    <w:rsid w:val="4A6A148E"/>
    <w:rsid w:val="4AC64E60"/>
    <w:rsid w:val="4AD041AD"/>
    <w:rsid w:val="4B0C5FD6"/>
    <w:rsid w:val="4B490B0C"/>
    <w:rsid w:val="4BE82927"/>
    <w:rsid w:val="4C374EC2"/>
    <w:rsid w:val="4D042D01"/>
    <w:rsid w:val="4D826A23"/>
    <w:rsid w:val="4DA35082"/>
    <w:rsid w:val="4DC87CD0"/>
    <w:rsid w:val="4E0929FA"/>
    <w:rsid w:val="4E2215E3"/>
    <w:rsid w:val="4F9E7178"/>
    <w:rsid w:val="505169F1"/>
    <w:rsid w:val="508D626C"/>
    <w:rsid w:val="509B4084"/>
    <w:rsid w:val="50BC224C"/>
    <w:rsid w:val="51CD2963"/>
    <w:rsid w:val="51F85EE8"/>
    <w:rsid w:val="51F96A9D"/>
    <w:rsid w:val="5224281F"/>
    <w:rsid w:val="52274E97"/>
    <w:rsid w:val="5251486C"/>
    <w:rsid w:val="52727E95"/>
    <w:rsid w:val="5287056D"/>
    <w:rsid w:val="530879CB"/>
    <w:rsid w:val="53206AC2"/>
    <w:rsid w:val="537163ED"/>
    <w:rsid w:val="538B7060"/>
    <w:rsid w:val="53BB5690"/>
    <w:rsid w:val="54BD4FA4"/>
    <w:rsid w:val="54D77449"/>
    <w:rsid w:val="54F36463"/>
    <w:rsid w:val="55361CFD"/>
    <w:rsid w:val="5574248C"/>
    <w:rsid w:val="557C0E3C"/>
    <w:rsid w:val="55A97DB5"/>
    <w:rsid w:val="56492367"/>
    <w:rsid w:val="56621602"/>
    <w:rsid w:val="566348BB"/>
    <w:rsid w:val="56C4202E"/>
    <w:rsid w:val="579001CF"/>
    <w:rsid w:val="57AB2701"/>
    <w:rsid w:val="57F70E6F"/>
    <w:rsid w:val="58087128"/>
    <w:rsid w:val="583D74B4"/>
    <w:rsid w:val="58CB7D28"/>
    <w:rsid w:val="58DB5279"/>
    <w:rsid w:val="591A3FB4"/>
    <w:rsid w:val="5929196D"/>
    <w:rsid w:val="59D8165C"/>
    <w:rsid w:val="59F20A86"/>
    <w:rsid w:val="5AF42587"/>
    <w:rsid w:val="5AF677AE"/>
    <w:rsid w:val="5B2D325E"/>
    <w:rsid w:val="5C18469C"/>
    <w:rsid w:val="5C904612"/>
    <w:rsid w:val="5CBD490E"/>
    <w:rsid w:val="5CE152A1"/>
    <w:rsid w:val="5CE64B7E"/>
    <w:rsid w:val="5CF953EE"/>
    <w:rsid w:val="5D234847"/>
    <w:rsid w:val="5DC807CA"/>
    <w:rsid w:val="5E0A2AF6"/>
    <w:rsid w:val="5E193954"/>
    <w:rsid w:val="5E754D89"/>
    <w:rsid w:val="5EB166AB"/>
    <w:rsid w:val="5F85487D"/>
    <w:rsid w:val="5FB45287"/>
    <w:rsid w:val="60717D2A"/>
    <w:rsid w:val="60B8658C"/>
    <w:rsid w:val="60C04999"/>
    <w:rsid w:val="611E6782"/>
    <w:rsid w:val="61874785"/>
    <w:rsid w:val="61885EB7"/>
    <w:rsid w:val="62BF5315"/>
    <w:rsid w:val="62CC57E5"/>
    <w:rsid w:val="633A597E"/>
    <w:rsid w:val="63A63014"/>
    <w:rsid w:val="63C82F8A"/>
    <w:rsid w:val="63E63410"/>
    <w:rsid w:val="646168CF"/>
    <w:rsid w:val="64A85F59"/>
    <w:rsid w:val="65566374"/>
    <w:rsid w:val="65973AF9"/>
    <w:rsid w:val="659C3D6B"/>
    <w:rsid w:val="661A6133"/>
    <w:rsid w:val="66292485"/>
    <w:rsid w:val="662A072E"/>
    <w:rsid w:val="66AA61BD"/>
    <w:rsid w:val="66B231B8"/>
    <w:rsid w:val="683656C7"/>
    <w:rsid w:val="69A072C2"/>
    <w:rsid w:val="6A234826"/>
    <w:rsid w:val="6A3C1FDC"/>
    <w:rsid w:val="6A993A34"/>
    <w:rsid w:val="6AA0088F"/>
    <w:rsid w:val="6AC326FD"/>
    <w:rsid w:val="6B4B0C6D"/>
    <w:rsid w:val="6BB2098A"/>
    <w:rsid w:val="6C204CE7"/>
    <w:rsid w:val="6CBE73D4"/>
    <w:rsid w:val="6CE657E0"/>
    <w:rsid w:val="6D8F76CB"/>
    <w:rsid w:val="6DBD0514"/>
    <w:rsid w:val="6E501AE5"/>
    <w:rsid w:val="6E6F6819"/>
    <w:rsid w:val="6E7F2DDF"/>
    <w:rsid w:val="6F3548FF"/>
    <w:rsid w:val="6F4E0B8F"/>
    <w:rsid w:val="700C06A3"/>
    <w:rsid w:val="70D372BC"/>
    <w:rsid w:val="714105D7"/>
    <w:rsid w:val="72111FA0"/>
    <w:rsid w:val="7225178B"/>
    <w:rsid w:val="72D51220"/>
    <w:rsid w:val="732E6A0F"/>
    <w:rsid w:val="738E43C8"/>
    <w:rsid w:val="73AB3D2F"/>
    <w:rsid w:val="740C193B"/>
    <w:rsid w:val="740D6D4E"/>
    <w:rsid w:val="747B47F0"/>
    <w:rsid w:val="747F2657"/>
    <w:rsid w:val="74D472B5"/>
    <w:rsid w:val="753A6E5F"/>
    <w:rsid w:val="75464B2C"/>
    <w:rsid w:val="754C50C8"/>
    <w:rsid w:val="75A924F0"/>
    <w:rsid w:val="767F78CA"/>
    <w:rsid w:val="768A04CE"/>
    <w:rsid w:val="772E49A7"/>
    <w:rsid w:val="773B3DCB"/>
    <w:rsid w:val="77A00CE7"/>
    <w:rsid w:val="77BE11B2"/>
    <w:rsid w:val="77BF7FDF"/>
    <w:rsid w:val="77CA22DF"/>
    <w:rsid w:val="77E46676"/>
    <w:rsid w:val="77FC25C3"/>
    <w:rsid w:val="78912E9A"/>
    <w:rsid w:val="78DD0E2E"/>
    <w:rsid w:val="79074D52"/>
    <w:rsid w:val="798554E2"/>
    <w:rsid w:val="799C0F1F"/>
    <w:rsid w:val="7AA279A4"/>
    <w:rsid w:val="7B502A99"/>
    <w:rsid w:val="7C00649C"/>
    <w:rsid w:val="7C032FEC"/>
    <w:rsid w:val="7C3015E0"/>
    <w:rsid w:val="7CCB7428"/>
    <w:rsid w:val="7D187BF6"/>
    <w:rsid w:val="7D363A0B"/>
    <w:rsid w:val="7DBF5F72"/>
    <w:rsid w:val="7E124C33"/>
    <w:rsid w:val="7F067237"/>
    <w:rsid w:val="7F842486"/>
    <w:rsid w:val="BBFF81E2"/>
    <w:rsid w:val="EF9B4B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qFormat="1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kern w:val="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toa heading"/>
    <w:next w:val="1"/>
    <w:unhideWhenUsed/>
    <w:qFormat/>
    <w:uiPriority w:val="99"/>
    <w:pPr>
      <w:widowControl w:val="0"/>
      <w:spacing w:before="120"/>
      <w:jc w:val="both"/>
    </w:pPr>
    <w:rPr>
      <w:rFonts w:ascii="Calibri Light" w:hAnsi="Calibri Light" w:eastAsia="宋体" w:cs="Times New Roman"/>
      <w:kern w:val="2"/>
      <w:sz w:val="24"/>
      <w:szCs w:val="24"/>
      <w:lang w:val="en-US" w:eastAsia="zh-CN" w:bidi="ar-SA"/>
    </w:r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0">
    <w:name w:val="Plain Text"/>
    <w:basedOn w:val="1"/>
    <w:unhideWhenUsed/>
    <w:qFormat/>
    <w:uiPriority w:val="0"/>
    <w:rPr>
      <w:rFonts w:ascii="宋体" w:hAnsi="Courier New"/>
      <w:kern w:val="0"/>
      <w:sz w:val="20"/>
      <w:szCs w:val="21"/>
    </w:rPr>
  </w:style>
  <w:style w:type="paragraph" w:styleId="11">
    <w:name w:val="Body Text Indent 2"/>
    <w:basedOn w:val="1"/>
    <w:qFormat/>
    <w:uiPriority w:val="99"/>
    <w:pPr>
      <w:overflowPunct w:val="0"/>
      <w:spacing w:line="360" w:lineRule="auto"/>
      <w:ind w:firstLine="600"/>
    </w:pPr>
    <w:rPr>
      <w:sz w:val="24"/>
    </w:r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qFormat/>
    <w:uiPriority w:val="0"/>
    <w:pPr>
      <w:snapToGrid w:val="0"/>
      <w:spacing w:line="64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16">
    <w:name w:val="List"/>
    <w:unhideWhenUsed/>
    <w:qFormat/>
    <w:uiPriority w:val="99"/>
    <w:pPr>
      <w:widowControl w:val="0"/>
      <w:spacing w:line="365" w:lineRule="atLeast"/>
      <w:ind w:left="420" w:hanging="420" w:firstLineChars="200"/>
      <w:jc w:val="both"/>
      <w:textAlignment w:val="bottom"/>
    </w:pPr>
    <w:rPr>
      <w:rFonts w:ascii="Calibri" w:hAnsi="Calibri" w:eastAsia="方正仿宋_GBK" w:cs="Times New Roman"/>
      <w:lang w:val="en-US" w:eastAsia="zh-CN" w:bidi="ar-SA"/>
    </w:rPr>
  </w:style>
  <w:style w:type="paragraph" w:styleId="17">
    <w:name w:val="footnote text"/>
    <w:basedOn w:val="1"/>
    <w:qFormat/>
    <w:uiPriority w:val="0"/>
    <w:pPr>
      <w:overflowPunct w:val="0"/>
      <w:adjustRightInd w:val="0"/>
      <w:snapToGrid w:val="0"/>
    </w:pPr>
    <w:rPr>
      <w:rFonts w:ascii="楷体_GB2312" w:hAnsi="楷体_GB2312" w:eastAsia="楷体_GB2312" w:cs="楷体_GB2312"/>
      <w:snapToGrid w:val="0"/>
      <w:kern w:val="0"/>
      <w:sz w:val="28"/>
      <w:szCs w:val="28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20">
    <w:name w:val="Body Text First Indent"/>
    <w:basedOn w:val="8"/>
    <w:qFormat/>
    <w:uiPriority w:val="0"/>
    <w:pPr>
      <w:autoSpaceDE w:val="0"/>
      <w:autoSpaceDN w:val="0"/>
      <w:adjustRightInd w:val="0"/>
      <w:snapToGrid w:val="0"/>
      <w:spacing w:after="0" w:line="600" w:lineRule="atLeast"/>
      <w:ind w:firstLine="641"/>
    </w:pPr>
    <w:rPr>
      <w:rFonts w:ascii="仿宋_GB2312" w:eastAsia="仿宋_GB2312"/>
      <w:kern w:val="0"/>
      <w:szCs w:val="20"/>
    </w:rPr>
  </w:style>
  <w:style w:type="paragraph" w:styleId="21">
    <w:name w:val="Body Text First Indent 2"/>
    <w:basedOn w:val="9"/>
    <w:qFormat/>
    <w:uiPriority w:val="0"/>
    <w:pPr>
      <w:ind w:firstLine="420" w:firstLineChars="200"/>
    </w:pPr>
  </w:style>
  <w:style w:type="table" w:styleId="23">
    <w:name w:val="Table Grid"/>
    <w:basedOn w:val="22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Strong"/>
    <w:basedOn w:val="24"/>
    <w:qFormat/>
    <w:uiPriority w:val="0"/>
    <w:rPr>
      <w:b/>
    </w:rPr>
  </w:style>
  <w:style w:type="character" w:styleId="26">
    <w:name w:val="page number"/>
    <w:basedOn w:val="24"/>
    <w:qFormat/>
    <w:uiPriority w:val="0"/>
  </w:style>
  <w:style w:type="character" w:styleId="27">
    <w:name w:val="footnote reference"/>
    <w:basedOn w:val="24"/>
    <w:qFormat/>
    <w:uiPriority w:val="0"/>
    <w:rPr>
      <w:vertAlign w:val="superscript"/>
    </w:rPr>
  </w:style>
  <w:style w:type="paragraph" w:customStyle="1" w:styleId="28">
    <w:name w:val="段"/>
    <w:next w:val="1"/>
    <w:qFormat/>
    <w:uiPriority w:val="99"/>
    <w:pPr>
      <w:autoSpaceDE w:val="0"/>
      <w:autoSpaceDN w:val="0"/>
      <w:jc w:val="both"/>
    </w:pPr>
    <w:rPr>
      <w:rFonts w:ascii="宋体" w:hAnsi="Calibri" w:eastAsia="宋体" w:cs="宋体"/>
      <w:sz w:val="21"/>
      <w:szCs w:val="21"/>
      <w:lang w:val="en-US" w:eastAsia="zh-CN" w:bidi="ar-SA"/>
    </w:rPr>
  </w:style>
  <w:style w:type="paragraph" w:customStyle="1" w:styleId="29">
    <w:name w:val="默认段落字体 Para Char Char Char Char Char Char Char Char Char Char Char Char Char Char Char1 Char Char Char Char"/>
    <w:basedOn w:val="6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character" w:customStyle="1" w:styleId="30">
    <w:name w:val="style61"/>
    <w:basedOn w:val="24"/>
    <w:qFormat/>
    <w:uiPriority w:val="0"/>
    <w:rPr>
      <w:sz w:val="18"/>
      <w:szCs w:val="18"/>
    </w:rPr>
  </w:style>
  <w:style w:type="paragraph" w:customStyle="1" w:styleId="31">
    <w:name w:val="contentartic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32">
    <w:name w:val="5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paragraph" w:customStyle="1" w:styleId="33">
    <w:name w:val="样式312"/>
    <w:link w:val="34"/>
    <w:qFormat/>
    <w:uiPriority w:val="0"/>
    <w:pPr>
      <w:spacing w:line="560" w:lineRule="exact"/>
      <w:ind w:firstLine="640" w:firstLineChars="200"/>
    </w:pPr>
    <w:rPr>
      <w:rFonts w:ascii="Times New Roman" w:hAnsi="Times New Roman" w:eastAsia="仿宋_GB2312" w:cs="Times New Roman"/>
      <w:sz w:val="32"/>
      <w:szCs w:val="24"/>
      <w:lang w:val="en-US" w:eastAsia="zh-CN" w:bidi="ar-SA"/>
    </w:rPr>
  </w:style>
  <w:style w:type="character" w:customStyle="1" w:styleId="34">
    <w:name w:val="样式312 Char"/>
    <w:link w:val="33"/>
    <w:qFormat/>
    <w:uiPriority w:val="0"/>
    <w:rPr>
      <w:rFonts w:eastAsia="仿宋_GB2312"/>
      <w:sz w:val="32"/>
      <w:szCs w:val="24"/>
    </w:rPr>
  </w:style>
  <w:style w:type="paragraph" w:customStyle="1" w:styleId="35">
    <w:name w:val="Default"/>
    <w:basedOn w:val="36"/>
    <w:qFormat/>
    <w:uiPriority w:val="0"/>
    <w:pPr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</w:rPr>
  </w:style>
  <w:style w:type="paragraph" w:customStyle="1" w:styleId="36">
    <w:name w:val="正文 New"/>
    <w:basedOn w:val="1"/>
    <w:next w:val="35"/>
    <w:qFormat/>
    <w:uiPriority w:val="0"/>
    <w:rPr>
      <w:kern w:val="0"/>
      <w:szCs w:val="21"/>
    </w:rPr>
  </w:style>
  <w:style w:type="character" w:customStyle="1" w:styleId="37">
    <w:name w:val="s1"/>
    <w:qFormat/>
    <w:uiPriority w:val="0"/>
  </w:style>
  <w:style w:type="paragraph" w:customStyle="1" w:styleId="38">
    <w:name w:val="p5"/>
    <w:basedOn w:val="1"/>
    <w:qFormat/>
    <w:uiPriority w:val="0"/>
    <w:pPr>
      <w:spacing w:line="746" w:lineRule="atLeast"/>
      <w:jc w:val="center"/>
    </w:pPr>
    <w:rPr>
      <w:rFonts w:ascii="pingfang sc semibold" w:hAnsi="pingfang sc semibold" w:eastAsia="pingfang sc semibold"/>
      <w:color w:val="000000"/>
      <w:kern w:val="0"/>
      <w:sz w:val="42"/>
      <w:szCs w:val="42"/>
    </w:rPr>
  </w:style>
  <w:style w:type="paragraph" w:styleId="39">
    <w:name w:val="List Paragraph"/>
    <w:qFormat/>
    <w:uiPriority w:val="34"/>
    <w:pPr>
      <w:widowControl w:val="0"/>
      <w:ind w:firstLine="420" w:firstLineChars="20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7743</Words>
  <Characters>741</Characters>
  <Lines>6</Lines>
  <Paragraphs>16</Paragraphs>
  <TotalTime>36</TotalTime>
  <ScaleCrop>false</ScaleCrop>
  <LinksUpToDate>false</LinksUpToDate>
  <CharactersWithSpaces>8468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2026-08-11T03:31:00Z</dcterms:created>
  <dc:creator>pc</dc:creator>
  <cp:lastModifiedBy>Administrator</cp:lastModifiedBy>
  <cp:lastPrinted>2026-08-11T04:08:00Z</cp:lastPrinted>
  <dcterms:modified xsi:type="dcterms:W3CDTF">2026-09-29T08:43:34Z</dcterms:modified>
  <dc:title>关于《青岛市建筑废弃物资源化综合利用管理条例（草案）》的说明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16E963F7DEA04812A7E6CAE2C0E359B2_13</vt:lpwstr>
  </property>
  <property fmtid="{D5CDD505-2E9C-101B-9397-08002B2CF9AE}" pid="4" name="KSOTemplateDocerSaveRecord">
    <vt:lpwstr>eyJoZGlkIjoiY2IyNDI1NTkxMWYyNGJkMmRlNTNiNzc3YWM3ODliY2IifQ==</vt:lpwstr>
  </property>
</Properties>
</file>