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81DB">
      <w:pPr>
        <w:autoSpaceDE w:val="0"/>
        <w:autoSpaceDN w:val="0"/>
        <w:adjustRightInd w:val="0"/>
        <w:rPr>
          <w:rFonts w:ascii="黑体" w:hAnsi="黑体" w:eastAsia="黑体" w:cs="HiddenHorzOCR"/>
          <w:kern w:val="0"/>
          <w:szCs w:val="32"/>
        </w:rPr>
      </w:pPr>
      <w:r>
        <w:rPr>
          <w:rFonts w:hint="eastAsia" w:ascii="黑体" w:hAnsi="黑体" w:eastAsia="黑体" w:cs="HiddenHorzOCR"/>
          <w:kern w:val="0"/>
          <w:szCs w:val="32"/>
        </w:rPr>
        <w:t>附件</w:t>
      </w:r>
      <w:r>
        <w:rPr>
          <w:rFonts w:ascii="黑体" w:hAnsi="黑体" w:eastAsia="黑体" w:cs="HiddenHorzOCR"/>
          <w:kern w:val="0"/>
          <w:szCs w:val="32"/>
        </w:rPr>
        <w:t>2</w:t>
      </w:r>
    </w:p>
    <w:p w14:paraId="491CBE12">
      <w:pPr>
        <w:jc w:val="center"/>
        <w:rPr>
          <w:rFonts w:eastAsia="楷体_GB2312"/>
          <w:sz w:val="28"/>
          <w:szCs w:val="36"/>
          <w:u w:val="single"/>
        </w:rPr>
      </w:pPr>
      <w:bookmarkStart w:id="0" w:name="_GoBack"/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</w:rPr>
        <w:t>现代服务业外商投资企业奖励申请汇总表</w:t>
      </w:r>
    </w:p>
    <w:bookmarkEnd w:id="0"/>
    <w:p w14:paraId="74C7C25E">
      <w:pPr>
        <w:rPr>
          <w:rFonts w:ascii="宋体" w:hAnsi="宋体" w:eastAsia="宋体" w:cs="HiddenHorzOCR"/>
          <w:kern w:val="0"/>
          <w:sz w:val="28"/>
          <w:szCs w:val="28"/>
        </w:rPr>
      </w:pP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         区（市）（盖章）</w:t>
      </w:r>
      <w:r>
        <w:rPr>
          <w:rFonts w:eastAsia="楷体_GB2312"/>
          <w:sz w:val="24"/>
        </w:rPr>
        <w:t xml:space="preserve">     </w:t>
      </w:r>
      <w:r>
        <w:rPr>
          <w:rFonts w:hint="eastAsia" w:eastAsia="楷体_GB2312"/>
          <w:sz w:val="24"/>
        </w:rPr>
        <w:t xml:space="preserve">  </w:t>
      </w:r>
      <w:r>
        <w:rPr>
          <w:rFonts w:eastAsia="楷体_GB2312"/>
          <w:sz w:val="24"/>
        </w:rPr>
        <w:t xml:space="preserve">  </w:t>
      </w:r>
      <w:r>
        <w:rPr>
          <w:rFonts w:hint="eastAsia" w:eastAsia="楷体_GB2312"/>
          <w:sz w:val="24"/>
        </w:rPr>
        <w:t xml:space="preserve">  </w:t>
      </w:r>
      <w:r>
        <w:rPr>
          <w:rFonts w:eastAsia="楷体_GB2312"/>
          <w:sz w:val="24"/>
        </w:rPr>
        <w:t xml:space="preserve">             </w:t>
      </w:r>
      <w:r>
        <w:rPr>
          <w:rFonts w:hint="eastAsia" w:eastAsia="楷体_GB2312"/>
          <w:sz w:val="24"/>
        </w:rPr>
        <w:t xml:space="preserve">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    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 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 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时间：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年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 xml:space="preserve"> 月  </w:t>
      </w:r>
      <w:r>
        <w:rPr>
          <w:rFonts w:ascii="宋体" w:hAnsi="宋体" w:eastAsia="宋体" w:cs="HiddenHorzOCR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HiddenHorzOCR"/>
          <w:kern w:val="0"/>
          <w:sz w:val="28"/>
          <w:szCs w:val="28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861"/>
        <w:gridCol w:w="883"/>
        <w:gridCol w:w="1685"/>
        <w:gridCol w:w="2012"/>
        <w:gridCol w:w="1588"/>
        <w:gridCol w:w="1218"/>
        <w:gridCol w:w="714"/>
        <w:gridCol w:w="2874"/>
      </w:tblGrid>
      <w:tr w14:paraId="00776979">
        <w:tc>
          <w:tcPr>
            <w:tcW w:w="1132" w:type="dxa"/>
            <w:noWrap w:val="0"/>
            <w:vAlign w:val="center"/>
          </w:tcPr>
          <w:p w14:paraId="379AE79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61" w:type="dxa"/>
            <w:noWrap w:val="0"/>
            <w:vAlign w:val="center"/>
          </w:tcPr>
          <w:p w14:paraId="012EA23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883" w:type="dxa"/>
            <w:noWrap w:val="0"/>
            <w:vAlign w:val="center"/>
          </w:tcPr>
          <w:p w14:paraId="580C514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到账年度</w:t>
            </w:r>
          </w:p>
        </w:tc>
        <w:tc>
          <w:tcPr>
            <w:tcW w:w="1685" w:type="dxa"/>
            <w:noWrap w:val="0"/>
            <w:vAlign w:val="center"/>
          </w:tcPr>
          <w:p w14:paraId="64F153C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年度到账外资金额（万元）</w:t>
            </w:r>
          </w:p>
        </w:tc>
        <w:tc>
          <w:tcPr>
            <w:tcW w:w="2012" w:type="dxa"/>
            <w:noWrap w:val="0"/>
            <w:vAlign w:val="center"/>
          </w:tcPr>
          <w:p w14:paraId="355FB1A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到账外资实际使用金额（万元）</w:t>
            </w:r>
          </w:p>
        </w:tc>
        <w:tc>
          <w:tcPr>
            <w:tcW w:w="1588" w:type="dxa"/>
            <w:noWrap w:val="0"/>
            <w:vAlign w:val="center"/>
          </w:tcPr>
          <w:p w14:paraId="09E7FD8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申请奖励金额（万元）</w:t>
            </w:r>
          </w:p>
        </w:tc>
        <w:tc>
          <w:tcPr>
            <w:tcW w:w="1218" w:type="dxa"/>
            <w:noWrap w:val="0"/>
            <w:vAlign w:val="center"/>
          </w:tcPr>
          <w:p w14:paraId="72D7E30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投资行业</w:t>
            </w:r>
          </w:p>
        </w:tc>
        <w:tc>
          <w:tcPr>
            <w:tcW w:w="714" w:type="dxa"/>
            <w:noWrap w:val="0"/>
            <w:vAlign w:val="center"/>
          </w:tcPr>
          <w:p w14:paraId="6BE2A90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874" w:type="dxa"/>
            <w:noWrap w:val="0"/>
            <w:vAlign w:val="center"/>
          </w:tcPr>
          <w:p w14:paraId="46ADC9D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是否为第二次申报</w:t>
            </w:r>
          </w:p>
          <w:p w14:paraId="5A3A46D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b/>
                <w:bCs/>
                <w:kern w:val="0"/>
                <w:sz w:val="24"/>
              </w:rPr>
              <w:t>（如为第二次申报请在本栏备注已收到奖励金额）</w:t>
            </w:r>
          </w:p>
        </w:tc>
      </w:tr>
      <w:tr w14:paraId="2913AE07">
        <w:trPr>
          <w:trHeight w:val="567" w:hRule="atLeast"/>
        </w:trPr>
        <w:tc>
          <w:tcPr>
            <w:tcW w:w="1132" w:type="dxa"/>
            <w:noWrap w:val="0"/>
            <w:vAlign w:val="top"/>
          </w:tcPr>
          <w:p w14:paraId="4DCBCDA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kern w:val="0"/>
                <w:sz w:val="24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 w14:paraId="6EDD8FF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F4A695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3FDD981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244A9C3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54E0C70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0E797C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3A75B18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2874" w:type="dxa"/>
            <w:noWrap w:val="0"/>
            <w:vAlign w:val="center"/>
          </w:tcPr>
          <w:p w14:paraId="342B10D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</w:tr>
      <w:tr w14:paraId="3A3D2ED3">
        <w:trPr>
          <w:trHeight w:val="567" w:hRule="atLeast"/>
        </w:trPr>
        <w:tc>
          <w:tcPr>
            <w:tcW w:w="1132" w:type="dxa"/>
            <w:noWrap w:val="0"/>
            <w:vAlign w:val="top"/>
          </w:tcPr>
          <w:p w14:paraId="31F4618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kern w:val="0"/>
                <w:sz w:val="24"/>
              </w:rPr>
              <w:t>…</w:t>
            </w:r>
          </w:p>
        </w:tc>
        <w:tc>
          <w:tcPr>
            <w:tcW w:w="861" w:type="dxa"/>
            <w:noWrap w:val="0"/>
            <w:vAlign w:val="top"/>
          </w:tcPr>
          <w:p w14:paraId="7D62C29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883" w:type="dxa"/>
            <w:noWrap w:val="0"/>
            <w:vAlign w:val="top"/>
          </w:tcPr>
          <w:p w14:paraId="01ECD57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685" w:type="dxa"/>
            <w:noWrap w:val="0"/>
            <w:vAlign w:val="top"/>
          </w:tcPr>
          <w:p w14:paraId="6B31264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2012" w:type="dxa"/>
            <w:noWrap w:val="0"/>
            <w:vAlign w:val="top"/>
          </w:tcPr>
          <w:p w14:paraId="3C60766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top"/>
          </w:tcPr>
          <w:p w14:paraId="17591F8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218" w:type="dxa"/>
            <w:noWrap w:val="0"/>
            <w:vAlign w:val="top"/>
          </w:tcPr>
          <w:p w14:paraId="40573F1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714" w:type="dxa"/>
            <w:noWrap w:val="0"/>
            <w:vAlign w:val="top"/>
          </w:tcPr>
          <w:p w14:paraId="384176C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2874" w:type="dxa"/>
            <w:noWrap w:val="0"/>
            <w:vAlign w:val="top"/>
          </w:tcPr>
          <w:p w14:paraId="11AFB1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</w:tr>
      <w:tr w14:paraId="4D22CD13">
        <w:trPr>
          <w:trHeight w:val="567" w:hRule="atLeast"/>
        </w:trPr>
        <w:tc>
          <w:tcPr>
            <w:tcW w:w="1132" w:type="dxa"/>
            <w:noWrap w:val="0"/>
            <w:vAlign w:val="top"/>
          </w:tcPr>
          <w:p w14:paraId="0AFFF9D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  <w:r>
              <w:rPr>
                <w:rFonts w:hint="eastAsia" w:ascii="宋体" w:hAnsi="宋体" w:eastAsia="宋体" w:cs="HiddenHorzOCR"/>
                <w:kern w:val="0"/>
                <w:sz w:val="24"/>
              </w:rPr>
              <w:t>合计</w:t>
            </w:r>
          </w:p>
        </w:tc>
        <w:tc>
          <w:tcPr>
            <w:tcW w:w="861" w:type="dxa"/>
            <w:noWrap w:val="0"/>
            <w:vAlign w:val="top"/>
          </w:tcPr>
          <w:p w14:paraId="5055148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883" w:type="dxa"/>
            <w:noWrap w:val="0"/>
            <w:vAlign w:val="top"/>
          </w:tcPr>
          <w:p w14:paraId="4933FEE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685" w:type="dxa"/>
            <w:noWrap w:val="0"/>
            <w:vAlign w:val="top"/>
          </w:tcPr>
          <w:p w14:paraId="2933A5B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2012" w:type="dxa"/>
            <w:noWrap w:val="0"/>
            <w:vAlign w:val="top"/>
          </w:tcPr>
          <w:p w14:paraId="09BD71D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top"/>
          </w:tcPr>
          <w:p w14:paraId="4DE2F30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1218" w:type="dxa"/>
            <w:noWrap w:val="0"/>
            <w:vAlign w:val="top"/>
          </w:tcPr>
          <w:p w14:paraId="241CA70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714" w:type="dxa"/>
            <w:noWrap w:val="0"/>
            <w:vAlign w:val="top"/>
          </w:tcPr>
          <w:p w14:paraId="535B4A7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  <w:tc>
          <w:tcPr>
            <w:tcW w:w="2874" w:type="dxa"/>
            <w:noWrap w:val="0"/>
            <w:vAlign w:val="top"/>
          </w:tcPr>
          <w:p w14:paraId="47EBABE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HiddenHorzOCR"/>
                <w:kern w:val="0"/>
                <w:sz w:val="24"/>
              </w:rPr>
            </w:pPr>
          </w:p>
        </w:tc>
      </w:tr>
    </w:tbl>
    <w:p w14:paraId="7AE5F859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eastAsia="宋体" w:cs="HiddenHorzOCR"/>
          <w:kern w:val="0"/>
          <w:sz w:val="24"/>
        </w:rPr>
      </w:pPr>
      <w:r>
        <w:rPr>
          <w:rFonts w:hint="eastAsia" w:ascii="宋体" w:hAnsi="宋体" w:eastAsia="宋体" w:cs="HiddenHorzOCR"/>
          <w:kern w:val="0"/>
          <w:sz w:val="24"/>
        </w:rPr>
        <w:t xml:space="preserve">联系人： </w:t>
      </w:r>
      <w:r>
        <w:rPr>
          <w:rFonts w:ascii="宋体" w:hAnsi="宋体" w:eastAsia="宋体" w:cs="HiddenHorzOCR"/>
          <w:kern w:val="0"/>
          <w:sz w:val="24"/>
        </w:rPr>
        <w:t xml:space="preserve">                                                 </w:t>
      </w:r>
      <w:r>
        <w:rPr>
          <w:rFonts w:hint="eastAsia" w:ascii="宋体" w:hAnsi="宋体" w:eastAsia="宋体" w:cs="HiddenHorzOCR"/>
          <w:kern w:val="0"/>
          <w:sz w:val="24"/>
        </w:rPr>
        <w:t>联系电话：</w:t>
      </w:r>
    </w:p>
    <w:p w14:paraId="13226C6D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eastAsia="宋体" w:cs="HiddenHorzOCR"/>
          <w:kern w:val="0"/>
          <w:sz w:val="24"/>
        </w:rPr>
      </w:pPr>
      <w:r>
        <w:rPr>
          <w:rFonts w:hint="eastAsia" w:ascii="宋体" w:hAnsi="宋体" w:eastAsia="宋体" w:cs="HiddenHorzOCR"/>
          <w:kern w:val="0"/>
          <w:sz w:val="24"/>
        </w:rPr>
        <w:t>备注：1</w:t>
      </w:r>
      <w:r>
        <w:rPr>
          <w:rFonts w:ascii="宋体" w:hAnsi="宋体" w:eastAsia="宋体" w:cs="HiddenHorzOCR"/>
          <w:kern w:val="0"/>
          <w:sz w:val="24"/>
        </w:rPr>
        <w:t>.</w:t>
      </w:r>
      <w:r>
        <w:rPr>
          <w:rFonts w:hint="eastAsia" w:ascii="宋体" w:hAnsi="宋体" w:eastAsia="宋体" w:cs="HiddenHorzOCR"/>
          <w:kern w:val="0"/>
          <w:sz w:val="24"/>
        </w:rPr>
        <w:t>年度到账外资金额需按到账年度平均汇率统一换算为万元人民币。</w:t>
      </w:r>
    </w:p>
    <w:p w14:paraId="19CD2019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eastAsia="宋体" w:cs="HiddenHorzOCR"/>
          <w:kern w:val="0"/>
          <w:sz w:val="24"/>
        </w:rPr>
      </w:pPr>
      <w:r>
        <w:rPr>
          <w:rFonts w:hint="eastAsia" w:ascii="宋体" w:hAnsi="宋体" w:eastAsia="宋体" w:cs="HiddenHorzOCR"/>
          <w:kern w:val="0"/>
          <w:sz w:val="24"/>
        </w:rPr>
        <w:t xml:space="preserve"> </w:t>
      </w:r>
      <w:r>
        <w:rPr>
          <w:rFonts w:ascii="宋体" w:hAnsi="宋体" w:eastAsia="宋体" w:cs="HiddenHorzOCR"/>
          <w:kern w:val="0"/>
          <w:sz w:val="24"/>
        </w:rPr>
        <w:t xml:space="preserve">     2.</w:t>
      </w:r>
      <w:r>
        <w:rPr>
          <w:rFonts w:hint="eastAsia" w:ascii="宋体" w:hAnsi="宋体" w:eastAsia="宋体" w:cs="HiddenHorzOCR"/>
          <w:kern w:val="0"/>
          <w:sz w:val="24"/>
        </w:rPr>
        <w:t>申请奖励金额为用于实际生产经营、投向项目建设、形成实物工作量的外资使用金额的3</w:t>
      </w:r>
      <w:r>
        <w:rPr>
          <w:rFonts w:ascii="宋体" w:hAnsi="宋体" w:eastAsia="宋体" w:cs="HiddenHorzOCR"/>
          <w:kern w:val="0"/>
          <w:sz w:val="24"/>
        </w:rPr>
        <w:t>%</w:t>
      </w:r>
      <w:r>
        <w:rPr>
          <w:rFonts w:hint="eastAsia" w:ascii="宋体" w:hAnsi="宋体" w:eastAsia="宋体" w:cs="HiddenHorzOCR"/>
          <w:kern w:val="0"/>
          <w:sz w:val="24"/>
        </w:rPr>
        <w:t>，最高奖励1亿元人民币。</w:t>
      </w:r>
    </w:p>
    <w:p w14:paraId="410158F4">
      <w:pPr>
        <w:autoSpaceDE w:val="0"/>
        <w:autoSpaceDN w:val="0"/>
        <w:adjustRightInd w:val="0"/>
        <w:snapToGrid w:val="0"/>
        <w:spacing w:line="560" w:lineRule="exact"/>
      </w:pPr>
      <w:r>
        <w:rPr>
          <w:rFonts w:hint="eastAsia" w:ascii="宋体" w:hAnsi="宋体" w:eastAsia="宋体" w:cs="HiddenHorzOCR"/>
          <w:kern w:val="0"/>
          <w:sz w:val="24"/>
        </w:rPr>
        <w:t xml:space="preserve"> </w:t>
      </w:r>
      <w:r>
        <w:rPr>
          <w:rFonts w:ascii="宋体" w:hAnsi="宋体" w:eastAsia="宋体" w:cs="HiddenHorzOCR"/>
          <w:kern w:val="0"/>
          <w:sz w:val="24"/>
        </w:rPr>
        <w:t xml:space="preserve">     3.</w:t>
      </w:r>
      <w:r>
        <w:rPr>
          <w:rFonts w:hint="eastAsia" w:ascii="宋体" w:hAnsi="宋体" w:eastAsia="宋体" w:cs="Yu Gothic"/>
          <w:kern w:val="0"/>
          <w:sz w:val="24"/>
        </w:rPr>
        <w:t>类别填写“新</w:t>
      </w:r>
      <w:r>
        <w:rPr>
          <w:rFonts w:hint="eastAsia" w:ascii="宋体" w:hAnsi="宋体" w:eastAsia="宋体" w:cs="宋体"/>
          <w:kern w:val="0"/>
          <w:sz w:val="24"/>
        </w:rPr>
        <w:t>设</w:t>
      </w:r>
      <w:r>
        <w:rPr>
          <w:rFonts w:hint="eastAsia" w:ascii="宋体" w:hAnsi="宋体" w:eastAsia="宋体" w:cs="Yu Gothic"/>
          <w:kern w:val="0"/>
          <w:sz w:val="24"/>
        </w:rPr>
        <w:t>”或“增</w:t>
      </w:r>
      <w:r>
        <w:rPr>
          <w:rFonts w:hint="eastAsia" w:ascii="宋体" w:hAnsi="宋体" w:eastAsia="宋体" w:cs="宋体"/>
          <w:kern w:val="0"/>
          <w:sz w:val="24"/>
        </w:rPr>
        <w:t>资</w:t>
      </w:r>
      <w:r>
        <w:rPr>
          <w:rFonts w:hint="eastAsia" w:ascii="宋体" w:hAnsi="宋体" w:eastAsia="宋体" w:cs="Yu Gothic"/>
          <w:kern w:val="0"/>
          <w:sz w:val="24"/>
        </w:rPr>
        <w:t>”</w:t>
      </w:r>
      <w:r>
        <w:rPr>
          <w:rFonts w:hint="eastAsia" w:ascii="宋体" w:hAnsi="宋体" w:eastAsia="宋体" w:cs="Yu Gothic"/>
          <w:kern w:val="0"/>
          <w:sz w:val="24"/>
          <w:lang w:eastAsia="zh-CN"/>
        </w:rPr>
        <w:t>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HiddenHorzOCR">
    <w:altName w:val="苹方-简"/>
    <w:panose1 w:val="00000000000000000000"/>
    <w:charset w:val="00"/>
    <w:family w:val="auto"/>
    <w:pitch w:val="default"/>
    <w:sig w:usb0="00000000" w:usb1="00000000" w:usb2="00000010" w:usb3="00000000" w:csb0="0002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2312">
    <w:altName w:val="方正小标宋简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Yu Gothic">
    <w:altName w:val="苹方-简"/>
    <w:panose1 w:val="020B0400000000000000"/>
    <w:charset w:val="00"/>
    <w:family w:val="swiss"/>
    <w:pitch w:val="default"/>
    <w:sig w:usb0="00000000" w:usb1="00000000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A5151"/>
    <w:rsid w:val="BBF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BodyText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2025-12-04T11:36:00Z</dcterms:created>
  <dc:creator>Sever</dc:creator>
  <cp:lastModifiedBy>Sever</cp:lastModifiedBy>
  <dcterms:modified xsi:type="dcterms:W3CDTF">2025-12-04T11:36:39Z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4790F3454655A496AB013169CB6A346A_41</vt:lpwstr>
  </property>
</Properties>
</file>