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3F57C">
      <w:pPr>
        <w:keepNext w:val="0"/>
        <w:keepLines w:val="0"/>
        <w:pageBreakBefore w:val="0"/>
        <w:widowControl w:val="0"/>
        <w:kinsoku/>
        <w:wordWrap/>
        <w:overflowPunct w:val="0"/>
        <w:topLinePunct w:val="0"/>
        <w:autoSpaceDE w:val="0"/>
        <w:autoSpaceDN w:val="0"/>
        <w:bidi w:val="0"/>
        <w:snapToGrid w:val="0"/>
        <w:spacing w:line="560" w:lineRule="exact"/>
        <w:ind w:firstLine="0" w:firstLineChars="0"/>
        <w:jc w:val="center"/>
        <w:textAlignment w:val="auto"/>
        <w:rPr>
          <w:rFonts w:hint="default" w:eastAsia="仿宋_GB2312"/>
          <w:szCs w:val="32"/>
          <w:lang w:val="en-US" w:eastAsia="zh-CN"/>
        </w:rPr>
      </w:pPr>
      <w:r>
        <w:rPr>
          <w:rFonts w:hint="eastAsia" w:ascii="方正小标宋_GBK" w:hAnsi="方正小标宋_GBK" w:eastAsia="方正小标宋_GBK" w:cs="方正小标宋_GBK"/>
          <w:sz w:val="44"/>
          <w:szCs w:val="44"/>
          <w:lang w:val="en-US" w:eastAsia="zh-CN"/>
        </w:rPr>
        <w:t>青岛仲裁办2025年上半年工作总结</w:t>
      </w:r>
    </w:p>
    <w:p w14:paraId="382CF0D0">
      <w:pPr>
        <w:keepNext w:val="0"/>
        <w:keepLines w:val="0"/>
        <w:pageBreakBefore w:val="0"/>
        <w:widowControl w:val="0"/>
        <w:tabs>
          <w:tab w:val="left" w:pos="7914"/>
        </w:tabs>
        <w:kinsoku/>
        <w:wordWrap/>
        <w:overflowPunct w:val="0"/>
        <w:topLinePunct w:val="0"/>
        <w:autoSpaceDE w:val="0"/>
        <w:autoSpaceDN w:val="0"/>
        <w:bidi w:val="0"/>
        <w:adjustRightInd w:val="0"/>
        <w:snapToGrid w:val="0"/>
        <w:spacing w:line="560" w:lineRule="exact"/>
        <w:ind w:firstLine="640"/>
        <w:textAlignment w:val="auto"/>
        <w:rPr>
          <w:rFonts w:hint="eastAsia" w:cs="仿宋_GB2312"/>
          <w:color w:val="000000"/>
          <w:sz w:val="32"/>
          <w:szCs w:val="32"/>
          <w:lang w:val="en-US" w:eastAsia="zh-CN"/>
        </w:rPr>
      </w:pPr>
    </w:p>
    <w:p w14:paraId="2E64A36B">
      <w:pPr>
        <w:keepNext w:val="0"/>
        <w:keepLines w:val="0"/>
        <w:pageBreakBefore w:val="0"/>
        <w:widowControl/>
        <w:suppressLineNumbers w:val="0"/>
        <w:kinsoku/>
        <w:wordWrap/>
        <w:overflowPunct w:val="0"/>
        <w:topLinePunct w:val="0"/>
        <w:autoSpaceDE w:val="0"/>
        <w:autoSpaceDN w:val="0"/>
        <w:bidi w:val="0"/>
        <w:jc w:val="both"/>
        <w:textAlignment w:val="auto"/>
        <w:rPr>
          <w:rFonts w:hint="default" w:eastAsia="仿宋_GB2312" w:hAnsiTheme="minorHAnsi"/>
          <w:szCs w:val="32"/>
          <w:lang w:val="en-US" w:eastAsia="zh-CN"/>
        </w:rPr>
      </w:pPr>
      <w:r>
        <w:rPr>
          <w:rFonts w:hint="eastAsia" w:cs="仿宋_GB2312"/>
          <w:color w:val="000000"/>
          <w:sz w:val="32"/>
          <w:szCs w:val="32"/>
          <w:lang w:val="en-US" w:eastAsia="zh-CN"/>
        </w:rPr>
        <w:t>2025年上半年，青岛仲裁办坚持以习近平新时代中国特色社会主义思想为指导，深入学习贯彻党的二十大和二十届二中、三中全会精神，锚定“走在前、挑大梁”，聚焦“打头阵、当先锋”，真抓实干、巩固提升，各项业务指标继续保持向好态势，仲裁护航经济社会发展取得积极成效。受理传统案件数量同比增长41.48%，受理互联网案件数量同比增长163.99%。1个案例获评全省涉外法治建设优秀案例，2个案例入选中国-上海合作组织法律服务委员会涉外法律服务典型案例，1个案例</w:t>
      </w:r>
      <w:bookmarkStart w:id="0" w:name="_GoBack"/>
      <w:bookmarkEnd w:id="0"/>
      <w:r>
        <w:rPr>
          <w:rFonts w:hint="eastAsia" w:cs="仿宋_GB2312"/>
          <w:color w:val="000000"/>
          <w:sz w:val="32"/>
          <w:szCs w:val="32"/>
          <w:lang w:val="en-US" w:eastAsia="zh-CN"/>
        </w:rPr>
        <w:t>入选全省知识产权保护十大典型案例。全国人大莅临开展仲裁法修订专题调研。相关经验做法被市委改革办纳入典型案例上报省委改革办。</w:t>
      </w:r>
    </w:p>
    <w:p w14:paraId="3DD8B221">
      <w:pPr>
        <w:keepNext w:val="0"/>
        <w:keepLines w:val="0"/>
        <w:pageBreakBefore w:val="0"/>
        <w:widowControl w:val="0"/>
        <w:numPr>
          <w:ilvl w:val="0"/>
          <w:numId w:val="0"/>
        </w:numPr>
        <w:kinsoku/>
        <w:wordWrap/>
        <w:overflowPunct w:val="0"/>
        <w:topLinePunct w:val="0"/>
        <w:autoSpaceDE w:val="0"/>
        <w:autoSpaceDN w:val="0"/>
        <w:bidi w:val="0"/>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kern w:val="2"/>
          <w:sz w:val="32"/>
          <w:szCs w:val="24"/>
          <w:lang w:val="en-US" w:eastAsia="zh-CN" w:bidi="ar-SA"/>
        </w:rPr>
        <w:t>一、</w:t>
      </w:r>
      <w:r>
        <w:rPr>
          <w:rFonts w:hint="eastAsia" w:ascii="黑体" w:hAnsi="黑体" w:eastAsia="黑体" w:cs="黑体"/>
          <w:lang w:val="en-US" w:eastAsia="zh-CN"/>
        </w:rPr>
        <w:t>主要工作情况</w:t>
      </w:r>
    </w:p>
    <w:p w14:paraId="508D6830">
      <w:pPr>
        <w:pStyle w:val="2"/>
        <w:keepNext w:val="0"/>
        <w:keepLines w:val="0"/>
        <w:pageBreakBefore w:val="0"/>
        <w:kinsoku/>
        <w:wordWrap/>
        <w:overflowPunct w:val="0"/>
        <w:topLinePunct w:val="0"/>
        <w:autoSpaceDE w:val="0"/>
        <w:autoSpaceDN w:val="0"/>
        <w:bidi w:val="0"/>
        <w:jc w:val="both"/>
        <w:textAlignment w:val="auto"/>
        <w:rPr>
          <w:rFonts w:hint="eastAsia"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ab/>
      </w:r>
      <w:r>
        <w:rPr>
          <w:rFonts w:hint="eastAsia" w:ascii="楷体_GB2312" w:hAnsi="楷体_GB2312" w:eastAsia="楷体_GB2312" w:cs="楷体_GB2312"/>
          <w:color w:val="000000"/>
          <w:sz w:val="32"/>
          <w:szCs w:val="32"/>
          <w:lang w:val="en-US" w:eastAsia="zh-CN"/>
        </w:rPr>
        <w:t>（一）突出政治建设，党建引领全面加强。</w:t>
      </w:r>
      <w:r>
        <w:rPr>
          <w:rFonts w:hint="eastAsia" w:ascii="仿宋_GB2312" w:hAnsi="Times New Roman" w:eastAsia="仿宋_GB2312"/>
          <w:color w:val="auto"/>
          <w:kern w:val="0"/>
          <w:sz w:val="32"/>
          <w:lang w:eastAsia="zh-CN"/>
        </w:rPr>
        <w:t>坚持不懈用习近平新时代中国特色社会主义思想凝心铸魂</w:t>
      </w:r>
      <w:r>
        <w:rPr>
          <w:rFonts w:hint="eastAsia" w:hAnsi="Times New Roman"/>
          <w:color w:val="auto"/>
          <w:kern w:val="0"/>
          <w:sz w:val="32"/>
          <w:lang w:eastAsia="zh-CN"/>
        </w:rPr>
        <w:t>，</w:t>
      </w:r>
      <w:r>
        <w:rPr>
          <w:rFonts w:hint="eastAsia" w:ascii="仿宋_GB2312" w:hAnsi="Times New Roman" w:eastAsia="仿宋_GB2312"/>
          <w:color w:val="auto"/>
          <w:kern w:val="0"/>
          <w:sz w:val="32"/>
          <w:lang w:eastAsia="zh-CN"/>
        </w:rPr>
        <w:t>跟进学习习近平总书记最新重要讲话和重要指示批示精神</w:t>
      </w:r>
      <w:r>
        <w:rPr>
          <w:rFonts w:hint="eastAsia" w:hAnsi="Times New Roman"/>
          <w:color w:val="auto"/>
          <w:kern w:val="0"/>
          <w:sz w:val="32"/>
          <w:lang w:eastAsia="zh-CN"/>
        </w:rPr>
        <w:t>，</w:t>
      </w:r>
      <w:r>
        <w:rPr>
          <w:rFonts w:hint="eastAsia" w:hAnsi="Times New Roman"/>
          <w:color w:val="auto"/>
          <w:kern w:val="0"/>
          <w:sz w:val="32"/>
          <w:lang w:val="en-US" w:eastAsia="zh-CN"/>
        </w:rPr>
        <w:t>深刻领悟“两个确立”的决定性意义，增强“四个意识”、坚定“四个自信”、做到“两个维护”。</w:t>
      </w:r>
      <w:r>
        <w:rPr>
          <w:rFonts w:hint="eastAsia" w:hAnsi="Times New Roman"/>
          <w:color w:val="auto"/>
          <w:kern w:val="0"/>
          <w:sz w:val="32"/>
          <w:lang w:eastAsia="zh-CN"/>
        </w:rPr>
        <w:t>扎实开展</w:t>
      </w:r>
      <w:r>
        <w:rPr>
          <w:rFonts w:hint="eastAsia" w:cs="仿宋_GB2312"/>
          <w:color w:val="000000"/>
          <w:sz w:val="32"/>
          <w:szCs w:val="32"/>
          <w:lang w:val="en-US" w:eastAsia="zh-CN"/>
        </w:rPr>
        <w:t>深入贯彻中央八项规定精神学习教育，</w:t>
      </w:r>
      <w:r>
        <w:rPr>
          <w:rFonts w:hint="eastAsia" w:ascii="仿宋_GB2312" w:hAnsi="Times New Roman" w:eastAsia="仿宋_GB2312"/>
          <w:color w:val="auto"/>
          <w:kern w:val="0"/>
          <w:sz w:val="32"/>
          <w:lang w:val="en-US" w:eastAsia="zh-CN"/>
        </w:rPr>
        <w:t>围绕“国之大者”找准仲裁工作切入点。</w:t>
      </w:r>
      <w:r>
        <w:rPr>
          <w:rFonts w:hint="eastAsia" w:cs="仿宋_GB2312"/>
          <w:color w:val="000000"/>
          <w:sz w:val="32"/>
          <w:szCs w:val="32"/>
          <w:lang w:val="en-US" w:eastAsia="zh-CN"/>
        </w:rPr>
        <w:t>通过“第一议题”跟进学习习近平总书记重要文章、重要讲话、重要指示批示精神110余篇次，党组理论学习中心组交流研讨7次。深化党支部标准化规范化建设，持续打造“党建引领</w:t>
      </w:r>
      <w:r>
        <w:rPr>
          <w:rFonts w:hint="eastAsia" w:ascii="仿宋_GB2312" w:hAnsi="仿宋_GB2312" w:eastAsia="仿宋_GB2312" w:cs="仿宋_GB2312"/>
          <w:color w:val="000000"/>
          <w:sz w:val="32"/>
          <w:szCs w:val="32"/>
          <w:lang w:val="en-US" w:eastAsia="zh-CN"/>
        </w:rPr>
        <w:t>·</w:t>
      </w:r>
      <w:r>
        <w:rPr>
          <w:rFonts w:hint="eastAsia" w:cs="仿宋_GB2312"/>
          <w:color w:val="000000"/>
          <w:sz w:val="32"/>
          <w:szCs w:val="32"/>
          <w:lang w:val="en-US" w:eastAsia="zh-CN"/>
        </w:rPr>
        <w:t>公信青仲”品牌。组织主题党日、“三会一课”学习研讨20余次。1个党支部获评全市离退休干部“六好”党支部。加强对群团工作的领导，完成工会、妇委会换届选举，有序推进成立机关团委，为仲裁事业发展注入青年活力。</w:t>
      </w:r>
    </w:p>
    <w:p w14:paraId="3AB051BC">
      <w:pPr>
        <w:keepNext w:val="0"/>
        <w:keepLines w:val="0"/>
        <w:pageBreakBefore w:val="0"/>
        <w:widowControl w:val="0"/>
        <w:numPr>
          <w:ilvl w:val="0"/>
          <w:numId w:val="0"/>
        </w:numPr>
        <w:tabs>
          <w:tab w:val="left" w:pos="633"/>
        </w:tabs>
        <w:kinsoku/>
        <w:wordWrap/>
        <w:overflowPunct w:val="0"/>
        <w:topLinePunct w:val="0"/>
        <w:autoSpaceDE w:val="0"/>
        <w:autoSpaceDN w:val="0"/>
        <w:bidi w:val="0"/>
        <w:adjustRightInd w:val="0"/>
        <w:snapToGrid w:val="0"/>
        <w:spacing w:line="560" w:lineRule="exact"/>
        <w:ind w:firstLine="640" w:firstLineChars="200"/>
        <w:textAlignment w:val="auto"/>
        <w:rPr>
          <w:rFonts w:hint="eastAsia"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（二）深化拓展推行，服务领域持续扩大。</w:t>
      </w:r>
      <w:r>
        <w:rPr>
          <w:rFonts w:hint="eastAsia" w:cs="仿宋_GB2312"/>
          <w:color w:val="000000"/>
          <w:sz w:val="32"/>
          <w:szCs w:val="32"/>
          <w:lang w:val="en-US" w:eastAsia="zh-CN"/>
        </w:rPr>
        <w:t>加强“知青仲·亲仲裁”拓展推行品牌建设，与市委、市政府工作部门和功能区管委、商协会等广泛合作，建立服务保障民营经济、侨资企业高质量发展、科技创新和农资纠纷调处等机制。编制仲裁工作白皮书和十大优秀案例并通过市政府新闻发布会公开发布，创作“走进青仲”“仲裁员说”短视频，在网站、公众号更新示范合同文本达780余份，走访、辅导、服务企业1000余家（次），让社会各界更多地认识仲裁、了解仲裁。联合主办民营经济促进法宣贯活动，组织面向残疾人、科技工作者等群体的仲裁开放日活动，为企业提供合同规范、专题培训、送法上门等个性化服务，赢得更多市场主体信赖与选择。与日喀则仲裁委员会开展合作共建，提升跨区域仲裁服务水平。</w:t>
      </w:r>
    </w:p>
    <w:p w14:paraId="341F0FC1">
      <w:pPr>
        <w:keepNext w:val="0"/>
        <w:keepLines w:val="0"/>
        <w:pageBreakBefore w:val="0"/>
        <w:widowControl/>
        <w:suppressLineNumbers w:val="0"/>
        <w:kinsoku/>
        <w:wordWrap/>
        <w:overflowPunct w:val="0"/>
        <w:topLinePunct w:val="0"/>
        <w:autoSpaceDE w:val="0"/>
        <w:autoSpaceDN w:val="0"/>
        <w:bidi w:val="0"/>
        <w:jc w:val="both"/>
        <w:textAlignment w:val="auto"/>
        <w:rPr>
          <w:rFonts w:hint="eastAsia"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（三）增强群众观念，</w:t>
      </w:r>
      <w:r>
        <w:rPr>
          <w:rFonts w:hint="eastAsia" w:ascii="楷体_GB2312" w:hAnsi="楷体_GB2312" w:eastAsia="楷体_GB2312" w:cs="楷体_GB2312"/>
          <w:color w:val="000000"/>
          <w:sz w:val="32"/>
          <w:szCs w:val="32"/>
          <w:u w:val="none"/>
          <w:lang w:val="en-US" w:eastAsia="zh-CN"/>
        </w:rPr>
        <w:t>为民服务更有</w:t>
      </w:r>
      <w:r>
        <w:rPr>
          <w:rFonts w:hint="default" w:ascii="楷体_GB2312" w:hAnsi="楷体_GB2312" w:eastAsia="楷体_GB2312" w:cs="楷体_GB2312"/>
          <w:color w:val="000000"/>
          <w:sz w:val="32"/>
          <w:szCs w:val="32"/>
          <w:u w:val="none"/>
          <w:lang w:val="en-US" w:eastAsia="zh-CN"/>
        </w:rPr>
        <w:t>温度</w:t>
      </w:r>
      <w:r>
        <w:rPr>
          <w:rFonts w:hint="eastAsia" w:ascii="楷体_GB2312" w:hAnsi="楷体_GB2312" w:eastAsia="楷体_GB2312" w:cs="楷体_GB2312"/>
          <w:color w:val="000000"/>
          <w:sz w:val="32"/>
          <w:szCs w:val="32"/>
          <w:u w:val="none"/>
          <w:lang w:val="en-US" w:eastAsia="zh-CN"/>
        </w:rPr>
        <w:t>。</w:t>
      </w:r>
      <w:r>
        <w:rPr>
          <w:rFonts w:hint="eastAsia" w:cs="仿宋_GB2312"/>
          <w:color w:val="000000"/>
          <w:sz w:val="32"/>
          <w:szCs w:val="32"/>
          <w:lang w:val="en-US" w:eastAsia="zh-CN"/>
        </w:rPr>
        <w:t>坚持以当事人为中心，扎实推进“亲和仲裁”具象化，树立“如我在裁”意识，实现“一次告知、一次办好”。将案件受理大厅迁移至青岛仲裁委员会首层，擦亮方便、贴心的案件受理窗口。加快智慧仲裁服务平台建设，推动仲裁</w:t>
      </w:r>
      <w:r>
        <w:rPr>
          <w:rFonts w:hint="default" w:cs="仿宋_GB2312"/>
          <w:color w:val="000000"/>
          <w:sz w:val="32"/>
          <w:szCs w:val="32"/>
          <w:u w:val="none"/>
          <w:lang w:val="en-US" w:eastAsia="zh-CN"/>
        </w:rPr>
        <w:t>服务从“能办”向“快办”“优办”</w:t>
      </w:r>
      <w:r>
        <w:rPr>
          <w:rFonts w:hint="eastAsia" w:cs="仿宋_GB2312"/>
          <w:color w:val="000000"/>
          <w:sz w:val="32"/>
          <w:szCs w:val="32"/>
          <w:u w:val="none"/>
          <w:lang w:val="en-US" w:eastAsia="zh-CN"/>
        </w:rPr>
        <w:t>转变。</w:t>
      </w:r>
      <w:r>
        <w:rPr>
          <w:rFonts w:hint="eastAsia" w:cs="仿宋_GB2312"/>
          <w:color w:val="000000"/>
          <w:sz w:val="32"/>
          <w:szCs w:val="32"/>
          <w:lang w:val="en-US" w:eastAsia="zh-CN"/>
        </w:rPr>
        <w:t>将案件数量持续大幅增长带来的压力转变为动力，制定仲裁庭庭前程序指引，细化庭前程序准备，严格把</w:t>
      </w:r>
      <w:r>
        <w:rPr>
          <w:rFonts w:hint="default" w:cs="仿宋_GB2312"/>
          <w:color w:val="000000"/>
          <w:sz w:val="32"/>
          <w:szCs w:val="32"/>
          <w:lang w:val="en-US" w:eastAsia="zh-CN"/>
        </w:rPr>
        <w:t>控</w:t>
      </w:r>
      <w:r>
        <w:rPr>
          <w:rFonts w:hint="eastAsia" w:cs="仿宋_GB2312"/>
          <w:b w:val="0"/>
          <w:bCs w:val="0"/>
          <w:color w:val="auto"/>
          <w:szCs w:val="32"/>
        </w:rPr>
        <w:t>组庭、开庭和结案各节点时限</w:t>
      </w:r>
      <w:r>
        <w:rPr>
          <w:rFonts w:hint="eastAsia" w:cs="仿宋_GB2312"/>
          <w:b w:val="0"/>
          <w:bCs w:val="0"/>
          <w:color w:val="auto"/>
          <w:szCs w:val="32"/>
          <w:lang w:eastAsia="zh-CN"/>
        </w:rPr>
        <w:t>，</w:t>
      </w:r>
      <w:r>
        <w:rPr>
          <w:rFonts w:hint="eastAsia" w:cs="仿宋_GB2312"/>
          <w:b w:val="0"/>
          <w:bCs w:val="0"/>
          <w:color w:val="auto"/>
          <w:szCs w:val="32"/>
          <w:lang w:val="en-US" w:eastAsia="zh-CN"/>
        </w:rPr>
        <w:t>继续</w:t>
      </w:r>
      <w:r>
        <w:rPr>
          <w:rFonts w:hint="eastAsia" w:cs="仿宋_GB2312"/>
          <w:color w:val="000000"/>
          <w:sz w:val="32"/>
          <w:szCs w:val="32"/>
          <w:lang w:val="en-US" w:eastAsia="zh-CN"/>
        </w:rPr>
        <w:t>增加开庭排期数量、推行双休日开庭，平均每周开庭保持在70-80次，跑出案件审理“加速度”。传统案件结收比达1.17；快速结案率48.78%，同比提高6个百分点；审限内结案率为77.87%，</w:t>
      </w:r>
      <w:r>
        <w:rPr>
          <w:rFonts w:hint="eastAsia" w:cs="仿宋_GB2312"/>
          <w:color w:val="000000"/>
          <w:sz w:val="32"/>
          <w:szCs w:val="32"/>
          <w:highlight w:val="none"/>
          <w:lang w:val="en-US" w:eastAsia="zh-CN"/>
        </w:rPr>
        <w:t>同比提高2个百分点</w:t>
      </w:r>
      <w:r>
        <w:rPr>
          <w:rFonts w:hint="eastAsia" w:cs="仿宋_GB2312"/>
          <w:color w:val="000000"/>
          <w:sz w:val="32"/>
          <w:szCs w:val="32"/>
          <w:lang w:val="en-US" w:eastAsia="zh-CN"/>
        </w:rPr>
        <w:t>。强化案件质量管理，征得当事人同意后旁听仲裁庭审，定期开展仲裁司法审查案件联动会商，无被法院撤销仲裁裁决或不予执行案件。</w:t>
      </w:r>
    </w:p>
    <w:p w14:paraId="3BC3C803">
      <w:pPr>
        <w:keepNext w:val="0"/>
        <w:keepLines w:val="0"/>
        <w:pageBreakBefore w:val="0"/>
        <w:widowControl/>
        <w:suppressLineNumbers w:val="0"/>
        <w:kinsoku/>
        <w:wordWrap/>
        <w:overflowPunct w:val="0"/>
        <w:topLinePunct w:val="0"/>
        <w:autoSpaceDE w:val="0"/>
        <w:autoSpaceDN w:val="0"/>
        <w:bidi w:val="0"/>
        <w:jc w:val="both"/>
        <w:textAlignment w:val="auto"/>
        <w:rPr>
          <w:rFonts w:hint="eastAsia"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（四）仲法协同共治，多元解纷更显成效。</w:t>
      </w:r>
      <w:r>
        <w:rPr>
          <w:rFonts w:hint="eastAsia" w:cs="仿宋_GB2312"/>
          <w:color w:val="000000"/>
          <w:sz w:val="32"/>
          <w:szCs w:val="32"/>
          <w:lang w:val="en-US" w:eastAsia="zh-CN"/>
        </w:rPr>
        <w:t>与市中级法院和基层法院加强合作，引导案件通过仲裁调解化解或导入仲裁程序解决。与市南区、黄岛区法院签署法仲衔接合作协议，在市南区成立法仲衔接调解工作室，协同黄岛区法院重点保障涉青岛自贸片区当事人仲裁保全、执行和司法审查等需求，“仲裁+调解+诉讼”格局进一步巩固。联合黄岛区法院成功调处一起意大利某贸易公司与青岛自贸片区某企业的国际货物买卖合同纠纷，促成当事人当日和解，圆满化解历时3年的跨境争议。</w:t>
      </w:r>
    </w:p>
    <w:p w14:paraId="4D45BE1C">
      <w:pPr>
        <w:keepNext w:val="0"/>
        <w:keepLines w:val="0"/>
        <w:pageBreakBefore w:val="0"/>
        <w:widowControl/>
        <w:suppressLineNumbers w:val="0"/>
        <w:kinsoku/>
        <w:wordWrap/>
        <w:overflowPunct w:val="0"/>
        <w:topLinePunct w:val="0"/>
        <w:autoSpaceDE w:val="0"/>
        <w:autoSpaceDN w:val="0"/>
        <w:bidi w:val="0"/>
        <w:adjustRightInd/>
        <w:snapToGrid/>
        <w:jc w:val="both"/>
        <w:textAlignment w:val="auto"/>
        <w:rPr>
          <w:rFonts w:hint="default" w:ascii="仿宋_GB2312" w:hAnsi="仿宋_GB2312" w:eastAsia="仿宋_GB2312" w:cs="Times New Roman"/>
          <w:sz w:val="32"/>
          <w:lang w:val="en-US" w:eastAsia="zh-CN"/>
        </w:rPr>
      </w:pPr>
      <w:r>
        <w:rPr>
          <w:rFonts w:hint="eastAsia" w:ascii="楷体_GB2312" w:hAnsi="楷体_GB2312" w:eastAsia="楷体_GB2312" w:cs="楷体_GB2312"/>
          <w:sz w:val="32"/>
          <w:lang w:val="en-US" w:eastAsia="zh-CN"/>
        </w:rPr>
        <w:t>（五）发力涉外仲裁，服务</w:t>
      </w:r>
      <w:r>
        <w:rPr>
          <w:rFonts w:hint="default" w:ascii="楷体_GB2312" w:hAnsi="楷体_GB2312" w:eastAsia="楷体_GB2312" w:cs="楷体_GB2312"/>
          <w:sz w:val="32"/>
          <w:lang w:val="en-US" w:eastAsia="zh-CN"/>
        </w:rPr>
        <w:t>国际经贸往来</w:t>
      </w:r>
      <w:r>
        <w:rPr>
          <w:rFonts w:hint="eastAsia" w:cs="仿宋_GB2312"/>
          <w:color w:val="000000"/>
          <w:sz w:val="32"/>
          <w:szCs w:val="32"/>
          <w:u w:val="none"/>
          <w:lang w:val="en-US" w:eastAsia="zh-CN"/>
        </w:rPr>
        <w:t>。</w:t>
      </w:r>
      <w:r>
        <w:rPr>
          <w:rFonts w:hint="eastAsia" w:ascii="仿宋_GB2312" w:hAnsi="Times New Roman" w:eastAsia="仿宋_GB2312" w:cs="Times New Roman"/>
          <w:color w:val="auto"/>
          <w:kern w:val="0"/>
          <w:sz w:val="32"/>
          <w:szCs w:val="22"/>
          <w:lang w:val="en-US" w:eastAsia="zh-CN"/>
        </w:rPr>
        <w:t>入驻青岛中央法务区，</w:t>
      </w:r>
      <w:r>
        <w:rPr>
          <w:rFonts w:hint="eastAsia" w:hAnsi="Times New Roman" w:cs="Times New Roman"/>
          <w:color w:val="auto"/>
          <w:kern w:val="0"/>
          <w:sz w:val="32"/>
          <w:szCs w:val="22"/>
          <w:lang w:val="en-US" w:eastAsia="zh-CN"/>
        </w:rPr>
        <w:t>靠前</w:t>
      </w:r>
      <w:r>
        <w:rPr>
          <w:rFonts w:hint="eastAsia" w:ascii="仿宋_GB2312" w:hAnsi="Times New Roman" w:eastAsia="仿宋_GB2312" w:cs="Times New Roman"/>
          <w:color w:val="auto"/>
          <w:kern w:val="0"/>
          <w:sz w:val="32"/>
          <w:szCs w:val="22"/>
          <w:lang w:val="en-US" w:eastAsia="zh-CN"/>
        </w:rPr>
        <w:t>提供咨询、立案、开庭等服务，举办国际商事仲裁研讨、印度仲裁实务培训等，打造涉外仲裁服务前沿阵地</w:t>
      </w:r>
      <w:r>
        <w:rPr>
          <w:rFonts w:hint="eastAsia" w:hAnsi="Times New Roman" w:cs="Times New Roman"/>
          <w:color w:val="auto"/>
          <w:kern w:val="0"/>
          <w:sz w:val="32"/>
          <w:szCs w:val="22"/>
          <w:lang w:val="en-US" w:eastAsia="zh-CN"/>
        </w:rPr>
        <w:t>。依托青岛自贸片区青岛国际仲裁中心、上合示范区国际仲裁院、国际贸易仲裁院等涉外仲裁平台，联合举办涉外仲裁政策宣讲、专题培</w:t>
      </w:r>
      <w:r>
        <w:rPr>
          <w:rFonts w:hint="eastAsia"/>
          <w:lang w:val="en-US" w:eastAsia="zh-CN"/>
        </w:rPr>
        <w:t>训活动，延伸涉外仲裁服务链条，服务“一带一路”国际合作新平台建设。开设国际商事争议裁判规则简讯专栏，发布6期仲裁案例资讯，引导企业在国际商事活动中更好地防范化解法律风</w:t>
      </w:r>
      <w:r>
        <w:rPr>
          <w:rFonts w:hint="eastAsia" w:cs="仿宋_GB2312"/>
          <w:color w:val="000000"/>
          <w:sz w:val="32"/>
          <w:szCs w:val="32"/>
          <w:lang w:val="en-US" w:eastAsia="zh-CN"/>
        </w:rPr>
        <w:t>险。</w:t>
      </w:r>
      <w:r>
        <w:rPr>
          <w:rFonts w:hint="eastAsia" w:ascii="仿宋_GB2312" w:hAnsi="仿宋_GB2312" w:eastAsia="仿宋_GB2312" w:cs="Times New Roman"/>
          <w:sz w:val="32"/>
          <w:lang w:val="en-US" w:eastAsia="zh-CN"/>
        </w:rPr>
        <w:t>受理涉外因素案件31件，同比增长107%。</w:t>
      </w:r>
    </w:p>
    <w:p w14:paraId="158B7B81">
      <w:pPr>
        <w:keepNext w:val="0"/>
        <w:keepLines w:val="0"/>
        <w:pageBreakBefore w:val="0"/>
        <w:kinsoku/>
        <w:wordWrap/>
        <w:overflowPunct w:val="0"/>
        <w:topLinePunct w:val="0"/>
        <w:autoSpaceDE w:val="0"/>
        <w:autoSpaceDN w:val="0"/>
        <w:bidi w:val="0"/>
        <w:textAlignment w:val="auto"/>
        <w:rPr>
          <w:rFonts w:hint="eastAsia" w:ascii="仿宋_GB2312" w:hAnsi="仿宋_GB2312" w:eastAsia="仿宋_GB2312" w:cs="Times New Roman"/>
          <w:sz w:val="32"/>
          <w:lang w:val="en-US" w:eastAsia="zh-CN"/>
        </w:rPr>
      </w:pPr>
      <w:r>
        <w:rPr>
          <w:rFonts w:hint="eastAsia" w:ascii="仿宋_GB2312" w:hAnsi="Times New Roman" w:eastAsia="仿宋_GB2312" w:cs="Times New Roman"/>
          <w:color w:val="auto"/>
          <w:kern w:val="0"/>
          <w:sz w:val="32"/>
          <w:szCs w:val="22"/>
          <w:lang w:val="en-US" w:eastAsia="zh-CN"/>
        </w:rPr>
        <w:t>（</w:t>
      </w:r>
      <w:r>
        <w:rPr>
          <w:rFonts w:hint="eastAsia" w:ascii="楷体_GB2312" w:hAnsi="楷体_GB2312" w:eastAsia="楷体_GB2312" w:cs="楷体_GB2312"/>
          <w:color w:val="auto"/>
          <w:kern w:val="0"/>
          <w:sz w:val="32"/>
          <w:szCs w:val="22"/>
          <w:lang w:val="en-US" w:eastAsia="zh-CN"/>
        </w:rPr>
        <w:t>六）融入中心大局，海事海商仲裁呈现新起色。</w:t>
      </w:r>
      <w:r>
        <w:rPr>
          <w:rFonts w:hint="eastAsia" w:ascii="仿宋_GB2312" w:hAnsi="仿宋_GB2312" w:eastAsia="仿宋_GB2312" w:cs="Times New Roman"/>
          <w:sz w:val="32"/>
          <w:lang w:val="en-US" w:eastAsia="zh-CN"/>
        </w:rPr>
        <w:t>加强与</w:t>
      </w:r>
      <w:r>
        <w:rPr>
          <w:rFonts w:hint="default" w:ascii="仿宋_GB2312" w:hAnsi="仿宋_GB2312" w:eastAsia="仿宋_GB2312" w:cs="Times New Roman"/>
          <w:sz w:val="32"/>
          <w:lang w:val="en-US" w:eastAsia="zh-CN"/>
        </w:rPr>
        <w:t>青岛国际航运中心建设工作专班及海事法务部成员单位</w:t>
      </w:r>
      <w:r>
        <w:rPr>
          <w:rFonts w:hint="eastAsia" w:cs="Times New Roman"/>
          <w:sz w:val="32"/>
          <w:lang w:val="en-US" w:eastAsia="zh-CN"/>
        </w:rPr>
        <w:t>合作</w:t>
      </w:r>
      <w:r>
        <w:rPr>
          <w:rFonts w:hint="default" w:ascii="仿宋_GB2312" w:hAnsi="仿宋_GB2312" w:eastAsia="仿宋_GB2312" w:cs="Times New Roman"/>
          <w:sz w:val="32"/>
          <w:lang w:val="en-US" w:eastAsia="zh-CN"/>
        </w:rPr>
        <w:t>，</w:t>
      </w:r>
      <w:r>
        <w:rPr>
          <w:rFonts w:hint="eastAsia" w:cs="Times New Roman"/>
          <w:sz w:val="32"/>
          <w:lang w:val="en-US" w:eastAsia="zh-CN"/>
        </w:rPr>
        <w:t>助力</w:t>
      </w:r>
      <w:r>
        <w:rPr>
          <w:rFonts w:hint="default" w:ascii="仿宋_GB2312" w:hAnsi="仿宋_GB2312" w:eastAsia="仿宋_GB2312" w:cs="Times New Roman"/>
          <w:sz w:val="32"/>
          <w:lang w:val="en-US" w:eastAsia="zh-CN"/>
        </w:rPr>
        <w:t>青岛在“新华·波罗的海”国际航运中心发展指数的位次</w:t>
      </w:r>
      <w:r>
        <w:rPr>
          <w:rFonts w:hint="eastAsia" w:cs="Times New Roman"/>
          <w:sz w:val="32"/>
          <w:lang w:val="en-US" w:eastAsia="zh-CN"/>
        </w:rPr>
        <w:t>由第15位跃升至第13位</w:t>
      </w:r>
      <w:r>
        <w:rPr>
          <w:rFonts w:hint="default" w:ascii="仿宋_GB2312" w:hAnsi="仿宋_GB2312" w:eastAsia="仿宋_GB2312" w:cs="Times New Roman"/>
          <w:sz w:val="32"/>
          <w:lang w:val="en-US" w:eastAsia="zh-CN"/>
        </w:rPr>
        <w:t>。</w:t>
      </w:r>
      <w:r>
        <w:rPr>
          <w:rFonts w:hint="eastAsia" w:cs="Times New Roman"/>
          <w:sz w:val="32"/>
          <w:lang w:val="en-US" w:eastAsia="zh-CN"/>
        </w:rPr>
        <w:t>在</w:t>
      </w:r>
      <w:r>
        <w:rPr>
          <w:rFonts w:hint="default" w:ascii="仿宋_GB2312" w:hAnsi="仿宋_GB2312" w:eastAsia="仿宋_GB2312" w:cs="Times New Roman"/>
          <w:sz w:val="32"/>
          <w:lang w:val="en-US" w:eastAsia="zh-CN"/>
        </w:rPr>
        <w:t>青岛海事法院</w:t>
      </w:r>
      <w:r>
        <w:rPr>
          <w:rFonts w:hint="eastAsia" w:cs="Times New Roman"/>
          <w:sz w:val="32"/>
          <w:lang w:val="en-US" w:eastAsia="zh-CN"/>
        </w:rPr>
        <w:t>、山东海事局、青岛海事局支持下，建立海事调解与海事仲裁合作机制，创新“调解优先、仲裁断后、司法保障”的递进式多元解纷模式，拓宽海事海商纠纷化解渠道。深化</w:t>
      </w:r>
      <w:r>
        <w:rPr>
          <w:rFonts w:hint="default" w:ascii="仿宋_GB2312" w:hAnsi="仿宋_GB2312" w:eastAsia="仿宋_GB2312" w:cs="Times New Roman"/>
          <w:sz w:val="32"/>
          <w:lang w:val="en-US" w:eastAsia="zh-CN"/>
        </w:rPr>
        <w:t>与市司法局、市交通运输局合作，</w:t>
      </w:r>
      <w:r>
        <w:rPr>
          <w:rFonts w:hint="eastAsia" w:ascii="仿宋_GB2312" w:hAnsi="仿宋_GB2312" w:eastAsia="仿宋_GB2312" w:cs="Times New Roman"/>
          <w:sz w:val="32"/>
          <w:lang w:val="en-US" w:eastAsia="zh-CN"/>
        </w:rPr>
        <w:t>深入涉海企业走访，</w:t>
      </w:r>
      <w:r>
        <w:rPr>
          <w:rFonts w:hint="eastAsia" w:cs="Times New Roman"/>
          <w:sz w:val="32"/>
          <w:lang w:val="en-US" w:eastAsia="zh-CN"/>
        </w:rPr>
        <w:t>合力</w:t>
      </w:r>
      <w:r>
        <w:rPr>
          <w:rFonts w:hint="default" w:ascii="仿宋_GB2312" w:hAnsi="仿宋_GB2312" w:eastAsia="仿宋_GB2312" w:cs="Times New Roman"/>
          <w:sz w:val="32"/>
          <w:lang w:val="en-US" w:eastAsia="zh-CN"/>
        </w:rPr>
        <w:t>提供法律培训、专题讲座、风险防范等服务</w:t>
      </w:r>
      <w:r>
        <w:rPr>
          <w:rFonts w:hint="eastAsia" w:cs="Times New Roman"/>
          <w:sz w:val="32"/>
          <w:lang w:val="en-US" w:eastAsia="zh-CN"/>
        </w:rPr>
        <w:t>。发布10类海事海商推荐合同文本，帮助相关市场主体规范合同行为，提升青岛仲裁认可度、首选率。</w:t>
      </w:r>
      <w:r>
        <w:rPr>
          <w:rFonts w:hint="eastAsia" w:ascii="仿宋_GB2312" w:hAnsi="仿宋_GB2312" w:eastAsia="仿宋_GB2312" w:cs="Times New Roman"/>
          <w:sz w:val="32"/>
          <w:lang w:val="en-US" w:eastAsia="zh-CN"/>
        </w:rPr>
        <w:t>受理涉海因素案件57件，同比增长30%。</w:t>
      </w:r>
    </w:p>
    <w:p w14:paraId="1D37B137">
      <w:pPr>
        <w:keepNext w:val="0"/>
        <w:keepLines w:val="0"/>
        <w:pageBreakBefore w:val="0"/>
        <w:widowControl w:val="0"/>
        <w:numPr>
          <w:ilvl w:val="0"/>
          <w:numId w:val="0"/>
        </w:numPr>
        <w:tabs>
          <w:tab w:val="left" w:pos="633"/>
        </w:tabs>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lang w:val="en-US" w:eastAsia="zh-CN"/>
        </w:rPr>
      </w:pPr>
      <w:r>
        <w:rPr>
          <w:rFonts w:hint="eastAsia" w:ascii="楷体_GB2312" w:hAnsi="楷体_GB2312" w:eastAsia="楷体_GB2312" w:cs="楷体_GB2312"/>
          <w:color w:val="auto"/>
          <w:kern w:val="0"/>
          <w:sz w:val="32"/>
          <w:szCs w:val="22"/>
          <w:lang w:val="en-US" w:eastAsia="zh-CN"/>
        </w:rPr>
        <w:t>（七）加强制度建设，规范化正规化走深走实。</w:t>
      </w:r>
      <w:r>
        <w:rPr>
          <w:rFonts w:hint="eastAsia" w:cs="Times New Roman"/>
          <w:sz w:val="32"/>
          <w:lang w:val="en-US" w:eastAsia="zh-CN"/>
        </w:rPr>
        <w:t>将现行有效的52个业务制度、37个内控制度、34个协作机制文件汇编成册，全面落地执行。开展作风纪律整顿，组织处长擂台比武、全员亮绩赛绩，</w:t>
      </w:r>
      <w:r>
        <w:rPr>
          <w:rFonts w:hint="eastAsia" w:cs="仿宋_GB2312"/>
          <w:color w:val="000000"/>
          <w:sz w:val="32"/>
          <w:szCs w:val="32"/>
          <w:lang w:val="en-US" w:eastAsia="zh-CN"/>
        </w:rPr>
        <w:t>探索建立年轻干部月考核、月排名制度，营造比学赶超、加压奋进氛围。常态化开展建设工程、互联网案件办理等业务研讨和经验交流，提升仲裁秘书专业化水平。严格仲裁员分类监督考核，每季度通报仲裁员履职情况，表彰优秀仲裁员，加强廉洁提醒，打造专业素质硬、道德操守高的仲裁员队伍。</w:t>
      </w:r>
    </w:p>
    <w:p w14:paraId="1F279890">
      <w:pPr>
        <w:keepNext w:val="0"/>
        <w:keepLines w:val="0"/>
        <w:pageBreakBefore w:val="0"/>
        <w:widowControl w:val="0"/>
        <w:numPr>
          <w:ilvl w:val="0"/>
          <w:numId w:val="0"/>
        </w:numPr>
        <w:kinsoku/>
        <w:wordWrap/>
        <w:overflowPunct w:val="0"/>
        <w:topLinePunct w:val="0"/>
        <w:autoSpaceDE w:val="0"/>
        <w:autoSpaceDN w:val="0"/>
        <w:bidi w:val="0"/>
        <w:snapToGrid w:val="0"/>
        <w:spacing w:line="560" w:lineRule="exact"/>
        <w:ind w:firstLine="640" w:firstLineChars="200"/>
        <w:jc w:val="both"/>
        <w:textAlignment w:val="auto"/>
        <w:rPr>
          <w:rFonts w:hint="eastAsia" w:ascii="仿宋_GB2312" w:hAnsi="仿宋_GB2312" w:eastAsia="仿宋_GB2312" w:cstheme="minorBidi"/>
          <w:kern w:val="2"/>
          <w:sz w:val="32"/>
          <w:szCs w:val="24"/>
          <w:lang w:val="en-US" w:eastAsia="zh-CN" w:bidi="ar-SA"/>
        </w:rPr>
      </w:pPr>
      <w:r>
        <w:rPr>
          <w:rFonts w:hint="eastAsia" w:ascii="黑体" w:hAnsi="黑体" w:eastAsia="黑体" w:cs="黑体"/>
          <w:sz w:val="32"/>
          <w:lang w:val="en-US" w:eastAsia="zh-CN"/>
        </w:rPr>
        <w:t>二、存在问题</w:t>
      </w:r>
    </w:p>
    <w:p w14:paraId="276DD3E5">
      <w:pPr>
        <w:keepNext w:val="0"/>
        <w:keepLines w:val="0"/>
        <w:pageBreakBefore w:val="0"/>
        <w:widowControl w:val="0"/>
        <w:kinsoku/>
        <w:wordWrap/>
        <w:overflowPunct w:val="0"/>
        <w:topLinePunct w:val="0"/>
        <w:autoSpaceDE w:val="0"/>
        <w:autoSpaceDN w:val="0"/>
        <w:bidi w:val="0"/>
        <w:snapToGrid w:val="0"/>
        <w:spacing w:line="560" w:lineRule="exact"/>
        <w:ind w:firstLine="640" w:firstLineChars="200"/>
        <w:textAlignment w:val="auto"/>
        <w:rPr>
          <w:rFonts w:hint="default" w:ascii="仿宋_GB2312" w:hAnsi="仿宋" w:cs="华文楷体"/>
          <w:bCs/>
          <w:color w:val="000000"/>
          <w:szCs w:val="32"/>
          <w:shd w:val="clear" w:color="auto" w:fill="FFFFFF"/>
          <w:lang w:val="en-US" w:eastAsia="zh-CN"/>
        </w:rPr>
      </w:pPr>
      <w:r>
        <w:rPr>
          <w:rFonts w:hint="eastAsia" w:ascii="仿宋_GB2312" w:hAnsi="仿宋" w:cs="华文楷体"/>
          <w:bCs/>
          <w:color w:val="000000"/>
          <w:szCs w:val="32"/>
          <w:shd w:val="clear" w:color="auto" w:fill="FFFFFF"/>
          <w:lang w:val="en-US" w:eastAsia="zh-CN"/>
        </w:rPr>
        <w:t>一是跟进服务市委、市政府中心工作谋篇布局的能力不足，仲裁服务大局作用发挥不够</w:t>
      </w:r>
      <w:r>
        <w:rPr>
          <w:rFonts w:hint="default" w:ascii="仿宋_GB2312" w:hAnsi="仿宋" w:cs="华文楷体"/>
          <w:bCs/>
          <w:color w:val="000000"/>
          <w:szCs w:val="32"/>
          <w:shd w:val="clear" w:color="auto" w:fill="FFFFFF"/>
          <w:lang w:val="en-US" w:eastAsia="zh-CN"/>
        </w:rPr>
        <w:t>。</w:t>
      </w:r>
    </w:p>
    <w:p w14:paraId="77133C4B">
      <w:pPr>
        <w:keepNext w:val="0"/>
        <w:keepLines w:val="0"/>
        <w:pageBreakBefore w:val="0"/>
        <w:widowControl w:val="0"/>
        <w:kinsoku/>
        <w:wordWrap/>
        <w:overflowPunct w:val="0"/>
        <w:topLinePunct w:val="0"/>
        <w:autoSpaceDE w:val="0"/>
        <w:autoSpaceDN w:val="0"/>
        <w:bidi w:val="0"/>
        <w:snapToGrid w:val="0"/>
        <w:spacing w:line="560" w:lineRule="exact"/>
        <w:ind w:firstLine="640" w:firstLineChars="200"/>
        <w:textAlignment w:val="auto"/>
        <w:rPr>
          <w:rFonts w:hint="eastAsia" w:ascii="仿宋_GB2312" w:hAnsi="仿宋" w:cs="华文楷体"/>
          <w:bCs/>
          <w:color w:val="000000"/>
          <w:szCs w:val="32"/>
          <w:shd w:val="clear" w:color="auto" w:fill="FFFFFF"/>
          <w:lang w:val="en-US" w:eastAsia="zh-CN"/>
        </w:rPr>
      </w:pPr>
      <w:r>
        <w:rPr>
          <w:rFonts w:hint="eastAsia" w:hAnsi="仿宋" w:cs="华文楷体"/>
          <w:bCs/>
          <w:color w:val="000000"/>
          <w:szCs w:val="32"/>
          <w:shd w:val="clear" w:color="auto" w:fill="FFFFFF"/>
          <w:lang w:val="en-US" w:eastAsia="zh-CN"/>
        </w:rPr>
        <w:t>二是仲裁拓展推行不够广泛深入，</w:t>
      </w:r>
      <w:r>
        <w:rPr>
          <w:rFonts w:hint="eastAsia" w:ascii="仿宋_GB2312" w:hAnsi="仿宋" w:cs="华文楷体"/>
          <w:bCs/>
          <w:color w:val="000000"/>
          <w:szCs w:val="32"/>
          <w:shd w:val="clear" w:color="auto" w:fill="FFFFFF"/>
          <w:lang w:val="en-US" w:eastAsia="zh-CN"/>
        </w:rPr>
        <w:t>仲裁案件办理效率</w:t>
      </w:r>
      <w:r>
        <w:rPr>
          <w:rFonts w:hint="eastAsia" w:hAnsi="仿宋" w:cs="华文楷体"/>
          <w:bCs/>
          <w:color w:val="000000"/>
          <w:szCs w:val="32"/>
          <w:shd w:val="clear" w:color="auto" w:fill="FFFFFF"/>
          <w:lang w:val="en-US" w:eastAsia="zh-CN"/>
        </w:rPr>
        <w:t>有待提升，</w:t>
      </w:r>
      <w:r>
        <w:rPr>
          <w:rFonts w:hint="default" w:ascii="仿宋_GB2312" w:hAnsi="仿宋" w:cs="华文楷体"/>
          <w:bCs/>
          <w:color w:val="000000"/>
          <w:szCs w:val="32"/>
          <w:shd w:val="clear" w:color="auto" w:fill="FFFFFF"/>
          <w:lang w:val="en-US" w:eastAsia="zh-CN"/>
        </w:rPr>
        <w:t>程序管理与把控还有</w:t>
      </w:r>
      <w:r>
        <w:rPr>
          <w:rFonts w:hint="eastAsia" w:ascii="仿宋_GB2312" w:hAnsi="仿宋" w:cs="华文楷体"/>
          <w:bCs/>
          <w:color w:val="000000"/>
          <w:szCs w:val="32"/>
          <w:shd w:val="clear" w:color="auto" w:fill="FFFFFF"/>
          <w:lang w:val="en-US" w:eastAsia="zh-CN"/>
        </w:rPr>
        <w:t>较大</w:t>
      </w:r>
      <w:r>
        <w:rPr>
          <w:rFonts w:hint="default" w:ascii="仿宋_GB2312" w:hAnsi="仿宋" w:cs="华文楷体"/>
          <w:bCs/>
          <w:color w:val="000000"/>
          <w:szCs w:val="32"/>
          <w:shd w:val="clear" w:color="auto" w:fill="FFFFFF"/>
          <w:lang w:val="en-US" w:eastAsia="zh-CN"/>
        </w:rPr>
        <w:t>优化提升空间</w:t>
      </w:r>
      <w:r>
        <w:rPr>
          <w:rFonts w:hint="eastAsia" w:hAnsi="仿宋" w:cs="华文楷体"/>
          <w:bCs/>
          <w:color w:val="000000"/>
          <w:szCs w:val="32"/>
          <w:shd w:val="clear" w:color="auto" w:fill="FFFFFF"/>
          <w:lang w:val="en-US" w:eastAsia="zh-CN"/>
        </w:rPr>
        <w:t>，</w:t>
      </w:r>
      <w:r>
        <w:rPr>
          <w:rFonts w:hint="eastAsia" w:ascii="仿宋_GB2312" w:hAnsi="仿宋" w:cs="华文楷体"/>
          <w:bCs/>
          <w:color w:val="000000"/>
          <w:szCs w:val="32"/>
          <w:shd w:val="clear" w:color="auto" w:fill="FFFFFF"/>
          <w:lang w:val="en-US" w:eastAsia="zh-CN"/>
        </w:rPr>
        <w:t>畅通案件出口的思路不宽、措施不多，</w:t>
      </w:r>
      <w:r>
        <w:rPr>
          <w:rFonts w:hint="eastAsia" w:hAnsi="仿宋" w:cs="华文楷体"/>
          <w:bCs/>
          <w:color w:val="000000"/>
          <w:szCs w:val="32"/>
          <w:shd w:val="clear" w:color="auto" w:fill="FFFFFF"/>
          <w:lang w:val="en-US" w:eastAsia="zh-CN"/>
        </w:rPr>
        <w:t>与当事人的期盼有差距</w:t>
      </w:r>
      <w:r>
        <w:rPr>
          <w:rFonts w:hint="eastAsia" w:ascii="仿宋_GB2312" w:hAnsi="仿宋" w:cs="华文楷体"/>
          <w:bCs/>
          <w:color w:val="000000"/>
          <w:szCs w:val="32"/>
          <w:shd w:val="clear" w:color="auto" w:fill="FFFFFF"/>
          <w:lang w:val="en-US" w:eastAsia="zh-CN"/>
        </w:rPr>
        <w:t>。</w:t>
      </w:r>
    </w:p>
    <w:p w14:paraId="74EC5658">
      <w:pPr>
        <w:keepNext w:val="0"/>
        <w:keepLines w:val="0"/>
        <w:pageBreakBefore w:val="0"/>
        <w:widowControl w:val="0"/>
        <w:kinsoku/>
        <w:wordWrap/>
        <w:overflowPunct w:val="0"/>
        <w:topLinePunct w:val="0"/>
        <w:autoSpaceDE w:val="0"/>
        <w:autoSpaceDN w:val="0"/>
        <w:bidi w:val="0"/>
        <w:snapToGrid w:val="0"/>
        <w:spacing w:line="560" w:lineRule="exact"/>
        <w:ind w:firstLine="640" w:firstLineChars="200"/>
        <w:textAlignment w:val="auto"/>
        <w:rPr>
          <w:rFonts w:hint="default" w:ascii="仿宋_GB2312" w:hAnsi="仿宋" w:cs="华文楷体"/>
          <w:bCs/>
          <w:color w:val="000000"/>
          <w:szCs w:val="32"/>
          <w:shd w:val="clear" w:color="auto" w:fill="FFFFFF"/>
          <w:lang w:val="en-US" w:eastAsia="zh-CN"/>
        </w:rPr>
      </w:pPr>
      <w:r>
        <w:rPr>
          <w:rFonts w:hint="eastAsia" w:hAnsi="仿宋" w:cs="华文楷体"/>
          <w:bCs/>
          <w:color w:val="000000"/>
          <w:szCs w:val="32"/>
          <w:shd w:val="clear" w:color="auto" w:fill="FFFFFF"/>
          <w:lang w:val="en-US" w:eastAsia="zh-CN"/>
        </w:rPr>
        <w:t>三是</w:t>
      </w:r>
      <w:r>
        <w:rPr>
          <w:rFonts w:hint="eastAsia" w:ascii="仿宋_GB2312" w:hAnsi="仿宋" w:cs="华文楷体"/>
          <w:bCs/>
          <w:color w:val="000000"/>
          <w:szCs w:val="32"/>
          <w:shd w:val="clear" w:color="auto" w:fill="FFFFFF"/>
          <w:lang w:val="en-US" w:eastAsia="zh-CN"/>
        </w:rPr>
        <w:t>特色领域基础工作不够扎实</w:t>
      </w:r>
      <w:r>
        <w:rPr>
          <w:rFonts w:hint="eastAsia" w:hAnsi="仿宋" w:cs="华文楷体"/>
          <w:bCs/>
          <w:color w:val="000000"/>
          <w:szCs w:val="32"/>
          <w:shd w:val="clear" w:color="auto" w:fill="FFFFFF"/>
          <w:lang w:val="en-US" w:eastAsia="zh-CN"/>
        </w:rPr>
        <w:t>，</w:t>
      </w:r>
      <w:r>
        <w:rPr>
          <w:rFonts w:hint="default" w:ascii="仿宋_GB2312" w:hAnsi="仿宋" w:cs="华文楷体"/>
          <w:bCs/>
          <w:color w:val="000000"/>
          <w:szCs w:val="32"/>
          <w:shd w:val="clear" w:color="auto" w:fill="FFFFFF"/>
          <w:lang w:val="en-US" w:eastAsia="zh-CN"/>
        </w:rPr>
        <w:t>青岛自贸片区青岛国际仲裁中心</w:t>
      </w:r>
      <w:r>
        <w:rPr>
          <w:rFonts w:hint="eastAsia" w:ascii="仿宋_GB2312" w:hAnsi="仿宋" w:cs="华文楷体"/>
          <w:bCs/>
          <w:color w:val="000000"/>
          <w:szCs w:val="32"/>
          <w:shd w:val="clear" w:color="auto" w:fill="FFFFFF"/>
          <w:lang w:val="en-US" w:eastAsia="zh-CN"/>
        </w:rPr>
        <w:t>服务平台</w:t>
      </w:r>
      <w:r>
        <w:rPr>
          <w:rFonts w:hint="default" w:ascii="仿宋_GB2312" w:hAnsi="仿宋" w:cs="华文楷体"/>
          <w:bCs/>
          <w:color w:val="000000"/>
          <w:szCs w:val="32"/>
          <w:shd w:val="clear" w:color="auto" w:fill="FFFFFF"/>
          <w:lang w:val="en-US" w:eastAsia="zh-CN"/>
        </w:rPr>
        <w:t>和上合示范区国际仲裁院集聚效应</w:t>
      </w:r>
      <w:r>
        <w:rPr>
          <w:rFonts w:hint="eastAsia" w:hAnsi="仿宋" w:cs="华文楷体"/>
          <w:bCs/>
          <w:color w:val="000000"/>
          <w:szCs w:val="32"/>
          <w:shd w:val="clear" w:color="auto" w:fill="FFFFFF"/>
          <w:lang w:val="en-US" w:eastAsia="zh-CN"/>
        </w:rPr>
        <w:t>不足</w:t>
      </w:r>
      <w:r>
        <w:rPr>
          <w:rFonts w:hint="default" w:ascii="仿宋_GB2312" w:hAnsi="仿宋" w:cs="华文楷体"/>
          <w:bCs/>
          <w:color w:val="000000"/>
          <w:szCs w:val="32"/>
          <w:shd w:val="clear" w:color="auto" w:fill="FFFFFF"/>
          <w:lang w:val="en-US" w:eastAsia="zh-CN"/>
        </w:rPr>
        <w:t>，</w:t>
      </w:r>
      <w:r>
        <w:rPr>
          <w:rFonts w:hint="eastAsia" w:ascii="仿宋_GB2312" w:hAnsi="仿宋" w:cs="华文楷体"/>
          <w:bCs/>
          <w:color w:val="000000"/>
          <w:szCs w:val="32"/>
          <w:shd w:val="clear" w:color="auto" w:fill="FFFFFF"/>
          <w:lang w:val="en-US" w:eastAsia="zh-CN"/>
        </w:rPr>
        <w:t>涉外仲裁、海事海商仲裁</w:t>
      </w:r>
      <w:r>
        <w:rPr>
          <w:rFonts w:hint="eastAsia" w:hAnsi="仿宋" w:cs="华文楷体"/>
          <w:bCs/>
          <w:color w:val="000000"/>
          <w:szCs w:val="32"/>
          <w:shd w:val="clear" w:color="auto" w:fill="FFFFFF"/>
          <w:lang w:val="en-US" w:eastAsia="zh-CN"/>
        </w:rPr>
        <w:t>能力水平有欠缺</w:t>
      </w:r>
      <w:r>
        <w:rPr>
          <w:rFonts w:hint="default" w:ascii="仿宋_GB2312" w:hAnsi="仿宋" w:cs="华文楷体"/>
          <w:bCs/>
          <w:color w:val="000000"/>
          <w:szCs w:val="32"/>
          <w:shd w:val="clear" w:color="auto" w:fill="FFFFFF"/>
          <w:lang w:val="en-US" w:eastAsia="zh-CN"/>
        </w:rPr>
        <w:t>。</w:t>
      </w:r>
    </w:p>
    <w:p w14:paraId="05AC8750">
      <w:pPr>
        <w:keepNext w:val="0"/>
        <w:keepLines w:val="0"/>
        <w:pageBreakBefore w:val="0"/>
        <w:widowControl w:val="0"/>
        <w:kinsoku/>
        <w:wordWrap/>
        <w:overflowPunct w:val="0"/>
        <w:topLinePunct w:val="0"/>
        <w:autoSpaceDE w:val="0"/>
        <w:autoSpaceDN w:val="0"/>
        <w:bidi w:val="0"/>
        <w:snapToGrid w:val="0"/>
        <w:spacing w:line="560" w:lineRule="exact"/>
        <w:ind w:firstLine="640" w:firstLineChars="200"/>
        <w:textAlignment w:val="auto"/>
        <w:rPr>
          <w:rFonts w:hint="eastAsia" w:ascii="黑体" w:hAnsi="黑体" w:eastAsia="黑体" w:cs="黑体"/>
          <w:szCs w:val="32"/>
          <w:lang w:val="en-US" w:eastAsia="zh-CN"/>
        </w:rPr>
      </w:pPr>
      <w:r>
        <w:rPr>
          <w:rFonts w:hint="eastAsia" w:ascii="黑体" w:hAnsi="黑体" w:eastAsia="黑体" w:cs="黑体"/>
          <w:szCs w:val="32"/>
          <w:lang w:val="en-US" w:eastAsia="zh-CN"/>
        </w:rPr>
        <w:t>三、下步打算</w:t>
      </w:r>
    </w:p>
    <w:p w14:paraId="03169DBE">
      <w:pPr>
        <w:keepNext w:val="0"/>
        <w:keepLines w:val="0"/>
        <w:pageBreakBefore w:val="0"/>
        <w:widowControl w:val="0"/>
        <w:kinsoku/>
        <w:wordWrap/>
        <w:overflowPunct w:val="0"/>
        <w:topLinePunct w:val="0"/>
        <w:autoSpaceDE w:val="0"/>
        <w:autoSpaceDN w:val="0"/>
        <w:bidi w:val="0"/>
        <w:snapToGrid w:val="0"/>
        <w:spacing w:line="560" w:lineRule="exact"/>
        <w:ind w:firstLine="640" w:firstLineChars="200"/>
        <w:textAlignment w:val="auto"/>
        <w:rPr>
          <w:rFonts w:hint="eastAsia" w:ascii="黑体" w:hAnsi="黑体"/>
          <w:szCs w:val="32"/>
          <w:lang w:val="en-US" w:eastAsia="zh-CN"/>
        </w:rPr>
      </w:pPr>
      <w:r>
        <w:rPr>
          <w:rFonts w:hint="eastAsia" w:ascii="黑体" w:hAnsi="黑体"/>
          <w:szCs w:val="32"/>
          <w:lang w:val="en-US" w:eastAsia="zh-CN"/>
        </w:rPr>
        <w:t>坚持以习近平新时代中国特色社会主义思想为指导，深入学习贯彻习近平总书记视察山东重要讲话精神，全面落实党的二十届三中全会赋予仲裁的改革发展任务，坚定信心、久久为功，全力推进青岛仲裁事业高质量发展，为奋力推进中国式现代化青岛实践贡献仲裁力量。</w:t>
      </w:r>
    </w:p>
    <w:p w14:paraId="7818B9D4">
      <w:pPr>
        <w:keepNext w:val="0"/>
        <w:keepLines w:val="0"/>
        <w:pageBreakBefore w:val="0"/>
        <w:widowControl w:val="0"/>
        <w:numPr>
          <w:ilvl w:val="0"/>
          <w:numId w:val="0"/>
        </w:numPr>
        <w:tabs>
          <w:tab w:val="left" w:pos="1980"/>
        </w:tabs>
        <w:kinsoku/>
        <w:wordWrap/>
        <w:overflowPunct w:val="0"/>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Times New Roman"/>
          <w:sz w:val="32"/>
          <w:lang w:val="en-US" w:eastAsia="zh-CN"/>
        </w:rPr>
      </w:pPr>
      <w:r>
        <w:rPr>
          <w:rFonts w:hint="eastAsia" w:ascii="楷体_GB2312" w:hAnsi="楷体_GB2312" w:eastAsia="楷体_GB2312" w:cs="楷体_GB2312"/>
          <w:sz w:val="32"/>
          <w:lang w:val="en-US" w:eastAsia="zh-CN"/>
        </w:rPr>
        <w:t>（一）精准发力，拓宽仲裁拓展推行路径。</w:t>
      </w:r>
      <w:r>
        <w:rPr>
          <w:rFonts w:hint="default" w:ascii="仿宋_GB2312" w:hAnsi="仿宋_GB2312" w:eastAsia="仿宋_GB2312" w:cs="Times New Roman"/>
          <w:sz w:val="32"/>
          <w:lang w:val="en-US" w:eastAsia="zh-CN"/>
        </w:rPr>
        <w:t>丰富“知青仲·亲仲裁”品牌内涵，</w:t>
      </w:r>
      <w:r>
        <w:rPr>
          <w:rFonts w:hint="eastAsia" w:cs="Times New Roman"/>
          <w:sz w:val="32"/>
          <w:lang w:val="en-US" w:eastAsia="zh-CN"/>
        </w:rPr>
        <w:t>以面向</w:t>
      </w:r>
      <w:r>
        <w:rPr>
          <w:rFonts w:hint="default" w:ascii="仿宋_GB2312" w:hAnsi="仿宋_GB2312" w:eastAsia="仿宋_GB2312" w:cs="Times New Roman"/>
          <w:sz w:val="32"/>
          <w:lang w:val="en-US" w:eastAsia="zh-CN"/>
        </w:rPr>
        <w:t>“10+1”创新型产业体系、“4+4+2”现代海洋产业体系、十大现代服务业等重点产业</w:t>
      </w:r>
      <w:r>
        <w:rPr>
          <w:rFonts w:hint="eastAsia" w:cs="Times New Roman"/>
          <w:sz w:val="32"/>
          <w:lang w:val="en-US" w:eastAsia="zh-CN"/>
        </w:rPr>
        <w:t>拓展推行为切入点，落实部门间合作机制，</w:t>
      </w:r>
      <w:r>
        <w:rPr>
          <w:rFonts w:hint="default" w:cs="Times New Roman"/>
          <w:sz w:val="32"/>
          <w:lang w:val="en-US" w:eastAsia="zh-CN"/>
        </w:rPr>
        <w:t>为</w:t>
      </w:r>
      <w:r>
        <w:rPr>
          <w:rFonts w:hint="default" w:ascii="仿宋_GB2312" w:hAnsi="仿宋_GB2312" w:eastAsia="仿宋_GB2312" w:cs="Times New Roman"/>
          <w:sz w:val="32"/>
          <w:lang w:val="en-US" w:eastAsia="zh-CN"/>
        </w:rPr>
        <w:t>市场主体提供“订单式”优质仲裁法律服务，推动仲裁服务</w:t>
      </w:r>
      <w:r>
        <w:rPr>
          <w:rFonts w:hint="eastAsia" w:cs="Times New Roman"/>
          <w:sz w:val="32"/>
          <w:lang w:val="en-US" w:eastAsia="zh-CN"/>
        </w:rPr>
        <w:t>深度</w:t>
      </w:r>
      <w:r>
        <w:rPr>
          <w:rFonts w:hint="default" w:ascii="仿宋_GB2312" w:hAnsi="仿宋_GB2312" w:eastAsia="仿宋_GB2312" w:cs="Times New Roman"/>
          <w:sz w:val="32"/>
          <w:lang w:val="en-US" w:eastAsia="zh-CN"/>
        </w:rPr>
        <w:t>融入经济社会发展各领域。</w:t>
      </w:r>
    </w:p>
    <w:p w14:paraId="4491150A">
      <w:pPr>
        <w:keepNext w:val="0"/>
        <w:keepLines w:val="0"/>
        <w:pageBreakBefore w:val="0"/>
        <w:widowControl w:val="0"/>
        <w:numPr>
          <w:ilvl w:val="0"/>
          <w:numId w:val="0"/>
        </w:numPr>
        <w:tabs>
          <w:tab w:val="left" w:pos="1980"/>
        </w:tabs>
        <w:kinsoku/>
        <w:wordWrap/>
        <w:overflowPunct w:val="0"/>
        <w:topLinePunct w:val="0"/>
        <w:autoSpaceDE w:val="0"/>
        <w:autoSpaceDN w:val="0"/>
        <w:bidi w:val="0"/>
        <w:adjustRightInd/>
        <w:snapToGrid/>
        <w:spacing w:line="560" w:lineRule="exact"/>
        <w:ind w:firstLine="640" w:firstLineChars="20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（二）紧扣中心，服务改革发展稳定大局。</w:t>
      </w:r>
      <w:r>
        <w:rPr>
          <w:rFonts w:hint="eastAsia" w:cs="Times New Roman"/>
          <w:sz w:val="32"/>
          <w:lang w:val="en-US" w:eastAsia="zh-CN"/>
        </w:rPr>
        <w:t>用好青岛中央法务区仲裁服务平台，服务保障上合示范区、青岛自贸片区等重大战略实施，努力打造涉外仲裁、海事海商等仲裁服务标杆，扩大青岛仲裁影响力。加强与市、区（市）两级法院和海事法院沟通合作，持续推进仲裁与诉讼、调解有效衔接和监督支持，提升青岛仲裁公信力。</w:t>
      </w:r>
    </w:p>
    <w:p w14:paraId="54B4FC51">
      <w:pPr>
        <w:keepNext w:val="0"/>
        <w:keepLines w:val="0"/>
        <w:pageBreakBefore w:val="0"/>
        <w:widowControl w:val="0"/>
        <w:numPr>
          <w:ilvl w:val="0"/>
          <w:numId w:val="0"/>
        </w:numPr>
        <w:tabs>
          <w:tab w:val="left" w:pos="1980"/>
        </w:tabs>
        <w:kinsoku/>
        <w:wordWrap/>
        <w:overflowPunct w:val="0"/>
        <w:topLinePunct w:val="0"/>
        <w:autoSpaceDE w:val="0"/>
        <w:autoSpaceDN w:val="0"/>
        <w:bidi w:val="0"/>
        <w:adjustRightInd/>
        <w:snapToGrid/>
        <w:spacing w:line="560" w:lineRule="exact"/>
        <w:ind w:firstLine="640" w:firstLineChars="200"/>
        <w:jc w:val="both"/>
        <w:textAlignment w:val="auto"/>
        <w:rPr>
          <w:rFonts w:hint="eastAsia" w:cs="Times New Roman"/>
          <w:sz w:val="32"/>
          <w:lang w:val="en-US" w:eastAsia="zh-CN"/>
        </w:rPr>
      </w:pPr>
      <w:r>
        <w:rPr>
          <w:rFonts w:hint="eastAsia" w:ascii="楷体_GB2312" w:hAnsi="楷体_GB2312" w:eastAsia="楷体_GB2312" w:cs="楷体_GB2312"/>
          <w:sz w:val="32"/>
          <w:lang w:val="en-US" w:eastAsia="zh-CN"/>
        </w:rPr>
        <w:t>（三）巩固提升，抓紧抓实仲裁案件办理。</w:t>
      </w:r>
      <w:r>
        <w:rPr>
          <w:rFonts w:hint="eastAsia" w:ascii="仿宋_GB2312" w:hAnsi="仿宋_GB2312" w:eastAsia="仿宋_GB2312" w:cs="Times New Roman"/>
          <w:sz w:val="32"/>
          <w:lang w:val="en-US" w:eastAsia="zh-CN"/>
        </w:rPr>
        <w:t>全面推动“亲和仲裁”具象化</w:t>
      </w:r>
      <w:r>
        <w:rPr>
          <w:rFonts w:hint="eastAsia" w:cs="Times New Roman"/>
          <w:sz w:val="32"/>
          <w:lang w:val="en-US" w:eastAsia="zh-CN"/>
        </w:rPr>
        <w:t>落地实施，改进当事人仲裁体验</w:t>
      </w:r>
      <w:r>
        <w:rPr>
          <w:rFonts w:hint="eastAsia" w:ascii="仿宋_GB2312" w:hAnsi="仿宋_GB2312" w:eastAsia="仿宋_GB2312" w:cs="Times New Roman"/>
          <w:sz w:val="32"/>
          <w:lang w:val="en-US" w:eastAsia="zh-CN"/>
        </w:rPr>
        <w:t>。</w:t>
      </w:r>
      <w:r>
        <w:rPr>
          <w:rFonts w:hint="eastAsia" w:cs="Times New Roman"/>
          <w:sz w:val="32"/>
          <w:lang w:val="en-US" w:eastAsia="zh-CN"/>
        </w:rPr>
        <w:t>修订完善仲裁规则、互联网仲裁规则，</w:t>
      </w:r>
      <w:r>
        <w:rPr>
          <w:rFonts w:hint="default" w:cs="Times New Roman"/>
          <w:sz w:val="32"/>
          <w:lang w:val="en-US" w:eastAsia="zh-CN"/>
        </w:rPr>
        <w:t>建设</w:t>
      </w:r>
      <w:r>
        <w:rPr>
          <w:rFonts w:hint="eastAsia" w:cs="Times New Roman"/>
          <w:sz w:val="32"/>
          <w:lang w:val="en-US" w:eastAsia="zh-CN"/>
        </w:rPr>
        <w:t>具有青岛特色、与国际通行规则相融通的规则制度体系。提升仲裁案件办理质效，推动案件审得快、结得多</w:t>
      </w:r>
      <w:r>
        <w:rPr>
          <w:rFonts w:hint="default" w:cs="Times New Roman"/>
          <w:sz w:val="32"/>
          <w:lang w:val="en-US" w:eastAsia="zh-CN"/>
        </w:rPr>
        <w:t>、</w:t>
      </w:r>
      <w:r>
        <w:rPr>
          <w:rFonts w:hint="eastAsia" w:cs="Times New Roman"/>
          <w:sz w:val="32"/>
          <w:lang w:val="en-US" w:eastAsia="zh-CN"/>
        </w:rPr>
        <w:t>办得好。</w:t>
      </w:r>
    </w:p>
    <w:p w14:paraId="1508A553">
      <w:pPr>
        <w:keepNext w:val="0"/>
        <w:keepLines w:val="0"/>
        <w:pageBreakBefore w:val="0"/>
        <w:widowControl w:val="0"/>
        <w:numPr>
          <w:ilvl w:val="0"/>
          <w:numId w:val="0"/>
        </w:numPr>
        <w:tabs>
          <w:tab w:val="left" w:pos="1980"/>
        </w:tabs>
        <w:kinsoku/>
        <w:wordWrap/>
        <w:overflowPunct w:val="0"/>
        <w:topLinePunct w:val="0"/>
        <w:autoSpaceDE w:val="0"/>
        <w:autoSpaceDN w:val="0"/>
        <w:bidi w:val="0"/>
        <w:adjustRightInd/>
        <w:snapToGrid/>
        <w:spacing w:line="560" w:lineRule="exact"/>
        <w:ind w:left="0" w:leftChars="0" w:firstLine="4160" w:firstLineChars="1300"/>
        <w:jc w:val="center"/>
        <w:textAlignment w:val="auto"/>
        <w:rPr>
          <w:rFonts w:hint="eastAsia" w:cs="Times New Roman"/>
          <w:sz w:val="32"/>
          <w:lang w:val="en-US" w:eastAsia="zh-CN"/>
        </w:rPr>
      </w:pPr>
    </w:p>
    <w:p w14:paraId="412A43E4">
      <w:pPr>
        <w:keepNext w:val="0"/>
        <w:keepLines w:val="0"/>
        <w:pageBreakBefore w:val="0"/>
        <w:widowControl w:val="0"/>
        <w:numPr>
          <w:ilvl w:val="0"/>
          <w:numId w:val="0"/>
        </w:numPr>
        <w:tabs>
          <w:tab w:val="left" w:pos="1980"/>
        </w:tabs>
        <w:kinsoku/>
        <w:wordWrap/>
        <w:overflowPunct w:val="0"/>
        <w:topLinePunct w:val="0"/>
        <w:autoSpaceDE w:val="0"/>
        <w:autoSpaceDN w:val="0"/>
        <w:bidi w:val="0"/>
        <w:adjustRightInd/>
        <w:snapToGrid/>
        <w:spacing w:line="560" w:lineRule="exact"/>
        <w:ind w:left="0" w:leftChars="0" w:firstLine="4160" w:firstLineChars="1300"/>
        <w:jc w:val="center"/>
        <w:textAlignment w:val="auto"/>
        <w:rPr>
          <w:rFonts w:hint="eastAsia" w:cs="Times New Roman"/>
          <w:sz w:val="32"/>
          <w:lang w:val="en-US" w:eastAsia="zh-CN"/>
        </w:rPr>
      </w:pPr>
    </w:p>
    <w:p w14:paraId="39DD9AAC">
      <w:pPr>
        <w:keepNext w:val="0"/>
        <w:keepLines w:val="0"/>
        <w:pageBreakBefore w:val="0"/>
        <w:widowControl w:val="0"/>
        <w:numPr>
          <w:ilvl w:val="0"/>
          <w:numId w:val="0"/>
        </w:numPr>
        <w:tabs>
          <w:tab w:val="left" w:pos="1980"/>
        </w:tabs>
        <w:kinsoku/>
        <w:wordWrap/>
        <w:overflowPunct w:val="0"/>
        <w:topLinePunct w:val="0"/>
        <w:autoSpaceDE w:val="0"/>
        <w:autoSpaceDN w:val="0"/>
        <w:bidi w:val="0"/>
        <w:adjustRightInd/>
        <w:snapToGrid/>
        <w:spacing w:line="560" w:lineRule="exact"/>
        <w:ind w:left="0" w:leftChars="0" w:firstLine="4160" w:firstLineChars="1300"/>
        <w:jc w:val="center"/>
        <w:textAlignment w:val="auto"/>
        <w:rPr>
          <w:rFonts w:hint="eastAsia" w:cs="Times New Roman"/>
          <w:sz w:val="32"/>
          <w:lang w:val="en-US" w:eastAsia="zh-CN"/>
        </w:rPr>
      </w:pPr>
    </w:p>
    <w:p w14:paraId="722D787E">
      <w:pPr>
        <w:keepNext w:val="0"/>
        <w:keepLines w:val="0"/>
        <w:pageBreakBefore w:val="0"/>
        <w:widowControl w:val="0"/>
        <w:numPr>
          <w:ilvl w:val="0"/>
          <w:numId w:val="0"/>
        </w:numPr>
        <w:tabs>
          <w:tab w:val="left" w:pos="1980"/>
        </w:tabs>
        <w:kinsoku/>
        <w:wordWrap/>
        <w:overflowPunct w:val="0"/>
        <w:topLinePunct w:val="0"/>
        <w:autoSpaceDE w:val="0"/>
        <w:autoSpaceDN w:val="0"/>
        <w:bidi w:val="0"/>
        <w:adjustRightInd/>
        <w:snapToGrid/>
        <w:spacing w:line="560" w:lineRule="exact"/>
        <w:ind w:left="0" w:leftChars="0" w:firstLine="5440" w:firstLineChars="1700"/>
        <w:jc w:val="both"/>
        <w:textAlignment w:val="auto"/>
        <w:rPr>
          <w:rFonts w:hint="eastAsia" w:cs="Times New Roman"/>
          <w:sz w:val="32"/>
          <w:lang w:val="en-US" w:eastAsia="zh-CN"/>
        </w:rPr>
      </w:pPr>
      <w:r>
        <w:rPr>
          <w:rFonts w:hint="eastAsia" w:cs="Times New Roman"/>
          <w:sz w:val="32"/>
          <w:lang w:val="en-US" w:eastAsia="zh-CN"/>
        </w:rPr>
        <w:t>青岛仲裁办</w:t>
      </w:r>
    </w:p>
    <w:p w14:paraId="13D351CD">
      <w:pPr>
        <w:keepNext w:val="0"/>
        <w:keepLines w:val="0"/>
        <w:pageBreakBefore w:val="0"/>
        <w:widowControl w:val="0"/>
        <w:numPr>
          <w:ilvl w:val="0"/>
          <w:numId w:val="0"/>
        </w:numPr>
        <w:tabs>
          <w:tab w:val="left" w:pos="1980"/>
        </w:tabs>
        <w:kinsoku/>
        <w:wordWrap/>
        <w:overflowPunct w:val="0"/>
        <w:topLinePunct w:val="0"/>
        <w:autoSpaceDE w:val="0"/>
        <w:autoSpaceDN w:val="0"/>
        <w:bidi w:val="0"/>
        <w:adjustRightInd/>
        <w:snapToGrid/>
        <w:spacing w:line="560" w:lineRule="exact"/>
        <w:ind w:left="0" w:leftChars="0" w:firstLine="4160" w:firstLineChars="1300"/>
        <w:jc w:val="center"/>
        <w:textAlignment w:val="auto"/>
        <w:rPr>
          <w:rFonts w:hint="default" w:cs="Times New Roman"/>
          <w:sz w:val="32"/>
          <w:lang w:val="en-US" w:eastAsia="zh-CN"/>
        </w:rPr>
      </w:pPr>
      <w:r>
        <w:rPr>
          <w:rFonts w:hint="eastAsia" w:cs="Times New Roman"/>
          <w:sz w:val="32"/>
          <w:lang w:val="en-US" w:eastAsia="zh-CN"/>
        </w:rPr>
        <w:t xml:space="preserve">        2025年7月25日</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07B" wne:mask="1"/>
    <wne:keymap wne:kcmPrimary="0643">
      <wne:fci wne:fciName="FileSaveAs"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C1F0">
    <w:pPr>
      <w:pStyle w:val="2"/>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6951B">
                          <w:pPr>
                            <w:pStyle w:val="2"/>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F6951B">
                    <w:pPr>
                      <w:pStyle w:val="2"/>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46578"/>
    <w:rsid w:val="04E24E94"/>
    <w:rsid w:val="04EE163D"/>
    <w:rsid w:val="0B705C98"/>
    <w:rsid w:val="0BB838C0"/>
    <w:rsid w:val="0E4534F3"/>
    <w:rsid w:val="0E8C2C83"/>
    <w:rsid w:val="10B647F9"/>
    <w:rsid w:val="13B974FE"/>
    <w:rsid w:val="13E93B05"/>
    <w:rsid w:val="14E56FEF"/>
    <w:rsid w:val="15832673"/>
    <w:rsid w:val="15E45152"/>
    <w:rsid w:val="1B3B7936"/>
    <w:rsid w:val="1C7F8465"/>
    <w:rsid w:val="20C55B80"/>
    <w:rsid w:val="23EC55B2"/>
    <w:rsid w:val="27EB2370"/>
    <w:rsid w:val="280E564B"/>
    <w:rsid w:val="2D20516B"/>
    <w:rsid w:val="31726692"/>
    <w:rsid w:val="318F1FBE"/>
    <w:rsid w:val="37AE1209"/>
    <w:rsid w:val="37D13DAE"/>
    <w:rsid w:val="3B547DD5"/>
    <w:rsid w:val="3BE711DF"/>
    <w:rsid w:val="3DEB2C72"/>
    <w:rsid w:val="41831414"/>
    <w:rsid w:val="46A47E62"/>
    <w:rsid w:val="519D4890"/>
    <w:rsid w:val="535924F8"/>
    <w:rsid w:val="55ED7906"/>
    <w:rsid w:val="56AB0ECC"/>
    <w:rsid w:val="59C60694"/>
    <w:rsid w:val="5D6E44E6"/>
    <w:rsid w:val="60673F83"/>
    <w:rsid w:val="61553CB8"/>
    <w:rsid w:val="61642270"/>
    <w:rsid w:val="656C5B97"/>
    <w:rsid w:val="70AE206F"/>
    <w:rsid w:val="75FEFD7C"/>
    <w:rsid w:val="76A72ED3"/>
    <w:rsid w:val="76B7B4F3"/>
    <w:rsid w:val="7A625EB6"/>
    <w:rsid w:val="7B194D72"/>
    <w:rsid w:val="7B4E6013"/>
    <w:rsid w:val="7C800451"/>
    <w:rsid w:val="7E0429B9"/>
    <w:rsid w:val="7E37354E"/>
    <w:rsid w:val="CDF7A425"/>
    <w:rsid w:val="F5FB046C"/>
    <w:rsid w:val="F76DB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仿宋_GB2312" w:hAnsi="仿宋_GB2312" w:eastAsia="仿宋_GB2312"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spacing w:line="560" w:lineRule="exact"/>
      <w:ind w:firstLine="420" w:firstLineChars="200"/>
      <w:jc w:val="left"/>
    </w:pPr>
    <w:rPr>
      <w:rFonts w:ascii="仿宋_GB2312" w:hAnsi="仿宋_GB2312" w:eastAsia="仿宋_GB2312" w:cstheme="minorBidi"/>
      <w:kern w:val="2"/>
      <w:sz w:val="18"/>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Hyperlink"/>
    <w:basedOn w:val="6"/>
    <w:qFormat/>
    <w:uiPriority w:val="0"/>
    <w:rPr>
      <w:color w:val="0000FF"/>
      <w:u w:val="single"/>
    </w:rPr>
  </w:style>
  <w:style w:type="paragraph" w:styleId="8">
    <w:name w:val="List Paragraph"/>
    <w:qFormat/>
    <w:uiPriority w:val="34"/>
    <w:pPr>
      <w:widowControl w:val="0"/>
      <w:spacing w:line="560" w:lineRule="exact"/>
      <w:ind w:firstLine="420" w:firstLineChars="200"/>
      <w:jc w:val="both"/>
    </w:pPr>
    <w:rPr>
      <w:rFonts w:ascii="仿宋_GB2312" w:eastAsia="仿宋_GB2312"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2963</Words>
  <Characters>3029</Characters>
  <Lines>0</Lines>
  <Paragraphs>0</Paragraphs>
  <TotalTime>18</TotalTime>
  <ScaleCrop>false</ScaleCrop>
  <LinksUpToDate>false</LinksUpToDate>
  <CharactersWithSpaces>3038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2024-04-12T18:19:00Z</dcterms:created>
  <dc:creator>Administrator</dc:creator>
  <cp:lastModifiedBy>梦雪</cp:lastModifiedBy>
  <cp:lastPrinted>2025-07-22T08:50:00Z</cp:lastPrinted>
  <dcterms:modified xsi:type="dcterms:W3CDTF">2025-07-25T02:07:05Z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5666893645AD46ECAD9865F3D44FD78A_13</vt:lpwstr>
  </property>
  <property fmtid="{D5CDD505-2E9C-101B-9397-08002B2CF9AE}" pid="4" name="KSOTemplateDocerSaveRecord">
    <vt:lpwstr>eyJoZGlkIjoiNjA3YzZjNGNiZjE0Mzg4NTI0ODcyOGQyNWNmYzE1YzYiLCJ1c2VySWQiOiIyMDc1OTQwNzMifQ==</vt:lpwstr>
  </property>
</Properties>
</file>