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spacing w:before="472" w:line="219" w:lineRule="auto"/>
        <w:outlineLvl w:val="0"/>
        <w:jc w:val="right"/>
        <w:rPr>
          <w:rFonts w:ascii="SimSun" w:hAnsi="SimSun" w:eastAsia="SimSun" w:cs="SimSun"/>
          <w:sz w:val="145"/>
          <w:szCs w:val="145"/>
        </w:rPr>
      </w:pPr>
      <w:r>
        <w:rPr>
          <w:rFonts w:ascii="SimSun" w:hAnsi="SimSun" w:eastAsia="SimSun" w:cs="SimSun"/>
          <w:sz w:val="145"/>
          <w:szCs w:val="145"/>
          <w:b/>
          <w:bCs/>
          <w:color w:val="E02020"/>
          <w:spacing w:val="-80"/>
          <w:w w:val="48"/>
        </w:rPr>
        <w:t>青岛</w:t>
      </w:r>
      <w:r>
        <w:rPr>
          <w:rFonts w:ascii="SimSun" w:hAnsi="SimSun" w:eastAsia="SimSun" w:cs="SimSun"/>
          <w:sz w:val="145"/>
          <w:szCs w:val="145"/>
          <w:b/>
          <w:bCs/>
          <w:color w:val="E02020"/>
          <w:spacing w:val="-79"/>
          <w:w w:val="48"/>
        </w:rPr>
        <w:t>市即墨区发展和改革局文</w:t>
      </w:r>
      <w:r>
        <w:rPr>
          <w:rFonts w:ascii="SimSun" w:hAnsi="SimSun" w:eastAsia="SimSun" w:cs="SimSun"/>
          <w:sz w:val="145"/>
          <w:szCs w:val="145"/>
          <w:b/>
          <w:bCs/>
          <w:color w:val="E02020"/>
          <w:spacing w:val="-63"/>
          <w:w w:val="48"/>
        </w:rPr>
        <w:t>件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300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青即发改价〔2023〕4号</w:t>
      </w:r>
    </w:p>
    <w:p>
      <w:pPr>
        <w:ind w:firstLine="60"/>
        <w:spacing w:before="16" w:line="30" w:lineRule="exact"/>
        <w:rPr/>
      </w:pPr>
      <w:r>
        <w:rPr/>
        <w:drawing>
          <wp:inline distT="0" distB="0" distL="0" distR="0">
            <wp:extent cx="5632434" cy="1911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2434" cy="1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2077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青岛市即墨区发展和改革局</w:t>
      </w:r>
    </w:p>
    <w:p>
      <w:pPr>
        <w:ind w:left="947"/>
        <w:spacing w:before="108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2"/>
        </w:rPr>
        <w:t>关于明确青岛海润丰供水有限责任公司</w:t>
      </w:r>
    </w:p>
    <w:p>
      <w:pPr>
        <w:ind w:left="2277"/>
        <w:spacing w:before="26" w:line="21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农村公共供水价格的复函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27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青岛海润丰供水有限责任公司：</w:t>
      </w:r>
    </w:p>
    <w:p>
      <w:pPr>
        <w:ind w:left="270" w:firstLine="640"/>
        <w:spacing w:before="185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你公司《关于申请农村公共供水价格的请示》收悉。为进一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步加强农村公共供水价格管理，维护供用水双方合法权益，保障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饮水安全，促进节约用水，根据《青岛市发展和改革委员会、青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岛市水务管理局、青岛市财政局关于加强农村公共供水价格管理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的实施意见》(青发改价格〔2020〕190号)等有关规定，现将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你公司供水范围内农村公共供水价格函复如下：</w:t>
      </w:r>
    </w:p>
    <w:p>
      <w:pPr>
        <w:spacing w:line="335" w:lineRule="auto"/>
        <w:sectPr>
          <w:footerReference w:type="default" r:id="rId1"/>
          <w:pgSz w:w="11870" w:h="16820"/>
          <w:pgMar w:top="1429" w:right="1413" w:bottom="1129" w:left="1319" w:header="0" w:footer="75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61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一、供水价格</w:t>
      </w:r>
    </w:p>
    <w:p>
      <w:pPr>
        <w:spacing w:before="199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(一)农村居民生活用水供水价格最高为每立方米2.</w:t>
      </w:r>
      <w:r>
        <w:rPr>
          <w:rFonts w:ascii="FangSong" w:hAnsi="FangSong" w:eastAsia="FangSong" w:cs="FangSong"/>
          <w:sz w:val="31"/>
          <w:szCs w:val="31"/>
          <w:spacing w:val="15"/>
        </w:rPr>
        <w:t>50元。</w:t>
      </w:r>
    </w:p>
    <w:p>
      <w:pPr>
        <w:ind w:left="749"/>
        <w:spacing w:before="2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(二)非居民用水供水价格最高为每立方米3.50元。</w:t>
      </w:r>
    </w:p>
    <w:p>
      <w:pPr>
        <w:ind w:right="135" w:firstLine="749"/>
        <w:spacing w:before="196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(三)特种用水</w:t>
      </w:r>
      <w:r>
        <w:rPr>
          <w:rFonts w:ascii="KaiTi" w:hAnsi="KaiTi" w:eastAsia="KaiTi" w:cs="KaiTi"/>
          <w:sz w:val="31"/>
          <w:szCs w:val="31"/>
          <w:spacing w:val="11"/>
        </w:rPr>
        <w:t>(包括洗浴、洗车用水，高尔夫球场用水)供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水价格最高为每立方米14.75元。</w:t>
      </w:r>
    </w:p>
    <w:p>
      <w:pPr>
        <w:ind w:left="614"/>
        <w:spacing w:before="20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二、其它事项</w:t>
      </w:r>
    </w:p>
    <w:p>
      <w:pPr>
        <w:ind w:right="76" w:firstLine="749"/>
        <w:spacing w:before="200" w:line="30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(一)农村居民生活用水、非居民用水、特种用水试行价格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实施范围为青岛海润丰供水有限责任公司农村供水管网范</w:t>
      </w:r>
      <w:r>
        <w:rPr>
          <w:rFonts w:ascii="FangSong" w:hAnsi="FangSong" w:eastAsia="FangSong" w:cs="FangSong"/>
          <w:sz w:val="31"/>
          <w:szCs w:val="31"/>
          <w:spacing w:val="9"/>
        </w:rPr>
        <w:t>围内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抄表到户的用水户。</w:t>
      </w:r>
    </w:p>
    <w:p>
      <w:pPr>
        <w:ind w:right="106" w:firstLine="749"/>
        <w:spacing w:before="179" w:line="28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(二)供水企业要认真做好水价政策的宣传解释工作，严格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落实水价政策，不断提高服务质量和管理水平。</w:t>
      </w:r>
    </w:p>
    <w:p>
      <w:pPr>
        <w:ind w:left="614"/>
        <w:spacing w:before="210" w:line="21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三、</w:t>
      </w:r>
      <w:r>
        <w:rPr>
          <w:rFonts w:ascii="SimHei" w:hAnsi="SimHei" w:eastAsia="SimHei" w:cs="SimHei"/>
          <w:sz w:val="31"/>
          <w:szCs w:val="31"/>
          <w:spacing w:val="29"/>
        </w:rPr>
        <w:t>本批复自2023年7月6日起执行。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450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3397203</wp:posOffset>
            </wp:positionH>
            <wp:positionV relativeFrom="paragraph">
              <wp:posOffset>-678764</wp:posOffset>
            </wp:positionV>
            <wp:extent cx="1543067" cy="154934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67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9"/>
        </w:rPr>
        <w:t>青岛市即墨区发展和改革局</w:t>
      </w:r>
    </w:p>
    <w:p>
      <w:pPr>
        <w:ind w:left="5449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0"/>
        </w:rPr>
        <w:t>2023年7月3日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>
        <w:pict>
          <v:shape id="_x0000_s2" style="position:absolute;margin-left:8.74892pt;margin-top:10.7566pt;mso-position-vertical-relative:text;mso-position-horizontal-relative:text;width:431.5pt;height:0.5pt;z-index:251658240;" filled="false" strokecolor="#000000" strokeweight="0.50pt" coordsize="8630,10" coordorigin="0,0" path="m0,5l5200,5m5200,5l8629,5e">
            <v:stroke joinstyle="miter" miterlimit="10"/>
          </v:shape>
        </w:pict>
      </w:r>
      <w:r/>
    </w:p>
    <w:p>
      <w:pPr>
        <w:ind w:left="190"/>
        <w:spacing w:before="112" w:line="219" w:lineRule="auto"/>
        <w:rPr>
          <w:rFonts w:ascii="SimSun" w:hAnsi="SimSun" w:eastAsia="SimSun" w:cs="SimSun"/>
          <w:sz w:val="34"/>
          <w:szCs w:val="34"/>
        </w:rPr>
      </w:pPr>
      <w:r>
        <w:pict>
          <v:shape id="_x0000_s4" style="position:absolute;margin-left:8.74892pt;margin-top:28.9342pt;mso-position-vertical-relative:text;mso-position-horizontal-relative:text;width:431.5pt;height:0.5pt;z-index:251659264;" filled="false" strokecolor="#000000" strokeweight="0.50pt" coordsize="8630,10" coordorigin="0,0" path="m0,5l5200,5m5200,5l8629,5e">
            <v:stroke joinstyle="miter" miterlimit="10"/>
          </v:shape>
        </w:pict>
      </w:r>
      <w:r>
        <w:rPr>
          <w:rFonts w:ascii="SimSun" w:hAnsi="SimSun" w:eastAsia="SimSun" w:cs="SimSun"/>
          <w:sz w:val="34"/>
          <w:szCs w:val="34"/>
          <w:spacing w:val="-11"/>
        </w:rPr>
        <w:t>青岛市即墨区发展和改革局办公室</w:t>
      </w:r>
      <w:r>
        <w:rPr>
          <w:rFonts w:ascii="SimSun" w:hAnsi="SimSun" w:eastAsia="SimSun" w:cs="SimSun"/>
          <w:sz w:val="34"/>
          <w:szCs w:val="34"/>
          <w:spacing w:val="31"/>
        </w:rPr>
        <w:t xml:space="preserve">    </w:t>
      </w:r>
      <w:r>
        <w:rPr>
          <w:rFonts w:ascii="SimSun" w:hAnsi="SimSun" w:eastAsia="SimSun" w:cs="SimSun"/>
          <w:sz w:val="34"/>
          <w:szCs w:val="34"/>
          <w:spacing w:val="-11"/>
        </w:rPr>
        <w:t>2023年7月3日印发</w:t>
      </w:r>
    </w:p>
    <w:sectPr>
      <w:footerReference w:type="default" r:id="rId3"/>
      <w:pgSz w:w="11870" w:h="16820"/>
      <w:pgMar w:top="1429" w:right="1344" w:bottom="1206" w:left="1580" w:header="0" w:footer="8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5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9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—2—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2025-06-11T15:02:21Z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2025-06-11T15:02:21</vt:filetime>
  </property>
  <property fmtid="{D5CDD505-2E9C-101B-9397-08002B2CF9AE}" pid="4" name="UsrData">
    <vt:lpwstr>684929fb7ff865001f749c4fwl</vt:lpwstr>
  </property>
</Properties>
</file>