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青岛旅游学校2024-2025学年度</w:t>
      </w:r>
    </w:p>
    <w:p>
      <w:pPr>
        <w:keepNext w:val="0"/>
        <w:keepLines w:val="0"/>
        <w:pageBreakBefore w:val="0"/>
        <w:widowControl w:val="0"/>
        <w:kinsoku/>
        <w:wordWrap/>
        <w:overflowPunct/>
        <w:topLinePunct w:val="0"/>
        <w:autoSpaceDE/>
        <w:autoSpaceDN/>
        <w:bidi w:val="0"/>
        <w:adjustRightInd/>
        <w:snapToGrid w:val="0"/>
        <w:ind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第一学期工作计划</w:t>
      </w:r>
    </w:p>
    <w:p>
      <w:pPr>
        <w:keepNext w:val="0"/>
        <w:keepLines w:val="0"/>
        <w:pageBreakBefore w:val="0"/>
        <w:widowControl w:val="0"/>
        <w:kinsoku/>
        <w:wordWrap/>
        <w:overflowPunct/>
        <w:topLinePunct w:val="0"/>
        <w:autoSpaceDE/>
        <w:autoSpaceDN/>
        <w:bidi w:val="0"/>
        <w:adjustRightInd/>
        <w:snapToGrid w:val="0"/>
        <w:ind w:firstLine="883" w:firstLineChars="200"/>
        <w:jc w:val="center"/>
        <w:textAlignment w:val="auto"/>
        <w:rPr>
          <w:rFonts w:hint="eastAsia" w:ascii="方正小标宋简体" w:hAnsi="方正小标宋简体" w:eastAsia="方正小标宋简体" w:cs="方正小标宋简体"/>
          <w:b/>
          <w:bCs/>
          <w:sz w:val="44"/>
          <w:szCs w:val="44"/>
        </w:rPr>
      </w:pPr>
      <w:bookmarkStart w:id="0" w:name="_GoBack"/>
      <w:bookmarkEnd w:id="0"/>
    </w:p>
    <w:p>
      <w:pPr>
        <w:pStyle w:val="12"/>
        <w:spacing w:line="560" w:lineRule="exact"/>
        <w:ind w:firstLine="640" w:firstLineChars="200"/>
        <w:rPr>
          <w:rFonts w:hAnsi="黑体" w:cs="黑体"/>
          <w:color w:val="000000" w:themeColor="text1"/>
          <w:sz w:val="32"/>
          <w:szCs w:val="32"/>
          <w14:textFill>
            <w14:solidFill>
              <w14:schemeClr w14:val="tx1"/>
            </w14:solidFill>
          </w14:textFill>
        </w:rPr>
      </w:pPr>
      <w:r>
        <w:rPr>
          <w:rFonts w:hint="eastAsia" w:hAnsi="方正仿宋_GB2312" w:cs="方正仿宋_GB2312"/>
          <w:color w:val="000000" w:themeColor="text1"/>
          <w:sz w:val="32"/>
          <w:szCs w:val="32"/>
          <w:shd w:val="clear" w:color="auto" w:fill="FFFFFF"/>
          <w14:textFill>
            <w14:solidFill>
              <w14:schemeClr w14:val="tx1"/>
            </w14:solidFill>
          </w14:textFill>
        </w:rPr>
        <w:t>本学期学校工作总体思路是：以习近平新时代中国特色社会主义思想为指导，深入贯彻落实党的二十大精神，二十届三中全会精神，全面贯彻党的教育方针,将《2024年青岛市教育工作要点》《青岛市职业教育创新发展三年计划》等文件精神融入学校发展，加强党对教育工作的全面领导，落实立德树人根本任务，完善学校内部治理体系，深化专业建设改革，强化教师素质提升，全面推动学校高质量、特色化发展，努力办好人民满意的现代化职业学校。</w:t>
      </w:r>
    </w:p>
    <w:p>
      <w:pPr>
        <w:autoSpaceDE w:val="0"/>
        <w:autoSpaceDN w:val="0"/>
        <w:adjustRightInd w:val="0"/>
        <w:snapToGri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一、坚持党的全面领导，提升学校治理水平</w:t>
      </w:r>
    </w:p>
    <w:p>
      <w:pPr>
        <w:spacing w:line="560" w:lineRule="exact"/>
        <w:ind w:firstLine="643" w:firstLineChars="200"/>
        <w:rPr>
          <w:rFonts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1.加强党的全面领导，落实全面从严治党主体责任。</w:t>
      </w:r>
      <w:r>
        <w:rPr>
          <w:rFonts w:hint="eastAsia"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t>组织全体师生认真学习贯彻党的二十届三中全会精神，确保理论学习有收获、思想认识有进步、行动实践有突破。健全党组织领导的校长负责制运行机制，确保党的领导有力有效。推进“履责之旅1+N”工作品牌矩阵建设，各项工作争一流、创品牌。落实班子成员履行意识形态责任，实行重点时段舆情监测机制。落实好《中共青岛旅游学校委员会党支部评星定级实施办法（试行）》，提高党组织活力和党务工作者业务能力。落实好《青岛旅游学校党员干部联系服务群众制度》，加强一线调研，改进工作作风。</w:t>
      </w:r>
    </w:p>
    <w:p>
      <w:pPr>
        <w:spacing w:line="560" w:lineRule="exact"/>
        <w:ind w:firstLine="643" w:firstLineChars="200"/>
        <w:rPr>
          <w:rFonts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2.深入推进现代学校制度建设，提升治理效能。</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扎实做好年度考核、岗位竞</w:t>
      </w:r>
      <w:r>
        <w:rPr>
          <w:rFonts w:hint="eastAsia" w:ascii="仿宋_GB2312" w:hAnsi="方正仿宋_GB2312" w:eastAsia="仿宋_GB2312" w:cs="方正仿宋_GB2312"/>
          <w:color w:val="000000" w:themeColor="text1"/>
          <w:sz w:val="32"/>
          <w:szCs w:val="32"/>
          <w14:textFill>
            <w14:solidFill>
              <w14:schemeClr w14:val="tx1"/>
            </w14:solidFill>
          </w14:textFill>
        </w:rPr>
        <w:t>聘、职称评审工作，确保科学性、有效性。</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针对学校制度进行调研，</w:t>
      </w:r>
      <w:r>
        <w:rPr>
          <w:rFonts w:hint="eastAsia" w:ascii="仿宋_GB2312" w:hAnsi="方正仿宋_GB2312" w:eastAsia="仿宋_GB2312" w:cs="方正仿宋_GB2312"/>
          <w:color w:val="000000" w:themeColor="text1"/>
          <w:sz w:val="32"/>
          <w:szCs w:val="32"/>
          <w14:textFill>
            <w14:solidFill>
              <w14:schemeClr w14:val="tx1"/>
            </w14:solidFill>
          </w14:textFill>
        </w:rPr>
        <w:t>广泛征求意见,</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不断</w:t>
      </w:r>
      <w:r>
        <w:rPr>
          <w:rFonts w:hint="eastAsia" w:ascii="仿宋_GB2312" w:hAnsi="方正仿宋_GB2312" w:eastAsia="仿宋_GB2312" w:cs="方正仿宋_GB2312"/>
          <w:color w:val="000000" w:themeColor="text1"/>
          <w:sz w:val="32"/>
          <w:szCs w:val="32"/>
          <w14:textFill>
            <w14:solidFill>
              <w14:schemeClr w14:val="tx1"/>
            </w14:solidFill>
          </w14:textFill>
        </w:rPr>
        <w:t>完善制度修订</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工作</w:t>
      </w:r>
      <w:r>
        <w:rPr>
          <w:rFonts w:hint="eastAsia" w:ascii="仿宋_GB2312" w:hAnsi="方正仿宋_GB2312" w:eastAsia="仿宋_GB2312" w:cs="方正仿宋_GB2312"/>
          <w:color w:val="000000" w:themeColor="text1"/>
          <w:sz w:val="32"/>
          <w:szCs w:val="32"/>
          <w14:textFill>
            <w14:solidFill>
              <w14:schemeClr w14:val="tx1"/>
            </w14:solidFill>
          </w14:textFill>
        </w:rPr>
        <w:t>，提高内部治理规范化，制定《风险摸排制度汇编》，修改完成《</w:t>
      </w:r>
      <w:r>
        <w:rPr>
          <w:rFonts w:hint="eastAsia"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t>青岛旅游学校制度汇编2024修订本》。</w:t>
      </w:r>
      <w:r>
        <w:rPr>
          <w:rFonts w:hint="eastAsia" w:ascii="仿宋_GB2312" w:hAnsi="方正仿宋_GB2312" w:eastAsia="仿宋_GB2312" w:cs="方正仿宋_GB2312"/>
          <w:color w:val="000000" w:themeColor="text1"/>
          <w:sz w:val="32"/>
          <w:szCs w:val="32"/>
          <w14:textFill>
            <w14:solidFill>
              <w14:schemeClr w14:val="tx1"/>
            </w14:solidFill>
          </w14:textFill>
        </w:rPr>
        <w:t xml:space="preserve">形成学校制度长效修订机制，建立推进流程管理、清单管理。 </w:t>
      </w:r>
    </w:p>
    <w:p>
      <w:pPr>
        <w:widowControl/>
        <w:snapToGrid w:val="0"/>
        <w:spacing w:line="560" w:lineRule="exact"/>
        <w:ind w:firstLine="643" w:firstLineChars="200"/>
        <w:jc w:val="left"/>
        <w:rPr>
          <w:rFonts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3.以清廉校园创建为抓手，深入推进学校依法治理能力。</w:t>
      </w:r>
      <w:r>
        <w:rPr>
          <w:rFonts w:hint="eastAsia" w:ascii="仿宋_GB2312" w:hAnsi="方正仿宋_GB2312" w:eastAsia="仿宋_GB2312" w:cs="方正仿宋_GB2312"/>
          <w:color w:val="000000" w:themeColor="text1"/>
          <w:sz w:val="32"/>
          <w:szCs w:val="32"/>
          <w14:textFill>
            <w14:solidFill>
              <w14:schemeClr w14:val="tx1"/>
            </w14:solidFill>
          </w14:textFill>
        </w:rPr>
        <w:t>做好依法治校示范校特色项目创建</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工作</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。进一步加强法治副校长和法治辅导员队伍建设，深入开展“学宪法讲宪法”和法治体验系列活动，</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组织开发“以案释法”法育通识课程。</w:t>
      </w:r>
      <w:r>
        <w:rPr>
          <w:rFonts w:hint="eastAsia"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t>落实纪委的监督责任，重点工作全程参与监督，积极争创首批清廉校园。开展廉洁教育，把清廉教育内容纳入全体教职工的学习培训体系，</w:t>
      </w:r>
      <w:r>
        <w:rPr>
          <w:rFonts w:hint="eastAsia" w:ascii="仿宋_GB2312" w:hAnsi="宋体" w:eastAsia="仿宋_GB2312" w:cs="宋体"/>
          <w:color w:val="000000" w:themeColor="text1"/>
          <w:kern w:val="0"/>
          <w:sz w:val="32"/>
          <w:szCs w:val="32"/>
          <w:shd w:val="clear" w:color="auto" w:fill="FFFFFF"/>
          <w14:textFill>
            <w14:solidFill>
              <w14:schemeClr w14:val="tx1"/>
            </w14:solidFill>
          </w14:textFill>
        </w:rPr>
        <w:t>坚</w:t>
      </w:r>
      <w:r>
        <w:rPr>
          <w:rFonts w:hint="eastAsia" w:ascii="仿宋_GB2312" w:hAnsi="___WRD_EMBED_SUB_46" w:eastAsia="仿宋_GB2312" w:cs="___WRD_EMBED_SUB_46"/>
          <w:color w:val="000000" w:themeColor="text1"/>
          <w:kern w:val="0"/>
          <w:sz w:val="32"/>
          <w:szCs w:val="32"/>
          <w:shd w:val="clear" w:color="auto" w:fill="FFFFFF"/>
          <w14:textFill>
            <w14:solidFill>
              <w14:schemeClr w14:val="tx1"/>
            </w14:solidFill>
          </w14:textFill>
        </w:rPr>
        <w:t>持</w:t>
      </w:r>
      <w:r>
        <w:rPr>
          <w:rFonts w:hint="eastAsia" w:ascii="仿宋_GB2312" w:hAnsi="方正仿宋_GB2312" w:eastAsia="仿宋_GB2312" w:cs="方正仿宋_GB2312"/>
          <w:color w:val="000000" w:themeColor="text1"/>
          <w:kern w:val="0"/>
          <w:sz w:val="32"/>
          <w:szCs w:val="32"/>
          <w:shd w:val="clear" w:color="auto" w:fill="FFFFFF"/>
          <w14:textFill>
            <w14:solidFill>
              <w14:schemeClr w14:val="tx1"/>
            </w14:solidFill>
          </w14:textFill>
        </w:rPr>
        <w:t>周工作安排中廉洁警示语和廉洁简报形式的提醒。强化监督检查，加强对重大采购、招生、教师招聘等重点领域工作的监督，强化规范“三重一大”事项监督。</w:t>
      </w:r>
    </w:p>
    <w:p>
      <w:pPr>
        <w:widowControl/>
        <w:snapToGrid w:val="0"/>
        <w:spacing w:line="560" w:lineRule="exact"/>
        <w:ind w:firstLine="643" w:firstLineChars="200"/>
        <w:jc w:val="left"/>
        <w:rPr>
          <w:rFonts w:hint="eastAsia" w:ascii="仿宋_GB2312" w:hAnsi="方正仿宋_GB2312" w:eastAsia="仿宋_GB2312" w:cs="方正仿宋_GB2312"/>
          <w:b/>
          <w:bCs/>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4</w:t>
      </w:r>
      <w:r>
        <w:rPr>
          <w:rFonts w:hint="eastAsia" w:ascii="仿宋_GB2312" w:hAnsi="方正仿宋_GB2312" w:eastAsia="仿宋_GB2312" w:cs="方正仿宋_GB2312"/>
          <w:b/>
          <w:bCs/>
          <w:color w:val="000000" w:themeColor="text1"/>
          <w:sz w:val="32"/>
          <w:szCs w:val="32"/>
          <w:lang w:val="zh-CN"/>
          <w14:textFill>
            <w14:solidFill>
              <w14:schemeClr w14:val="tx1"/>
            </w14:solidFill>
          </w14:textFill>
        </w:rPr>
        <w:t>.</w:t>
      </w:r>
      <w:r>
        <w:rPr>
          <w:rFonts w:hint="eastAsia" w:ascii="仿宋_GB2312" w:hAnsi="方正仿宋_GB2312" w:eastAsia="仿宋_GB2312" w:cs="方正仿宋_GB2312"/>
          <w:b/>
          <w:bCs/>
          <w:color w:val="000000" w:themeColor="text1"/>
          <w:sz w:val="32"/>
          <w:szCs w:val="32"/>
          <w14:textFill>
            <w14:solidFill>
              <w14:schemeClr w14:val="tx1"/>
            </w14:solidFill>
          </w14:textFill>
        </w:rPr>
        <w:t>大力弘扬教育家精神，提升教师师德师风建设水平。</w:t>
      </w:r>
    </w:p>
    <w:p>
      <w:pPr>
        <w:widowControl/>
        <w:snapToGrid w:val="0"/>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Cs/>
          <w:color w:val="000000" w:themeColor="text1"/>
          <w:sz w:val="32"/>
          <w:szCs w:val="32"/>
          <w14:textFill>
            <w14:solidFill>
              <w14:schemeClr w14:val="tx1"/>
            </w14:solidFill>
          </w14:textFill>
        </w:rPr>
        <w:t>全面提升旅校教师立德树人、自信自强的精神风貌，</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团结凝聚旅校教师以更加奋发有为的精神状态投身教育强国实践，努力培养德智体美劳全面发展的社会主义建设者和接班人。组织丰富多彩的活动庆祝第四十个教师节，提振师道尊严，让教师们安心从教、热心从教、精心从教、终身从教。继续开展师德建设“六个一”活动，将师德师风学习活动纳入教师校级培训学分，提升</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师</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德师风建设水平。</w:t>
      </w:r>
    </w:p>
    <w:p>
      <w:pPr>
        <w:pStyle w:val="3"/>
        <w:snapToGrid w:val="0"/>
        <w:spacing w:line="560" w:lineRule="exact"/>
        <w:ind w:firstLine="675" w:firstLineChars="200"/>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zh-CN"/>
          <w14:textFill>
            <w14:solidFill>
              <w14:schemeClr w14:val="tx1"/>
            </w14:solidFill>
          </w14:textFill>
        </w:rPr>
        <w:t>5.数智赋能行政办公，提升工作效率。</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不断提升OA平台办</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公水平，推动平台融通应用，优化平台数据赋能支撑</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功能</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，在签章申请、合同审批、会议室申请统筹的基础上，推进考勤系统、学生常规管理系统、教学管理系统等的使用，优化数据收集、分析、评价等功能，提升数据赋能</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教育管理</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水平。</w:t>
      </w:r>
    </w:p>
    <w:p>
      <w:pPr>
        <w:spacing w:line="560" w:lineRule="exact"/>
        <w:ind w:firstLine="675" w:firstLineChars="200"/>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6.规范细致做好宣传工作，提升学校美誉度。</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继续发挥好官微、视频号、抖音融媒体矩阵的宣传功能，聚焦高质量、特色化发展亮点成果，全面提高职业教育和学校的社会美誉度。严把宣传稿件质量。进一步规范宣传稿件的“三审三校”，加强宣传稿件错误信息表述的纠察与培训，提高宣传员队伍质量。保持好与各媒体的合作关系，持续通过宣传工作，提高学校优质办学影响力。</w:t>
      </w:r>
    </w:p>
    <w:p>
      <w:pPr>
        <w:autoSpaceDE w:val="0"/>
        <w:autoSpaceDN w:val="0"/>
        <w:adjustRightInd w:val="0"/>
        <w:snapToGri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二、五育并举、协同育人，提升全环境立德树人成效</w:t>
      </w:r>
    </w:p>
    <w:p>
      <w:pPr>
        <w:pStyle w:val="3"/>
        <w:spacing w:line="560" w:lineRule="exact"/>
        <w:ind w:firstLine="675" w:firstLineChars="200"/>
        <w:rPr>
          <w:rFonts w:ascii="仿宋_GB2312" w:hAnsi="方正仿宋_GB2312" w:eastAsia="仿宋_GB2312" w:cs="方正仿宋_GB2312"/>
          <w:bCs/>
          <w:color w:val="000000" w:themeColor="text1"/>
          <w:spacing w:val="8"/>
          <w:kern w:val="0"/>
          <w:sz w:val="32"/>
          <w:szCs w:val="32"/>
          <w:highlight w:val="yellow"/>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1.加强德育常规管理，提高育人实效。</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教育和管理双轮驱动，提升“日反馈、周通报、月评比”效率，做实做细礼仪、卫生、出勤和秩序等重点环节工作。学生出勤等纳入常规管理，做好统计，及时反馈。做好卫生工作，加强劳动教育和劳动实践，每周五开展大扫除。开展心肺复苏、传染病防控等知识技能培训，规范“双姿”。做好体检、视力检查和脊柱健康检查。加强眼操、亮眼操管理，落实近视防控科普教育。落实“1530”常态化学生安全教育，重点做好防欺凌、防溺水和防电信诈骗专题安全教育。加强学生国防教育，开展新生军训。加强宿舍文化建设，评选文明宿舍、优秀舍长、内务标兵。完成学生资助、校服、和保险等学生保障服务工作。</w:t>
      </w:r>
    </w:p>
    <w:p>
      <w:pPr>
        <w:pStyle w:val="4"/>
        <w:spacing w:line="560" w:lineRule="exact"/>
        <w:ind w:firstLine="675" w:firstLineChars="200"/>
        <w:jc w:val="left"/>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2.加强德育队伍建设，落实全员育人导师制。</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坚持“训、赛、研”一体，通过专题培训、考察学习、研讨交流和参加比赛等途径加强班主任队伍建设。落实全员育人导师制，定期组织培训，加强思政教育、理想信念、家庭教育、职业规划、心理、安全教育指导培训，提高专业素养和育人能力。鼓励导师深入学生生活、学习、心理等方面，为学生提供全方位、个性化的指导与帮助。</w:t>
      </w:r>
    </w:p>
    <w:p>
      <w:pPr>
        <w:pStyle w:val="4"/>
        <w:spacing w:line="560" w:lineRule="exact"/>
        <w:ind w:firstLine="675" w:firstLineChars="200"/>
        <w:jc w:val="left"/>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3.推进校园文化建设，营造良好育人环境。</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完善、推广“知礼以立”教育品牌，加强教育和实践，形成良好的班风、校风。营造积极向上的校园文化氛围，通过电子屏、宣传栏等渠道，宣传优秀班主任、班级和学生的亮点先进事迹，凝聚榜样力量，传播正能量。加强班级文化建设，鼓励各班级立足专业特色，开展特色班级活动，形成独特的班级文化。加强德育课程建设，做好校园德育云平台的使用推广，积极使用《中小学德育学堂》视频资源。加强学生社团管理，打造社团活动课程，实行师生“双向选择”，定时间、定内容、定地点、定人员，落实“一生一社团”。完善“书香四季”书香校园工作品牌，争创省、市级书香校园。通过多种形式做好学生清廉教育。</w:t>
      </w:r>
    </w:p>
    <w:p>
      <w:pPr>
        <w:pStyle w:val="4"/>
        <w:spacing w:line="560" w:lineRule="exact"/>
        <w:ind w:left="210" w:leftChars="100" w:firstLine="675" w:firstLineChars="200"/>
        <w:jc w:val="left"/>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4.深化“十个一”项目行动，全面提升学生艺体素养。</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制定“十个一”四进四融入工作方案，突破劳动、日记、读书等薄弱项目，融入海洋教育和科学教育，举办艺术节、体育节、读书节、心理节、海洋节等“十大节日”，落实美育教育和实践。健全“十个一”项目活动和竞赛体系，组织田径运动会、篮球、足球、排球体育类竞赛，组队参加市阳光体育联赛排球、乒乓球、武术、健美操、跳绳等比赛。确保学生每天在校中等及以上强度体育锻炼不少于1小时，开展学生体质健康检测和数据上报，将体质健康检测项目与运动会融合，通过</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课堂教学、</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大课间、日常训练和竞赛等形式提升学生体质健康水平。</w:t>
      </w:r>
    </w:p>
    <w:p>
      <w:pPr>
        <w:spacing w:line="560" w:lineRule="exact"/>
        <w:ind w:firstLine="675" w:firstLineChars="200"/>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5. 打造“绿色心桥”心育品牌，做好心理健康工作。</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强化专业队伍建设，分层开展心理健康知识宣传培训，提升班主任及全员导师和心理委员等专业队伍水平。打造以心理健康筛查、危机干预、心理健康课程、校家社协同育人等为圈层的“1+N”同心圆“心育”工作模式，为师生搭建“绿色心桥”。落实学生每学期一次心理健康筛查。做好心理健康筛查重点关注学生的分级跟踪处置，建立心理档案和分级分类干预台账，重点学生实行“一生一谈一案一反馈”，发挥“学校-班级-宿舍”三级网络作用，开展“精神卫生日”系列心理主题宣传教育活动。加强应急处置能力培训，班主任熟练掌握一般、严重和重大心理危机学生的干预流程。争创市中小学心理健康教育优秀示范校。</w:t>
      </w:r>
    </w:p>
    <w:p>
      <w:pPr>
        <w:spacing w:line="560" w:lineRule="exact"/>
        <w:ind w:firstLine="675" w:firstLineChars="200"/>
        <w:jc w:val="left"/>
        <w:rPr>
          <w:rFonts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6.丰富“慧爱之旅”品牌内涵，打造“学校＋”协同育人联合体。</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探索设计青岛旅游学校+协同育人联合体工作方案。定期听取家长和社会各界意见建议，共同商讨学校发展。组织校园开放日、家长驻校办公等活动，邀请联合体成员观摩和参与学校活动。规范家长学校和家委会建设，完成新一届校级、年级和班级家委会换届。邀请“家长讲师团”、“家长经验讲师团”、心理咨询师和家庭教育指导师等开展家庭教育讲座和交流，促进家长之间互相学习和支持。推广和使用《陪伴成长--家长手册》以及学校自主开发的家庭教育课程，引导家长全面学习家庭教育知识和科学有效的家庭教育方法。</w:t>
      </w:r>
    </w:p>
    <w:p>
      <w:pPr>
        <w:spacing w:line="560" w:lineRule="exact"/>
        <w:ind w:firstLine="675"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7.优化团组织建设，强化思想政治教育。</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引导青年学生树立坚定的理想信念，把理想信念教育作为思想政治工作的核心内容。借助主题团日、团课、讲座等多元形式，提升团员等青年学生的政治觉悟与理论水平。开展国史知识竞赛、校园讲解比赛、红色经典诵读会、辩论赛、短视频大赛等丰富多彩的活动，激发学生的爱国热忱和民族自豪感。树立中国特色社会主义共同理想，树立正确的世界观、人生观、价值观，推进团支部规范化建设，明晰团支部的工作职责与流程，严格依照标准和程序吸纳新团员。在2024级强化志愿服务工作。开展形式丰富多样的志愿者服务活动，培育学生的社会责任感与奉献精神。每月至少组织一次志愿服务活动，与社会公益组织展开合作，进一步拓展志愿服务的领域和项目。</w:t>
      </w:r>
    </w:p>
    <w:p>
      <w:pPr>
        <w:autoSpaceDE w:val="0"/>
        <w:autoSpaceDN w:val="0"/>
        <w:adjustRightInd w:val="0"/>
        <w:snapToGrid w:val="0"/>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三、深入推动教学改革，着力促进专业升级</w:t>
      </w:r>
    </w:p>
    <w:p>
      <w:pPr>
        <w:pStyle w:val="3"/>
        <w:snapToGrid w:val="0"/>
        <w:spacing w:line="560" w:lineRule="exact"/>
        <w:ind w:firstLine="675" w:firstLineChars="200"/>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1.加强专业内涵建设，推动初中后五年制高职改革。</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完善初中后五年制高等职业教育6个专业的人才培养方案，突出现代服务业专业育人特点，重构专业技能、文明礼仪、五育协同的一体化课程体系，充分发挥长学制育人优势。</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建立中高职和企业多方联动运行机制，围绕服务区域产业需求和学生多元成长需求办好五年制高职。</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加强校本特色教材和五年制专业教学资源，不断推动数字赋能教育教学</w:t>
      </w:r>
      <w:r>
        <w:rPr>
          <w:rFonts w:hint="eastAsia" w:ascii="仿宋_GB2312" w:hAnsi="方正仿宋_GB2312" w:eastAsia="仿宋_GB2312" w:cs="方正仿宋_GB2312"/>
          <w:bCs/>
          <w:color w:val="000000" w:themeColor="text1"/>
          <w:spacing w:val="8"/>
          <w:kern w:val="0"/>
          <w:sz w:val="32"/>
          <w:szCs w:val="32"/>
          <w:lang w:eastAsia="zh-CN"/>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推动</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人工智能辅助教育教学管理的实践探索</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研究</w:t>
      </w:r>
      <w:r>
        <w:rPr>
          <w:rFonts w:hint="eastAsia" w:ascii="仿宋_GB2312" w:hAnsi="方正仿宋_GB2312" w:eastAsia="仿宋_GB2312" w:cs="方正仿宋_GB2312"/>
          <w:bCs/>
          <w:color w:val="000000" w:themeColor="text1"/>
          <w:spacing w:val="8"/>
          <w:kern w:val="0"/>
          <w:sz w:val="32"/>
          <w:szCs w:val="32"/>
          <w:lang w:val="zh-CN"/>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t>加强广播影视节目与制作专业建设</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与</w:t>
      </w:r>
      <w:r>
        <w:rPr>
          <w:rFonts w:hint="eastAsia" w:ascii="仿宋_GB2312" w:hAnsi="方正仿宋_GB2312" w:eastAsia="仿宋_GB2312" w:cs="方正仿宋_GB2312"/>
          <w:color w:val="000000" w:themeColor="text1"/>
          <w:kern w:val="2"/>
          <w:sz w:val="32"/>
          <w:szCs w:val="32"/>
          <w:lang w:val="en-US" w:eastAsia="zh-Hans" w:bidi="ar-SA"/>
          <w14:textFill>
            <w14:solidFill>
              <w14:schemeClr w14:val="tx1"/>
            </w14:solidFill>
          </w14:textFill>
        </w:rPr>
        <w:t>校企专家</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深度</w:t>
      </w:r>
      <w:r>
        <w:rPr>
          <w:rFonts w:hint="eastAsia" w:ascii="仿宋_GB2312" w:hAnsi="方正仿宋_GB2312" w:eastAsia="仿宋_GB2312" w:cs="方正仿宋_GB2312"/>
          <w:color w:val="000000" w:themeColor="text1"/>
          <w:kern w:val="2"/>
          <w:sz w:val="32"/>
          <w:szCs w:val="32"/>
          <w:lang w:val="en-US" w:eastAsia="zh-Hans" w:bidi="ar-SA"/>
          <w14:textFill>
            <w14:solidFill>
              <w14:schemeClr w14:val="tx1"/>
            </w14:solidFill>
          </w14:textFill>
        </w:rPr>
        <w:t>合作，</w:t>
      </w:r>
      <w:r>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t>引进</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6</w:t>
      </w:r>
      <w:r>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t>门企业课程，增加</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专业直播等</w:t>
      </w:r>
      <w:r>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t>课程</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，做好首届广播节目制作专业分段培养转段考核方案制定、审核及测试工作</w:t>
      </w:r>
      <w:r>
        <w:rPr>
          <w:rFonts w:hint="eastAsia" w:ascii="仿宋_GB2312" w:hAnsi="方正仿宋_GB2312" w:eastAsia="仿宋_GB2312" w:cs="方正仿宋_GB2312"/>
          <w:bCs/>
          <w:color w:val="000000" w:themeColor="text1"/>
          <w:spacing w:val="8"/>
          <w:kern w:val="0"/>
          <w:sz w:val="32"/>
          <w:szCs w:val="32"/>
          <w:lang w:eastAsia="zh-Hans"/>
          <w14:textFill>
            <w14:solidFill>
              <w14:schemeClr w14:val="tx1"/>
            </w14:solidFill>
          </w14:textFill>
        </w:rPr>
        <w:t>。组织好省</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特色化专业的终期验收工作。</w:t>
      </w:r>
    </w:p>
    <w:p>
      <w:pPr>
        <w:snapToGrid w:val="0"/>
        <w:spacing w:line="500" w:lineRule="exact"/>
        <w:ind w:firstLine="675" w:firstLineChars="200"/>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2.加强教学常规管理，夯实主业质量基础。</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继续完善教学管理制度，</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修订学校《常规教学管理办法》等制度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组织教学管理制度专题学习，规范教师教学行为。深化大教研体系建设：</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组织新人才培养方案、新课程标准实施研讨活动，</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突出教研组的统筹作用，制定校本教研计划，定期开展教研教改活动。</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实施课堂教学提升行动：以校长、书记、教学校长、德育校长听评课制度落实为引领，组织教师开展听课评课活动，</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开展教学检查督导，督促教师互相学习，共同进步。做好期中期末教学组织、总结工作。</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组织好2022级3+4、三二连读各专业的分段培养转段考核测试等各项工作。</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强化“教师课堂第一负责人”意识，</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明确教学目标，精心备课，加强课堂管理，落实课堂出勤、安全、应急处置工作，注重评价与反馈，打造高效课堂。落实省市教材管理有关工作要求，开展学校2023-2024学年教材使用情况总结及2024-2025学年教材选用备案工作。</w:t>
      </w:r>
    </w:p>
    <w:p>
      <w:pPr>
        <w:snapToGrid w:val="0"/>
        <w:spacing w:line="500" w:lineRule="exact"/>
        <w:ind w:firstLine="675" w:firstLineChars="200"/>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3.教学研培共行，力促教师专业发展。</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持续优化教学专业团队建设：建立“双师型”教师培养保障机制，</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推进“双师型”教师认定比例提升；以两个省级教学创新团队</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和名师工作室为载体</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，全面推动教师的教学水平提升</w:t>
      </w:r>
      <w:r>
        <w:rPr>
          <w:rFonts w:hint="eastAsia" w:cs="方正仿宋_GB2312" w:asciiTheme="minorEastAsia" w:hAnsiTheme="minorEastAsia"/>
          <w:color w:val="000000" w:themeColor="text1"/>
          <w:sz w:val="32"/>
          <w:szCs w:val="32"/>
          <w14:textFill>
            <w14:solidFill>
              <w14:schemeClr w14:val="tx1"/>
            </w14:solidFill>
          </w14:textFill>
        </w:rPr>
        <w:t>；</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围绕初中后五年制高职改革，提前谋划师资团队建设，引入、培训和兼职外聘相结合，满足高职段师资需求。</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开展教科研创新：积极打造科研课题、优秀教学法、优秀教学案例、教师成长共同体研究成果，鼓励教师积极参加教学类专项比赛，</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引导教师争先创优。探索校本研修新模式，</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深入了解教师需求，合理制定培训计划。加强思政教师队伍建设</w:t>
      </w:r>
      <w:r>
        <w:rPr>
          <w:rFonts w:hint="eastAsia" w:ascii="仿宋_GB2312" w:hAnsi="方正仿宋_GB2312" w:eastAsia="仿宋_GB2312" w:cs="方正仿宋_GB2312"/>
          <w:bCs/>
          <w:color w:val="000000" w:themeColor="text1"/>
          <w:spacing w:val="8"/>
          <w:kern w:val="0"/>
          <w:sz w:val="32"/>
          <w:szCs w:val="32"/>
          <w:lang w:eastAsia="zh-CN"/>
          <w14:textFill>
            <w14:solidFill>
              <w14:schemeClr w14:val="tx1"/>
            </w14:solidFill>
          </w14:textFill>
        </w:rPr>
        <w:t>，</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注重思政教师的培养，对思政教师建立科学的评价机制。</w:t>
      </w:r>
    </w:p>
    <w:p>
      <w:pPr>
        <w:snapToGrid w:val="0"/>
        <w:spacing w:line="500" w:lineRule="exact"/>
        <w:ind w:firstLine="675" w:firstLineChars="200"/>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4.加强课程体系建设，推动思政教育改革。</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以加强校长课程领导力为载体，强化学校课程的规划、建设、实施、管理评价，</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突出课程和教学的主责主业地位。</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完善三级课程体系：以省特色化专业建设、省创新团队建设为载体</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推进“线上线下融合式”校本课程，</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完成旅游类专业首批校本课程建设。积极推动思政教育改革，深入推进习近平新时代中国特色社会主义思想进教材、进课堂、进头脑，结合思政课，开展专业研学，加强思想政治教育一体化建设</w:t>
      </w:r>
      <w:r>
        <w:rPr>
          <w:rFonts w:hint="eastAsia" w:ascii="仿宋_GB2312" w:hAnsi="方正仿宋_GB2312" w:eastAsia="仿宋_GB2312" w:cs="方正仿宋_GB2312"/>
          <w:bCs/>
          <w:color w:val="000000" w:themeColor="text1"/>
          <w:spacing w:val="8"/>
          <w:kern w:val="0"/>
          <w:sz w:val="32"/>
          <w:szCs w:val="32"/>
          <w:lang w:eastAsia="zh-CN"/>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将课程思政融入专业教学</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w:t>
      </w:r>
    </w:p>
    <w:p>
      <w:pPr>
        <w:snapToGrid w:val="0"/>
        <w:spacing w:line="500" w:lineRule="exact"/>
        <w:ind w:firstLine="675" w:firstLineChars="200"/>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5.强化学生技能形成，夯实大赛成绩基础。</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突出学生的技能课程学习：推进各学科开展校园技能文化节，结合专业，融入海洋、科技教育内容，通过校赛营造技能学习氛围，选拔市级技能大赛种子。组建由教师、企业专家组成的实训教学考核评价小组，校企共同落实学生技能评价；组织好专业技能普测及抽测、</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各类专业技能证书辅导考试工作。</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做好实训室建设和管理利用，建设广播影视节目制作专业实训室，提高功能实训室的科学利用率。</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重视各级各类技能大赛的参与，</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以酒店服务、导游服务、航空服务三项国赛为主要着力点，组建强有力的大赛团队，</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对标行业发展和全国强队，深入学习理解大赛规程，加强训练过程的规范化管理，保证日常训练的严格高效，为大赛再创佳绩不懈努力。</w:t>
      </w:r>
    </w:p>
    <w:p>
      <w:pPr>
        <w:autoSpaceDE w:val="0"/>
        <w:autoSpaceDN w:val="0"/>
        <w:adjustRightInd w:val="0"/>
        <w:snapToGrid w:val="0"/>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四、实施多元化育人模式，构建校企命运共同体</w:t>
      </w:r>
    </w:p>
    <w:p>
      <w:pPr>
        <w:snapToGrid w:val="0"/>
        <w:spacing w:line="500" w:lineRule="exact"/>
        <w:ind w:firstLine="675" w:firstLineChars="200"/>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1</w:t>
      </w:r>
      <w:r>
        <w:rPr>
          <w:rFonts w:hint="eastAsia" w:ascii="仿宋_GB2312" w:hAnsi="方正仿宋_GB2312" w:eastAsia="仿宋_GB2312" w:cs="方正仿宋_GB2312"/>
          <w:b/>
          <w:color w:val="000000" w:themeColor="text1"/>
          <w:spacing w:val="8"/>
          <w:kern w:val="0"/>
          <w:sz w:val="32"/>
          <w:szCs w:val="32"/>
          <w:lang w:val="zh-CN"/>
          <w14:textFill>
            <w14:solidFill>
              <w14:schemeClr w14:val="tx1"/>
            </w14:solidFill>
          </w14:textFill>
        </w:rPr>
        <w:t>.加强重点项目推进，形成优质特色成果</w:t>
      </w: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把职教高考作为提升学校教学质量的重点和方向。抓好3+4转段辅导工作，完成2022级高考班级分流工作。继续与青岛第六十七中学合作，开展新型职普融通联合育人</w:t>
      </w:r>
      <w:r>
        <w:rPr>
          <w:rFonts w:hint="eastAsia" w:ascii="仿宋_GB2312" w:hAnsi="方正仿宋_GB2312" w:eastAsia="仿宋_GB2312" w:cs="方正仿宋_GB2312"/>
          <w:bCs/>
          <w:color w:val="000000" w:themeColor="text1"/>
          <w:spacing w:val="8"/>
          <w:kern w:val="0"/>
          <w:sz w:val="32"/>
          <w:szCs w:val="32"/>
          <w:lang w:val="en-US" w:eastAsia="zh-CN"/>
          <w14:textFill>
            <w14:solidFill>
              <w14:schemeClr w14:val="tx1"/>
            </w14:solidFill>
          </w14:textFill>
        </w:rPr>
        <w:t>试点</w:t>
      </w:r>
      <w:r>
        <w:rPr>
          <w:rFonts w:hint="eastAsia" w:ascii="仿宋_GB2312" w:hAnsi="方正仿宋_GB2312" w:eastAsia="仿宋_GB2312" w:cs="方正仿宋_GB2312"/>
          <w:bCs/>
          <w:color w:val="000000" w:themeColor="text1"/>
          <w:spacing w:val="8"/>
          <w:kern w:val="0"/>
          <w:sz w:val="32"/>
          <w:szCs w:val="32"/>
          <w14:textFill>
            <w14:solidFill>
              <w14:schemeClr w14:val="tx1"/>
            </w14:solidFill>
          </w14:textFill>
        </w:rPr>
        <w:t>工作。</w:t>
      </w:r>
    </w:p>
    <w:p>
      <w:pPr>
        <w:pStyle w:val="3"/>
        <w:spacing w:line="500" w:lineRule="exact"/>
        <w:ind w:firstLine="675" w:firstLineChars="200"/>
        <w:jc w:val="both"/>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en-US" w:eastAsia="zh-CN" w:bidi="ar-SA"/>
          <w14:textFill>
            <w14:solidFill>
              <w14:schemeClr w14:val="tx1"/>
            </w14:solidFill>
          </w14:textFill>
        </w:rPr>
        <w:t>2.深化校企合作育人，彰显类型教育特征。</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加强与青岛旅游集团、青岛国信会展酒店有限公司等战略合作企业的对接，以“校企联手、助力发展”为主题举行校企共育活动。</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建立各专业校外专家团队，</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开展国家金牌导游、青岛市“名企名家进校园”系列活动，</w:t>
      </w:r>
      <w:r>
        <w:rPr>
          <w:rFonts w:hint="eastAsia" w:ascii="仿宋_GB2312" w:hAnsi="方正仿宋_GB2312" w:eastAsia="仿宋_GB2312" w:cs="方正仿宋_GB2312"/>
          <w:color w:val="000000" w:themeColor="text1"/>
          <w:kern w:val="2"/>
          <w:sz w:val="32"/>
          <w:szCs w:val="32"/>
          <w:lang w:val="en-US" w:eastAsia="zh-CN" w:bidi="ar-SA"/>
          <w14:textFill>
            <w14:solidFill>
              <w14:schemeClr w14:val="tx1"/>
            </w14:solidFill>
          </w14:textFill>
        </w:rPr>
        <w:t>提升学生的岗位认知度、认可度。</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以现代学徒制、特色化专业建设为契机引进企业师资和企业课程。拓宽专业实训渠道：梳理联络校外实训基地，设计学生校外实训方案，带领学生走入企业、走上岗位学习专业技能。积极盘活闲置资源，探索规划校内产业学院建设。</w:t>
      </w:r>
    </w:p>
    <w:p>
      <w:pPr>
        <w:snapToGrid w:val="0"/>
        <w:spacing w:line="500" w:lineRule="exact"/>
        <w:ind w:firstLine="675" w:firstLineChars="200"/>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en-US" w:eastAsia="zh-CN" w:bidi="ar-SA"/>
          <w14:textFill>
            <w14:solidFill>
              <w14:schemeClr w14:val="tx1"/>
            </w14:solidFill>
          </w14:textFill>
        </w:rPr>
        <w:t>3.加强实习就业管理，拓宽学生成长渠道。</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开展企业调研，不断筛选优质学生实习岗位，提前谋划保障五年制就业率。建立由班主任、专业教师、企业专家组成的实习导师团队，</w:t>
      </w:r>
      <w:r>
        <w:rPr>
          <w:rFonts w:hint="eastAsia" w:ascii="仿宋_GB2312" w:hAnsi="方正仿宋_GB2312" w:eastAsia="仿宋_GB2312" w:cs="方正仿宋_GB2312"/>
          <w:color w:val="000000" w:themeColor="text1"/>
          <w:sz w:val="32"/>
          <w:szCs w:val="32"/>
          <w14:textFill>
            <w14:solidFill>
              <w14:schemeClr w14:val="tx1"/>
            </w14:solidFill>
          </w14:textFill>
        </w:rPr>
        <w:t>分别负责管理与组织、专业素养提升、专业技能培训工作。贯彻落实职业院校学生实习管理规定，严格实习协议签订、过程管理、评价考核工作。</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建设系列实习就业指导课程，形成高一到高三纵向衔接、各学科横向融通的课程体系。升级实习管理平台，</w:t>
      </w:r>
      <w:r>
        <w:rPr>
          <w:rFonts w:hint="eastAsia" w:ascii="仿宋_GB2312" w:hAnsi="方正仿宋_GB2312" w:eastAsia="仿宋_GB2312" w:cs="方正仿宋_GB2312"/>
          <w:color w:val="000000" w:themeColor="text1"/>
          <w:sz w:val="32"/>
          <w:szCs w:val="32"/>
          <w14:textFill>
            <w14:solidFill>
              <w14:schemeClr w14:val="tx1"/>
            </w14:solidFill>
          </w14:textFill>
        </w:rPr>
        <w:t>完善学校学生综合素质发展与评价网络平台移动端功能，</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发挥平台的教育、宣传、沟通和数据分析功能，提前谋划新型五年制高职班就业工作。</w:t>
      </w:r>
    </w:p>
    <w:p>
      <w:pPr>
        <w:snapToGrid w:val="0"/>
        <w:spacing w:line="500" w:lineRule="exact"/>
        <w:ind w:firstLine="675" w:firstLineChars="200"/>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en-US" w:eastAsia="zh-CN" w:bidi="ar-SA"/>
          <w14:textFill>
            <w14:solidFill>
              <w14:schemeClr w14:val="tx1"/>
            </w14:solidFill>
          </w14:textFill>
        </w:rPr>
        <w:t>4.深化国际交流与合作，传播中国职教好声音。</w:t>
      </w:r>
      <w:r>
        <w:rPr>
          <w:rFonts w:hint="eastAsia" w:ascii="仿宋_GB2312" w:hAnsi="方正仿宋_GB2312" w:eastAsia="仿宋_GB2312" w:cs="方正仿宋_GB2312"/>
          <w:b w:val="0"/>
          <w:bCs w:val="0"/>
          <w:color w:val="000000" w:themeColor="text1"/>
          <w:sz w:val="32"/>
          <w:szCs w:val="32"/>
          <w:lang w:val="en-US" w:eastAsia="zh-CN"/>
          <w14:textFill>
            <w14:solidFill>
              <w14:schemeClr w14:val="tx1"/>
            </w14:solidFill>
          </w14:textFill>
        </w:rPr>
        <w:t>推进与日韩院校的人文交流项目，制作人文交流课程，定</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期开展线上交流活动，推广中华传统文化。</w:t>
      </w:r>
      <w:r>
        <w:rPr>
          <w:rFonts w:hint="eastAsia" w:ascii="仿宋_GB2312" w:hAnsi="方正仿宋_GB2312" w:eastAsia="仿宋_GB2312" w:cs="方正仿宋_GB2312"/>
          <w:color w:val="000000" w:themeColor="text1"/>
          <w:sz w:val="32"/>
          <w:szCs w:val="32"/>
          <w14:textFill>
            <w14:solidFill>
              <w14:schemeClr w14:val="tx1"/>
            </w14:solidFill>
          </w14:textFill>
        </w:rPr>
        <w:t>通过新媒体手段的运用，积极研讨举行线上互访、留学说明会、人文交流等活动，打造学校特色人文交流项目的新名片。</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维护现有的日韩留学渠道，着眼五年制高职学生发展，不断拓展新的留学、海外就业项目，</w:t>
      </w:r>
      <w:r>
        <w:rPr>
          <w:rFonts w:hint="eastAsia" w:ascii="仿宋_GB2312" w:hAnsi="方正仿宋_GB2312" w:eastAsia="仿宋_GB2312" w:cs="方正仿宋_GB2312"/>
          <w:color w:val="000000" w:themeColor="text1"/>
          <w:sz w:val="32"/>
          <w:szCs w:val="32"/>
          <w14:textFill>
            <w14:solidFill>
              <w14:schemeClr w14:val="tx1"/>
            </w14:solidFill>
          </w14:textFill>
        </w:rPr>
        <w:t>增加学生提升学历、成才就业新出路。</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积极参与各级各类国际交流竞赛活动，提升师生国际文化视野，打造具有旅校特色的国际交流合作职教发展模式。</w:t>
      </w:r>
    </w:p>
    <w:p>
      <w:pPr>
        <w:autoSpaceDE w:val="0"/>
        <w:autoSpaceDN w:val="0"/>
        <w:adjustRightInd w:val="0"/>
        <w:snapToGrid w:val="0"/>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五、科学总结招生工作，履行育训并举职责</w:t>
      </w:r>
    </w:p>
    <w:p>
      <w:pPr>
        <w:snapToGrid w:val="0"/>
        <w:spacing w:line="500" w:lineRule="exact"/>
        <w:ind w:firstLine="675" w:firstLineChars="200"/>
        <w:rPr>
          <w:rFonts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en-US" w:eastAsia="zh-CN" w:bidi="ar-SA"/>
          <w14:textFill>
            <w14:solidFill>
              <w14:schemeClr w14:val="tx1"/>
            </w14:solidFill>
          </w14:textFill>
        </w:rPr>
        <w:t>1.加强招生数据分析，科学制定2025年招生计划。</w:t>
      </w:r>
      <w:r>
        <w:rPr>
          <w:rFonts w:hint="eastAsia" w:ascii="仿宋_GB2312" w:hAnsi="方正仿宋_GB2312" w:eastAsia="仿宋_GB2312" w:cs="方正仿宋_GB2312"/>
          <w:color w:val="000000" w:themeColor="text1"/>
          <w:sz w:val="32"/>
          <w:szCs w:val="32"/>
          <w14:textFill>
            <w14:solidFill>
              <w14:schemeClr w14:val="tx1"/>
            </w14:solidFill>
          </w14:textFill>
        </w:rPr>
        <w:t>根据省、市教育主管部门的统一要求，</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完成2024级新生的信息核对、学籍录入等工作。</w:t>
      </w:r>
      <w:r>
        <w:rPr>
          <w:rFonts w:hint="eastAsia" w:ascii="仿宋_GB2312" w:hAnsi="方正仿宋_GB2312" w:eastAsia="仿宋_GB2312" w:cs="方正仿宋_GB2312"/>
          <w:color w:val="000000" w:themeColor="text1"/>
          <w:sz w:val="32"/>
          <w:szCs w:val="32"/>
          <w14:textFill>
            <w14:solidFill>
              <w14:schemeClr w14:val="tx1"/>
            </w14:solidFill>
          </w14:textFill>
        </w:rPr>
        <w:t>总结上学期招生工作，</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汇总各招生团队招生情况，</w:t>
      </w:r>
      <w:r>
        <w:rPr>
          <w:rFonts w:hint="eastAsia" w:ascii="仿宋_GB2312" w:hAnsi="方正仿宋_GB2312" w:eastAsia="仿宋_GB2312" w:cs="方正仿宋_GB2312"/>
          <w:color w:val="000000" w:themeColor="text1"/>
          <w:sz w:val="32"/>
          <w:szCs w:val="32"/>
          <w14:textFill>
            <w14:solidFill>
              <w14:schemeClr w14:val="tx1"/>
            </w14:solidFill>
          </w14:textFill>
        </w:rPr>
        <w:t>做好新生家长问卷</w:t>
      </w:r>
      <w:r>
        <w:rPr>
          <w:rFonts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分析各地市、区招生情况，为来年招生计划制定提供数据支持。</w:t>
      </w:r>
      <w:r>
        <w:rPr>
          <w:rFonts w:hint="eastAsia" w:ascii="仿宋_GB2312" w:hAnsi="方正仿宋_GB2312" w:eastAsia="仿宋_GB2312" w:cs="方正仿宋_GB2312"/>
          <w:color w:val="000000" w:themeColor="text1"/>
          <w:sz w:val="32"/>
          <w:szCs w:val="32"/>
          <w14:textFill>
            <w14:solidFill>
              <w14:schemeClr w14:val="tx1"/>
            </w14:solidFill>
          </w14:textFill>
        </w:rPr>
        <w:t>主动适应青岛城市发展定位，</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面向产业需求和民生需求，不断</w:t>
      </w:r>
      <w:r>
        <w:rPr>
          <w:rFonts w:hint="eastAsia" w:ascii="仿宋_GB2312" w:hAnsi="方正仿宋_GB2312" w:eastAsia="仿宋_GB2312" w:cs="方正仿宋_GB2312"/>
          <w:color w:val="000000" w:themeColor="text1"/>
          <w:sz w:val="32"/>
          <w:szCs w:val="32"/>
          <w14:textFill>
            <w14:solidFill>
              <w14:schemeClr w14:val="tx1"/>
            </w14:solidFill>
          </w14:textFill>
        </w:rPr>
        <w:t>丰富办学模式，</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拓展专业方向，在与联办学院协商的基础上，精心制定2025年学校招生计划。</w:t>
      </w:r>
    </w:p>
    <w:p>
      <w:pPr>
        <w:snapToGrid w:val="0"/>
        <w:spacing w:line="500" w:lineRule="exact"/>
        <w:ind w:firstLine="675" w:firstLineChars="200"/>
        <w:rPr>
          <w:rFonts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lang w:val="en-US" w:eastAsia="zh-CN" w:bidi="ar-SA"/>
          <w14:textFill>
            <w14:solidFill>
              <w14:schemeClr w14:val="tx1"/>
            </w14:solidFill>
          </w14:textFill>
        </w:rPr>
        <w:t>2.发挥学校专业特长，做好社会培训服务。</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探索职教集团实体化运作：继续推进《</w:t>
      </w:r>
      <w:r>
        <w:rPr>
          <w:rFonts w:hint="eastAsia" w:ascii="仿宋_GB2312" w:hAnsi="方正仿宋_GB2312" w:eastAsia="仿宋_GB2312" w:cs="方正仿宋_GB2312"/>
          <w:bCs/>
          <w:color w:val="000000" w:themeColor="text1"/>
          <w:spacing w:val="8"/>
          <w:kern w:val="0"/>
          <w:sz w:val="32"/>
          <w:szCs w:val="32"/>
          <w:lang w:val="en-US" w:eastAsia="zh-CN" w:bidi="ar-SA"/>
          <w14:textFill>
            <w14:solidFill>
              <w14:schemeClr w14:val="tx1"/>
            </w14:solidFill>
          </w14:textFill>
        </w:rPr>
        <w:t>职业教育集团实体化运作模式研究》市规划课题研究，</w:t>
      </w:r>
      <w:r>
        <w:rPr>
          <w:rFonts w:hint="eastAsia" w:ascii="仿宋_GB2312" w:hAnsi="方正仿宋_GB2312" w:eastAsia="仿宋_GB2312" w:cs="方正仿宋_GB2312"/>
          <w:color w:val="000000" w:themeColor="text1"/>
          <w:sz w:val="32"/>
          <w:szCs w:val="32"/>
          <w14:textFill>
            <w14:solidFill>
              <w14:schemeClr w14:val="tx1"/>
            </w14:solidFill>
          </w14:textFill>
        </w:rPr>
        <w:t>发表相关论文、出版研学旅行教材，完成课题结题工作</w:t>
      </w:r>
      <w:r>
        <w:rPr>
          <w:rFonts w:hint="eastAsia" w:ascii="仿宋_GB2312" w:hAnsi="方正仿宋_GB2312" w:eastAsia="仿宋_GB2312" w:cs="方正仿宋_GB2312"/>
          <w:color w:val="000000" w:themeColor="text1"/>
          <w:sz w:val="32"/>
          <w:szCs w:val="32"/>
          <w:lang w:val="zh-CN"/>
          <w14:textFill>
            <w14:solidFill>
              <w14:schemeClr w14:val="tx1"/>
            </w14:solidFill>
          </w14:textFill>
        </w:rPr>
        <w:t>。</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开展社会化培训：开设咖啡与果茶制作、萨克斯、礼仪绘画、摄影、短视频制作等培训课程；</w:t>
      </w:r>
      <w:r>
        <w:rPr>
          <w:rFonts w:hint="eastAsia" w:ascii="仿宋_GB2312" w:hAnsi="方正仿宋_GB2312" w:eastAsia="仿宋_GB2312" w:cs="方正仿宋_GB2312"/>
          <w:color w:val="000000" w:themeColor="text1"/>
          <w:sz w:val="32"/>
          <w:szCs w:val="32"/>
          <w14:textFill>
            <w14:solidFill>
              <w14:schemeClr w14:val="tx1"/>
            </w14:solidFill>
          </w14:textFill>
        </w:rPr>
        <w:t>联合青岛市市北区社区学院，</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精准服务市北区老年教育和社区教育；</w:t>
      </w:r>
      <w:r>
        <w:rPr>
          <w:rFonts w:hint="eastAsia" w:ascii="仿宋_GB2312" w:hAnsi="方正仿宋_GB2312" w:eastAsia="仿宋_GB2312" w:cs="方正仿宋_GB2312"/>
          <w:color w:val="000000" w:themeColor="text1"/>
          <w:sz w:val="32"/>
          <w:szCs w:val="32"/>
          <w14:textFill>
            <w14:solidFill>
              <w14:schemeClr w14:val="tx1"/>
            </w14:solidFill>
          </w14:textFill>
        </w:rPr>
        <w:t>做好</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面向退役军人的职业技能和适应性培训</w:t>
      </w:r>
      <w:r>
        <w:rPr>
          <w:rFonts w:ascii="方正仿宋_GB2312" w:hAnsi="方正仿宋_GB2312" w:eastAsia="方正仿宋_GB2312" w:cs="方正仿宋_GB2312"/>
          <w:color w:val="000000" w:themeColor="text1"/>
          <w:sz w:val="32"/>
          <w:szCs w:val="32"/>
          <w:lang w:val="zh-CN"/>
          <w14:textFill>
            <w14:solidFill>
              <w14:schemeClr w14:val="tx1"/>
            </w14:solidFill>
          </w14:textFill>
        </w:rPr>
        <w:t>；</w:t>
      </w:r>
      <w:r>
        <w:rPr>
          <w:rFonts w:hint="eastAsia" w:ascii="仿宋_GB2312" w:hAnsi="方正仿宋_GB2312" w:eastAsia="仿宋_GB2312" w:cs="方正仿宋_GB2312"/>
          <w:color w:val="000000" w:themeColor="text1"/>
          <w:sz w:val="32"/>
          <w:szCs w:val="32"/>
          <w14:textFill>
            <w14:solidFill>
              <w14:schemeClr w14:val="tx1"/>
            </w14:solidFill>
          </w14:textFill>
        </w:rPr>
        <w:t>继续</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做好青岛市教师个性化师资培训工作；面向学生开展外语、技能等培训课程。</w:t>
      </w:r>
      <w:r>
        <w:rPr>
          <w:rFonts w:hint="eastAsia" w:ascii="仿宋_GB2312" w:hAnsi="方正仿宋_GB2312" w:eastAsia="仿宋_GB2312" w:cs="方正仿宋_GB2312"/>
          <w:color w:val="000000" w:themeColor="text1"/>
          <w:sz w:val="32"/>
          <w:szCs w:val="32"/>
          <w14:textFill>
            <w14:solidFill>
              <w14:schemeClr w14:val="tx1"/>
            </w14:solidFill>
          </w14:textFill>
        </w:rPr>
        <w:t>围绕研学旅行新业态，发挥专业优势，</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探索规划</w:t>
      </w:r>
      <w:r>
        <w:rPr>
          <w:rFonts w:hint="eastAsia" w:ascii="仿宋_GB2312" w:hAnsi="方正仿宋_GB2312" w:eastAsia="仿宋_GB2312" w:cs="方正仿宋_GB2312"/>
          <w:color w:val="000000" w:themeColor="text1"/>
          <w:sz w:val="32"/>
          <w:szCs w:val="32"/>
          <w14:textFill>
            <w14:solidFill>
              <w14:schemeClr w14:val="tx1"/>
            </w14:solidFill>
          </w14:textFill>
        </w:rPr>
        <w:t>青岛市研学博物馆，为各中小学定制研学方案，</w:t>
      </w:r>
      <w:r>
        <w:rPr>
          <w:rFonts w:hint="eastAsia" w:ascii="仿宋_GB2312" w:hAnsi="方正仿宋_GB2312" w:eastAsia="仿宋_GB2312" w:cs="方正仿宋_GB2312"/>
          <w:bCs/>
          <w:color w:val="000000" w:themeColor="text1"/>
          <w:spacing w:val="8"/>
          <w:kern w:val="0"/>
          <w:sz w:val="32"/>
          <w:szCs w:val="32"/>
          <w:lang w:val="zh-CN" w:eastAsia="zh-CN" w:bidi="ar-SA"/>
          <w14:textFill>
            <w14:solidFill>
              <w14:schemeClr w14:val="tx1"/>
            </w14:solidFill>
          </w14:textFill>
        </w:rPr>
        <w:t>开发研学课程和教材，承办研学旅行服务。</w:t>
      </w:r>
    </w:p>
    <w:p>
      <w:pPr>
        <w:autoSpaceDE w:val="0"/>
        <w:autoSpaceDN w:val="0"/>
        <w:adjustRightInd w:val="0"/>
        <w:snapToGri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六、守护安全管理底线，提升后勤保障效能</w:t>
      </w:r>
    </w:p>
    <w:p>
      <w:pPr>
        <w:snapToGrid w:val="0"/>
        <w:spacing w:line="560" w:lineRule="exact"/>
        <w:ind w:firstLine="675" w:firstLineChars="200"/>
        <w:rPr>
          <w:rFonts w:hint="eastAsia"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color w:val="000000" w:themeColor="text1"/>
          <w:spacing w:val="8"/>
          <w:kern w:val="0"/>
          <w:sz w:val="32"/>
          <w:szCs w:val="32"/>
          <w14:textFill>
            <w14:solidFill>
              <w14:schemeClr w14:val="tx1"/>
            </w14:solidFill>
          </w14:textFill>
        </w:rPr>
        <w:t>1.完善学校安全体系建设。</w:t>
      </w:r>
      <w:r>
        <w:rPr>
          <w:rFonts w:hint="eastAsia" w:ascii="仿宋_GB2312" w:hAnsi="方正仿宋_GB2312" w:eastAsia="仿宋_GB2312" w:cs="方正仿宋_GB2312"/>
          <w:color w:val="000000" w:themeColor="text1"/>
          <w:sz w:val="32"/>
          <w:szCs w:val="32"/>
          <w14:textFill>
            <w14:solidFill>
              <w14:schemeClr w14:val="tx1"/>
            </w14:solidFill>
          </w14:textFill>
        </w:rPr>
        <w:t>贯彻落实《青岛市教育系统安全生产治本攻坚三年行动实施方案（2024-2026年）》，修订《青岛旅游学校全员安全生产责任清单》，健全“人人有责、各负其责”的全员安全责任体系。对照《教育系统重大事故隐患判定指南》，推动建立《部门重大事故隐患执法检查重点事项清单》《企业重大事故隐患重点排查事项清单》，进一步完善学校安全工作制度</w:t>
      </w:r>
      <w:r>
        <w:rPr>
          <w:rFonts w:hint="eastAsia" w:ascii="仿宋_GB2312" w:hAnsi="方正仿宋_GB2312" w:eastAsia="仿宋_GB2312" w:cs="方正仿宋_GB2312"/>
          <w:color w:val="000000" w:themeColor="text1"/>
          <w:sz w:val="32"/>
          <w:szCs w:val="32"/>
          <w:lang w:eastAsia="zh-CN"/>
          <w14:textFill>
            <w14:solidFill>
              <w14:schemeClr w14:val="tx1"/>
            </w14:solidFill>
          </w14:textFill>
        </w:rPr>
        <w:t>。</w:t>
      </w:r>
      <w:r>
        <w:rPr>
          <w:rFonts w:hint="eastAsia" w:ascii="仿宋_GB2312" w:hAnsi="方正仿宋_GB2312" w:eastAsia="仿宋_GB2312" w:cs="方正仿宋_GB2312"/>
          <w:color w:val="000000" w:themeColor="text1"/>
          <w:sz w:val="32"/>
          <w:szCs w:val="32"/>
          <w14:textFill>
            <w14:solidFill>
              <w14:schemeClr w14:val="tx1"/>
            </w14:solidFill>
          </w14:textFill>
        </w:rPr>
        <w:t>建立完善事故隐患内部报告奖励机制，细化排查措施，不断提升隐患排查</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工作积极性和</w:t>
      </w:r>
      <w:r>
        <w:rPr>
          <w:rFonts w:hint="eastAsia" w:ascii="仿宋_GB2312" w:hAnsi="方正仿宋_GB2312" w:eastAsia="仿宋_GB2312" w:cs="方正仿宋_GB2312"/>
          <w:color w:val="000000" w:themeColor="text1"/>
          <w:sz w:val="32"/>
          <w:szCs w:val="32"/>
          <w14:textFill>
            <w14:solidFill>
              <w14:schemeClr w14:val="tx1"/>
            </w14:solidFill>
          </w14:textFill>
        </w:rPr>
        <w:t>整改质量。</w:t>
      </w:r>
    </w:p>
    <w:p>
      <w:pPr>
        <w:snapToGrid w:val="0"/>
        <w:spacing w:line="560" w:lineRule="exact"/>
        <w:ind w:firstLine="643" w:firstLineChars="200"/>
        <w:rPr>
          <w:rFonts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2.提升安全防护监管能力。</w:t>
      </w:r>
      <w:r>
        <w:rPr>
          <w:rFonts w:hint="eastAsia" w:ascii="仿宋_GB2312" w:hAnsi="方正仿宋_GB2312" w:eastAsia="仿宋_GB2312" w:cs="方正仿宋_GB2312"/>
          <w:color w:val="000000" w:themeColor="text1"/>
          <w:sz w:val="32"/>
          <w:szCs w:val="32"/>
          <w14:textFill>
            <w14:solidFill>
              <w14:schemeClr w14:val="tx1"/>
            </w14:solidFill>
          </w14:textFill>
        </w:rPr>
        <w:t>加强重要岗位的安全培训，组织保安、物业、食堂</w:t>
      </w:r>
      <w:r>
        <w:rPr>
          <w:rFonts w:hint="eastAsia" w:ascii="仿宋_GB2312" w:hAnsi="方正仿宋_GB2312" w:eastAsia="仿宋_GB2312" w:cs="方正仿宋_GB2312"/>
          <w:color w:val="000000" w:themeColor="text1"/>
          <w:sz w:val="32"/>
          <w:szCs w:val="32"/>
          <w:lang w:eastAsia="zh-CN"/>
          <w14:textFill>
            <w14:solidFill>
              <w14:schemeClr w14:val="tx1"/>
            </w14:solidFill>
          </w14:textFill>
        </w:rPr>
        <w:t>、</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宿管</w:t>
      </w:r>
      <w:r>
        <w:rPr>
          <w:rFonts w:hint="eastAsia" w:ascii="仿宋_GB2312" w:hAnsi="方正仿宋_GB2312" w:eastAsia="仿宋_GB2312" w:cs="方正仿宋_GB2312"/>
          <w:color w:val="000000" w:themeColor="text1"/>
          <w:sz w:val="32"/>
          <w:szCs w:val="32"/>
          <w14:textFill>
            <w14:solidFill>
              <w14:schemeClr w14:val="tx1"/>
            </w14:solidFill>
          </w14:textFill>
        </w:rPr>
        <w:t>等</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从</w:t>
      </w:r>
      <w:r>
        <w:rPr>
          <w:rFonts w:hint="eastAsia" w:ascii="仿宋_GB2312" w:hAnsi="方正仿宋_GB2312" w:eastAsia="仿宋_GB2312" w:cs="方正仿宋_GB2312"/>
          <w:color w:val="000000" w:themeColor="text1"/>
          <w:sz w:val="32"/>
          <w:szCs w:val="32"/>
          <w14:textFill>
            <w14:solidFill>
              <w14:schemeClr w14:val="tx1"/>
            </w14:solidFill>
          </w14:textFill>
        </w:rPr>
        <w:t>业者安全轮训，推动校园安全防范</w:t>
      </w:r>
      <w:r>
        <w:rPr>
          <w:rFonts w:hint="eastAsia" w:ascii="仿宋_GB2312" w:hAnsi="方正仿宋_GB2312" w:eastAsia="仿宋_GB2312" w:cs="方正仿宋_GB2312"/>
          <w:color w:val="000000" w:themeColor="text1"/>
          <w:sz w:val="32"/>
          <w:szCs w:val="32"/>
          <w:lang w:val="en-US" w:eastAsia="zh-CN"/>
          <w14:textFill>
            <w14:solidFill>
              <w14:schemeClr w14:val="tx1"/>
            </w14:solidFill>
          </w14:textFill>
        </w:rPr>
        <w:t>能力提升</w:t>
      </w:r>
      <w:r>
        <w:rPr>
          <w:rFonts w:hint="eastAsia" w:ascii="仿宋_GB2312" w:hAnsi="方正仿宋_GB2312" w:eastAsia="仿宋_GB2312" w:cs="方正仿宋_GB2312"/>
          <w:color w:val="000000" w:themeColor="text1"/>
          <w:sz w:val="32"/>
          <w:szCs w:val="32"/>
          <w14:textFill>
            <w14:solidFill>
              <w14:schemeClr w14:val="tx1"/>
            </w14:solidFill>
          </w14:textFill>
        </w:rPr>
        <w:t>。每月开展不同主题的应急演练，确保“有隐患能及时发现，有苗头能及时掌握，有事故能及时处置”。建立安保人员双月例会制度，强化技能专业培训。加装学生进出校请销假系统，提高校门口识别管控能力。</w:t>
      </w:r>
    </w:p>
    <w:p>
      <w:pPr>
        <w:snapToGrid w:val="0"/>
        <w:spacing w:line="560" w:lineRule="exact"/>
        <w:ind w:firstLine="643" w:firstLineChars="200"/>
        <w:rPr>
          <w:rFonts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3.开展风险隐患排查整治。</w:t>
      </w:r>
      <w:r>
        <w:rPr>
          <w:rFonts w:hint="eastAsia" w:ascii="仿宋_GB2312" w:hAnsi="方正仿宋_GB2312" w:eastAsia="仿宋_GB2312" w:cs="方正仿宋_GB2312"/>
          <w:color w:val="000000" w:themeColor="text1"/>
          <w:sz w:val="32"/>
          <w:szCs w:val="32"/>
          <w14:textFill>
            <w14:solidFill>
              <w14:schemeClr w14:val="tx1"/>
            </w14:solidFill>
          </w14:textFill>
        </w:rPr>
        <w:t>对照《关于深入开展全市教育系统安全稳定风险隐患大排查大整治的工作方案》要求，围绕安防基础、消防安全、欺凌暴力、防溺水、周边安全、意识形态、食品和饮用水安全等工作重点，深入排查和治理安全稳定风险隐患，遏制各类校园安全事故。认真完成省、市安全平台工作，做好市属学校安全稳定评价工作。</w:t>
      </w:r>
    </w:p>
    <w:p>
      <w:pPr>
        <w:snapToGrid w:val="0"/>
        <w:spacing w:line="560" w:lineRule="exact"/>
        <w:ind w:firstLine="643" w:firstLineChars="200"/>
        <w:rPr>
          <w:rFonts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4.严格食品安全和膳食经费使用管理。</w:t>
      </w:r>
      <w:r>
        <w:rPr>
          <w:rFonts w:hint="eastAsia" w:ascii="仿宋_GB2312" w:hAnsi="方正仿宋_GB2312" w:eastAsia="仿宋_GB2312" w:cs="方正仿宋_GB2312"/>
          <w:color w:val="000000" w:themeColor="text1"/>
          <w:sz w:val="32"/>
          <w:szCs w:val="32"/>
          <w14:textFill>
            <w14:solidFill>
              <w14:schemeClr w14:val="tx1"/>
            </w14:solidFill>
          </w14:textFill>
        </w:rPr>
        <w:t>严格执行食品安全“日管控、周排查、月调度”工作机制，《青岛市中小学校校长配餐（食堂）管理十条措施》和财务相关制度等要求，建立完善、公开、规范的膳食经费管理措施，接受各种形式的财务审计。对照问题清单，持续排查整改，发挥部门联动效应，邀请师生家长共同参与到食堂调研，扎实开展相关工作，切实督促学校落实食品安全主体责任，协同共治提升校园食品安全风险防控能力。</w:t>
      </w:r>
    </w:p>
    <w:p>
      <w:pPr>
        <w:snapToGrid w:val="0"/>
        <w:spacing w:line="560" w:lineRule="exact"/>
        <w:ind w:firstLine="643" w:firstLineChars="200"/>
        <w:rPr>
          <w:rFonts w:ascii="仿宋_GB2312" w:hAnsi="方正仿宋_GB2312" w:eastAsia="仿宋_GB2312" w:cs="方正仿宋_GB2312"/>
          <w:color w:val="000000" w:themeColor="text1"/>
          <w:sz w:val="32"/>
          <w:szCs w:val="32"/>
          <w:lang w:val="zh-CN"/>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5.</w:t>
      </w:r>
      <w:r>
        <w:rPr>
          <w:rFonts w:hint="eastAsia" w:ascii="仿宋_GB2312" w:hAnsi="方正仿宋_GB2312" w:eastAsia="仿宋_GB2312" w:cs="方正仿宋_GB2312"/>
          <w:b/>
          <w:bCs/>
          <w:color w:val="000000" w:themeColor="text1"/>
          <w:sz w:val="32"/>
          <w:szCs w:val="32"/>
          <w:lang w:val="zh-CN"/>
          <w14:textFill>
            <w14:solidFill>
              <w14:schemeClr w14:val="tx1"/>
            </w14:solidFill>
          </w14:textFill>
        </w:rPr>
        <w:t>加强财务和资产管理。</w:t>
      </w:r>
      <w:r>
        <w:rPr>
          <w:rFonts w:hint="eastAsia" w:ascii="仿宋_GB2312" w:hAnsi="方正仿宋_GB2312" w:eastAsia="仿宋_GB2312" w:cs="方正仿宋_GB2312"/>
          <w:color w:val="000000" w:themeColor="text1"/>
          <w:sz w:val="32"/>
          <w:szCs w:val="32"/>
          <w14:textFill>
            <w14:solidFill>
              <w14:schemeClr w14:val="tx1"/>
            </w14:solidFill>
          </w14:textFill>
        </w:rPr>
        <w:t>继续严格执行公务支出、重大活动支出、专项经费管理、资产采购、内控等财会制度。全面提升财务预算、资产管理、招标采购、验收付款等全流程业务水平，提升日常财务报销、记账的规范性。完成本年度招标采购验收、固定资产增加、相关资产领用等工作；加强资产验收的管理，提升资产使用效率；完成2024年资产盘查清点工作；完成住宿费、书费等代缴业务；完成与67中新型普职融通班培养费结算业务；落实执行2024年专项资金，按照市局的时间节点完成相应执行比例。</w:t>
      </w:r>
    </w:p>
    <w:p>
      <w:pPr>
        <w:snapToGrid w:val="0"/>
        <w:spacing w:line="560" w:lineRule="exact"/>
        <w:ind w:firstLine="643" w:firstLineChars="200"/>
        <w:rPr>
          <w:rFonts w:ascii="仿宋_GB2312" w:hAnsi="方正仿宋_GB2312" w:eastAsia="仿宋_GB2312" w:cs="方正仿宋_GB2312"/>
          <w:color w:val="000000" w:themeColor="text1"/>
          <w:sz w:val="32"/>
          <w:szCs w:val="32"/>
          <w14:textFill>
            <w14:solidFill>
              <w14:schemeClr w14:val="tx1"/>
            </w14:solidFill>
          </w14:textFill>
        </w:rPr>
      </w:pPr>
      <w:r>
        <w:rPr>
          <w:rFonts w:hint="eastAsia" w:ascii="仿宋_GB2312" w:hAnsi="方正仿宋_GB2312" w:eastAsia="仿宋_GB2312" w:cs="方正仿宋_GB2312"/>
          <w:b/>
          <w:bCs/>
          <w:color w:val="000000" w:themeColor="text1"/>
          <w:sz w:val="32"/>
          <w:szCs w:val="32"/>
          <w14:textFill>
            <w14:solidFill>
              <w14:schemeClr w14:val="tx1"/>
            </w14:solidFill>
          </w14:textFill>
        </w:rPr>
        <w:t>6.</w:t>
      </w:r>
      <w:r>
        <w:rPr>
          <w:rFonts w:hint="eastAsia" w:ascii="仿宋_GB2312" w:hAnsi="方正仿宋_GB2312" w:eastAsia="仿宋_GB2312" w:cs="方正仿宋_GB2312"/>
          <w:b/>
          <w:bCs/>
          <w:color w:val="000000" w:themeColor="text1"/>
          <w:sz w:val="32"/>
          <w:szCs w:val="32"/>
          <w:lang w:val="zh-CN"/>
          <w14:textFill>
            <w14:solidFill>
              <w14:schemeClr w14:val="tx1"/>
            </w14:solidFill>
          </w14:textFill>
        </w:rPr>
        <w:t>积极改善办学条件。</w:t>
      </w:r>
      <w:r>
        <w:rPr>
          <w:rFonts w:hint="eastAsia" w:ascii="仿宋_GB2312" w:hAnsi="方正仿宋_GB2312" w:eastAsia="仿宋_GB2312" w:cs="方正仿宋_GB2312"/>
          <w:color w:val="000000" w:themeColor="text1"/>
          <w:sz w:val="32"/>
          <w:szCs w:val="32"/>
          <w14:textFill>
            <w14:solidFill>
              <w14:schemeClr w14:val="tx1"/>
            </w14:solidFill>
          </w14:textFill>
        </w:rPr>
        <w:t>全面落实2024年教育装备和校舍维修任务，推进广播影视专业实训室、文旅实训室、公共计算机机房、智慧录播室、航空实训中心文化建设等项目实施、资金结算及相关审计工作；完成2022、2023年修缮工程结算报审工作；积极申报2025年教育装备及校舍修缮项目，争取专项资金支持学校办学条件提升。</w:t>
      </w:r>
    </w:p>
    <w:p>
      <w:pPr>
        <w:pStyle w:val="4"/>
        <w:spacing w:line="560" w:lineRule="exact"/>
        <w:rPr>
          <w:rFonts w:ascii="仿宋_GB2312" w:hAnsi="方正仿宋_GB2312" w:eastAsia="仿宋_GB2312" w:cs="方正仿宋_GB2312"/>
          <w:color w:val="000000" w:themeColor="text1"/>
          <w:sz w:val="32"/>
          <w:szCs w:val="32"/>
          <w14:textFill>
            <w14:solidFill>
              <w14:schemeClr w14:val="tx1"/>
            </w14:solidFill>
          </w14:textFill>
        </w:rPr>
      </w:pPr>
    </w:p>
    <w:p>
      <w:pPr>
        <w:spacing w:line="560" w:lineRule="exact"/>
        <w:rPr>
          <w:rFonts w:ascii="仿宋_GB2312" w:hAnsi="方正仿宋_GB2312" w:eastAsia="仿宋_GB2312" w:cs="方正仿宋_GB2312"/>
          <w:color w:val="000000" w:themeColor="text1"/>
          <w:sz w:val="32"/>
          <w:szCs w:val="32"/>
          <w14:textFill>
            <w14:solidFill>
              <w14:schemeClr w14:val="tx1"/>
            </w14:solidFill>
          </w14:textFill>
        </w:rPr>
      </w:pPr>
    </w:p>
    <w:p>
      <w:pPr>
        <w:pStyle w:val="4"/>
        <w:spacing w:line="560" w:lineRule="exact"/>
        <w:rPr>
          <w:rFonts w:ascii="仿宋_GB2312" w:hAnsi="方正仿宋_GB2312" w:eastAsia="仿宋_GB2312" w:cs="方正仿宋_GB2312"/>
          <w:color w:val="000000" w:themeColor="text1"/>
          <w:sz w:val="32"/>
          <w:szCs w:val="32"/>
          <w14:textFill>
            <w14:solidFill>
              <w14:schemeClr w14:val="tx1"/>
            </w14:solidFill>
          </w14:textFill>
        </w:rPr>
      </w:pPr>
    </w:p>
    <w:p>
      <w:pPr>
        <w:pStyle w:val="4"/>
        <w:spacing w:line="560" w:lineRule="exact"/>
        <w:rPr>
          <w:rFonts w:ascii="仿宋_GB2312" w:hAnsi="方正仿宋_GB2312" w:eastAsia="仿宋_GB2312" w:cs="方正仿宋_GB2312"/>
          <w:sz w:val="32"/>
          <w:szCs w:val="32"/>
        </w:rPr>
      </w:pPr>
    </w:p>
    <w:p>
      <w:pPr>
        <w:spacing w:line="560" w:lineRule="exac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 xml:space="preserve">                                    青岛旅游学校</w:t>
      </w:r>
    </w:p>
    <w:p>
      <w:pPr>
        <w:pStyle w:val="4"/>
        <w:spacing w:line="560" w:lineRule="exac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 xml:space="preserve">                           2024年8月</w:t>
      </w:r>
      <w:r>
        <w:rPr>
          <w:rFonts w:hint="eastAsia" w:ascii="仿宋_GB2312" w:hAnsi="方正仿宋_GB2312" w:eastAsia="仿宋_GB2312" w:cs="方正仿宋_GB2312"/>
          <w:sz w:val="32"/>
          <w:szCs w:val="32"/>
          <w:lang w:val="en-US" w:eastAsia="zh-CN"/>
        </w:rPr>
        <w:t>30</w:t>
      </w:r>
      <w:r>
        <w:rPr>
          <w:rFonts w:hint="eastAsia" w:ascii="仿宋_GB2312" w:hAnsi="方正仿宋_GB2312" w:eastAsia="仿宋_GB2312" w:cs="方正仿宋_GB2312"/>
          <w:sz w:val="32"/>
          <w:szCs w:val="32"/>
        </w:rPr>
        <w:t>日</w:t>
      </w:r>
    </w:p>
    <w:sectPr>
      <w:footerReference r:id="rId3" w:type="default"/>
      <w:pgSz w:w="11906" w:h="16838"/>
      <w:pgMar w:top="1213" w:right="1293" w:bottom="1213"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93EF8E-F43E-4091-A803-BBA49EFB57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2" w:fontKey="{865F8E7B-70A2-4AA8-932A-CCB9C2A58C3E}"/>
  </w:font>
  <w:font w:name="方正小标宋_GBK">
    <w:panose1 w:val="02000000000000000000"/>
    <w:charset w:val="86"/>
    <w:family w:val="script"/>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89829A91-3CCB-4C7A-A9B5-54E04F7B14EA}"/>
  </w:font>
  <w:font w:name="___WRD_EMBED_SUB_46">
    <w:altName w:val="宋体"/>
    <w:panose1 w:val="00000000000000000000"/>
    <w:charset w:val="86"/>
    <w:family w:val="auto"/>
    <w:pitch w:val="default"/>
    <w:sig w:usb0="00000000" w:usb1="00000000" w:usb2="00000006" w:usb3="00000000" w:csb0="00040001" w:csb1="00000000"/>
    <w:embedRegular r:id="rId4" w:fontKey="{28BCED8D-47A7-490E-A523-7E1A45ABA8C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C6455391-05DC-4800-88D2-D9964FD0DA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092233"/>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DQ4YzVhYzk5NzM0NTllODhlY2ZmOWM1MzU1NzkifQ=="/>
    <w:docVar w:name="KSO_WPS_MARK_KEY" w:val="edb79e8d-581a-45b1-8210-d3ee100606b6"/>
  </w:docVars>
  <w:rsids>
    <w:rsidRoot w:val="21FB6838"/>
    <w:rsid w:val="000012E5"/>
    <w:rsid w:val="00015C4E"/>
    <w:rsid w:val="002750A4"/>
    <w:rsid w:val="002B52B8"/>
    <w:rsid w:val="002D4B63"/>
    <w:rsid w:val="00380DAA"/>
    <w:rsid w:val="003A7234"/>
    <w:rsid w:val="003A7549"/>
    <w:rsid w:val="003B245C"/>
    <w:rsid w:val="003C7723"/>
    <w:rsid w:val="003E0C14"/>
    <w:rsid w:val="00584884"/>
    <w:rsid w:val="005C2DCE"/>
    <w:rsid w:val="00653DDF"/>
    <w:rsid w:val="00681D7E"/>
    <w:rsid w:val="006C14E1"/>
    <w:rsid w:val="006C6D56"/>
    <w:rsid w:val="008079CA"/>
    <w:rsid w:val="00887AA6"/>
    <w:rsid w:val="009669B0"/>
    <w:rsid w:val="0098239F"/>
    <w:rsid w:val="009A14FF"/>
    <w:rsid w:val="009C3DC6"/>
    <w:rsid w:val="00A90B96"/>
    <w:rsid w:val="00AB0427"/>
    <w:rsid w:val="00AE4D25"/>
    <w:rsid w:val="00B5698F"/>
    <w:rsid w:val="00B62509"/>
    <w:rsid w:val="00B94B8E"/>
    <w:rsid w:val="00C3044D"/>
    <w:rsid w:val="00D371A3"/>
    <w:rsid w:val="00D77CCF"/>
    <w:rsid w:val="00DA05C7"/>
    <w:rsid w:val="00E65F84"/>
    <w:rsid w:val="00EA2D9B"/>
    <w:rsid w:val="00F02066"/>
    <w:rsid w:val="00F3102F"/>
    <w:rsid w:val="00FC5A6A"/>
    <w:rsid w:val="01363704"/>
    <w:rsid w:val="03247928"/>
    <w:rsid w:val="0482288A"/>
    <w:rsid w:val="068B011B"/>
    <w:rsid w:val="06935222"/>
    <w:rsid w:val="07300CC3"/>
    <w:rsid w:val="08BC0A60"/>
    <w:rsid w:val="09975029"/>
    <w:rsid w:val="0A847F4B"/>
    <w:rsid w:val="0A8E0417"/>
    <w:rsid w:val="0AE75B3C"/>
    <w:rsid w:val="0C5114BF"/>
    <w:rsid w:val="0D292186"/>
    <w:rsid w:val="0F1B201F"/>
    <w:rsid w:val="0F5C08A7"/>
    <w:rsid w:val="10ED3781"/>
    <w:rsid w:val="111451B1"/>
    <w:rsid w:val="11E15093"/>
    <w:rsid w:val="11FD6FEC"/>
    <w:rsid w:val="13A139A8"/>
    <w:rsid w:val="13C97D6D"/>
    <w:rsid w:val="143516C6"/>
    <w:rsid w:val="14C46136"/>
    <w:rsid w:val="15747FCD"/>
    <w:rsid w:val="16147465"/>
    <w:rsid w:val="16AF02D4"/>
    <w:rsid w:val="16D11DD3"/>
    <w:rsid w:val="16F615E1"/>
    <w:rsid w:val="17FB6783"/>
    <w:rsid w:val="18A5269A"/>
    <w:rsid w:val="18D72D4C"/>
    <w:rsid w:val="19527614"/>
    <w:rsid w:val="195F6ED8"/>
    <w:rsid w:val="1ADD6614"/>
    <w:rsid w:val="1B3A2CE5"/>
    <w:rsid w:val="1C314C71"/>
    <w:rsid w:val="1CC827FD"/>
    <w:rsid w:val="1CE4012E"/>
    <w:rsid w:val="1D0721F5"/>
    <w:rsid w:val="1D113EF3"/>
    <w:rsid w:val="1D3A7D4E"/>
    <w:rsid w:val="1DE27393"/>
    <w:rsid w:val="1DEB777E"/>
    <w:rsid w:val="1E455407"/>
    <w:rsid w:val="1F2E38E2"/>
    <w:rsid w:val="1FFB7C68"/>
    <w:rsid w:val="203471CB"/>
    <w:rsid w:val="20765541"/>
    <w:rsid w:val="20C433A1"/>
    <w:rsid w:val="219F0AC7"/>
    <w:rsid w:val="21DF2C72"/>
    <w:rsid w:val="21FB6838"/>
    <w:rsid w:val="2209417C"/>
    <w:rsid w:val="22135D23"/>
    <w:rsid w:val="2303047E"/>
    <w:rsid w:val="240905DA"/>
    <w:rsid w:val="2480698E"/>
    <w:rsid w:val="25BF34E6"/>
    <w:rsid w:val="25ED1E01"/>
    <w:rsid w:val="283D6944"/>
    <w:rsid w:val="2939535D"/>
    <w:rsid w:val="29D84B76"/>
    <w:rsid w:val="29E269C2"/>
    <w:rsid w:val="2B254913"/>
    <w:rsid w:val="2C770676"/>
    <w:rsid w:val="2D654973"/>
    <w:rsid w:val="2DDE4188"/>
    <w:rsid w:val="2E60513A"/>
    <w:rsid w:val="2F923A19"/>
    <w:rsid w:val="30405480"/>
    <w:rsid w:val="312078D0"/>
    <w:rsid w:val="319475D5"/>
    <w:rsid w:val="32A61CB5"/>
    <w:rsid w:val="32CE4D68"/>
    <w:rsid w:val="342F2FC5"/>
    <w:rsid w:val="345C6AA6"/>
    <w:rsid w:val="3474193F"/>
    <w:rsid w:val="34FB0599"/>
    <w:rsid w:val="355359F9"/>
    <w:rsid w:val="35590355"/>
    <w:rsid w:val="356B1A9D"/>
    <w:rsid w:val="36C941C4"/>
    <w:rsid w:val="37060F75"/>
    <w:rsid w:val="3802392A"/>
    <w:rsid w:val="38196A86"/>
    <w:rsid w:val="390C0398"/>
    <w:rsid w:val="39D76BF8"/>
    <w:rsid w:val="39E8653D"/>
    <w:rsid w:val="3A52002D"/>
    <w:rsid w:val="3B702E61"/>
    <w:rsid w:val="3B90705F"/>
    <w:rsid w:val="3C3A274F"/>
    <w:rsid w:val="3E1F196B"/>
    <w:rsid w:val="3E4800C5"/>
    <w:rsid w:val="42456D8C"/>
    <w:rsid w:val="42823479"/>
    <w:rsid w:val="43D73E07"/>
    <w:rsid w:val="446E1F07"/>
    <w:rsid w:val="44D4794F"/>
    <w:rsid w:val="45356EC9"/>
    <w:rsid w:val="45C73FC5"/>
    <w:rsid w:val="46276812"/>
    <w:rsid w:val="47737835"/>
    <w:rsid w:val="47CE2393"/>
    <w:rsid w:val="48D34A2F"/>
    <w:rsid w:val="49B36C22"/>
    <w:rsid w:val="49D0485D"/>
    <w:rsid w:val="4AEB2504"/>
    <w:rsid w:val="4B223A4B"/>
    <w:rsid w:val="4B2B6DA4"/>
    <w:rsid w:val="4C43011D"/>
    <w:rsid w:val="4CAA019C"/>
    <w:rsid w:val="4D0C0841"/>
    <w:rsid w:val="4D990842"/>
    <w:rsid w:val="4F7D3946"/>
    <w:rsid w:val="4F98252E"/>
    <w:rsid w:val="4FB94CCB"/>
    <w:rsid w:val="4FBD211D"/>
    <w:rsid w:val="5051105B"/>
    <w:rsid w:val="509251CF"/>
    <w:rsid w:val="523F1387"/>
    <w:rsid w:val="526259B3"/>
    <w:rsid w:val="528C45CC"/>
    <w:rsid w:val="5389303B"/>
    <w:rsid w:val="538E4E06"/>
    <w:rsid w:val="53963229"/>
    <w:rsid w:val="53A23C2E"/>
    <w:rsid w:val="53A96AB8"/>
    <w:rsid w:val="544D38E7"/>
    <w:rsid w:val="54EA524A"/>
    <w:rsid w:val="55452810"/>
    <w:rsid w:val="55C614E0"/>
    <w:rsid w:val="56095F34"/>
    <w:rsid w:val="573568B4"/>
    <w:rsid w:val="586C03D1"/>
    <w:rsid w:val="59875AED"/>
    <w:rsid w:val="59BF2FF2"/>
    <w:rsid w:val="5AE66844"/>
    <w:rsid w:val="5CD8040E"/>
    <w:rsid w:val="5EA70098"/>
    <w:rsid w:val="5EB01642"/>
    <w:rsid w:val="5F984926"/>
    <w:rsid w:val="5FED5F7E"/>
    <w:rsid w:val="603E67DA"/>
    <w:rsid w:val="632C642E"/>
    <w:rsid w:val="64642128"/>
    <w:rsid w:val="64912819"/>
    <w:rsid w:val="654C1999"/>
    <w:rsid w:val="667246E5"/>
    <w:rsid w:val="6752497A"/>
    <w:rsid w:val="675D6A8E"/>
    <w:rsid w:val="683323CD"/>
    <w:rsid w:val="69612AB0"/>
    <w:rsid w:val="69CB37D4"/>
    <w:rsid w:val="69DC778F"/>
    <w:rsid w:val="6A0C7949"/>
    <w:rsid w:val="6A1A02B8"/>
    <w:rsid w:val="6A890F99"/>
    <w:rsid w:val="6B7B41AC"/>
    <w:rsid w:val="6C8807B4"/>
    <w:rsid w:val="6CC10EBE"/>
    <w:rsid w:val="6E5D372B"/>
    <w:rsid w:val="6EB551E7"/>
    <w:rsid w:val="6FA53B98"/>
    <w:rsid w:val="70085BDE"/>
    <w:rsid w:val="70983CE4"/>
    <w:rsid w:val="70F74EAF"/>
    <w:rsid w:val="726C367A"/>
    <w:rsid w:val="73440153"/>
    <w:rsid w:val="73A11102"/>
    <w:rsid w:val="73B40E35"/>
    <w:rsid w:val="74277859"/>
    <w:rsid w:val="773A61B4"/>
    <w:rsid w:val="77D71596"/>
    <w:rsid w:val="79EA1A55"/>
    <w:rsid w:val="7B5B0730"/>
    <w:rsid w:val="7BD209F2"/>
    <w:rsid w:val="7C26489A"/>
    <w:rsid w:val="7E2A7130"/>
    <w:rsid w:val="7F0B7D77"/>
    <w:rsid w:val="7F7D6EC7"/>
    <w:rsid w:val="7FC4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9"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jc w:val="center"/>
    </w:pPr>
    <w:rPr>
      <w:rFonts w:ascii="Times New Roman" w:hAnsi="Times New Roman" w:eastAsia="黑体" w:cs="Times New Roman"/>
      <w:sz w:val="24"/>
      <w:szCs w:val="20"/>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ascii="Tahoma" w:hAnsi="Tahoma" w:eastAsia="宋体" w:cs="Times New Roman"/>
      <w:b/>
      <w:sz w:val="24"/>
      <w:szCs w:val="24"/>
    </w:rPr>
  </w:style>
  <w:style w:type="paragraph" w:customStyle="1" w:styleId="12">
    <w:name w:val="TOC1"/>
    <w:basedOn w:val="1"/>
    <w:qFormat/>
    <w:uiPriority w:val="0"/>
    <w:pPr>
      <w:spacing w:line="640" w:lineRule="exact"/>
      <w:ind w:firstLine="705"/>
    </w:pPr>
    <w:rPr>
      <w:rFonts w:ascii="仿宋_GB2312" w:eastAsia="仿宋_GB2312"/>
      <w:sz w:val="36"/>
      <w:szCs w:val="36"/>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1110</Words>
  <Characters>6332</Characters>
  <Lines>52</Lines>
  <Paragraphs>14</Paragraphs>
  <TotalTime>27</TotalTime>
  <ScaleCrop>false</ScaleCrop>
  <LinksUpToDate>false</LinksUpToDate>
  <CharactersWithSpaces>7428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2024-08-29T05:14:00Z</dcterms:created>
  <dc:creator>oo</dc:creator>
  <cp:lastModifiedBy>oo</cp:lastModifiedBy>
  <dcterms:modified xsi:type="dcterms:W3CDTF">2024-09-19T03:07:00Z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D5D3B97EA9CC42AD90F040DB09104747</vt:lpwstr>
  </property>
</Properties>
</file>