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青岛旅游学校202</w:t>
      </w:r>
      <w:r>
        <w:rPr>
          <w:rFonts w:hint="eastAsia" w:ascii="方正小标宋_GBK" w:hAnsi="宋体" w:eastAsia="方正小标宋_GBK"/>
          <w:sz w:val="44"/>
          <w:szCs w:val="44"/>
          <w:lang w:val="en-US" w:eastAsia="zh-CN"/>
        </w:rPr>
        <w:t>3</w:t>
      </w:r>
      <w:r>
        <w:rPr>
          <w:rFonts w:hint="eastAsia" w:ascii="方正小标宋_GBK" w:hAnsi="宋体" w:eastAsia="方正小标宋_GBK"/>
          <w:sz w:val="44"/>
          <w:szCs w:val="44"/>
        </w:rPr>
        <w:t>-202</w:t>
      </w:r>
      <w:r>
        <w:rPr>
          <w:rFonts w:hint="eastAsia" w:ascii="方正小标宋_GBK" w:hAnsi="宋体" w:eastAsia="方正小标宋_GBK"/>
          <w:sz w:val="44"/>
          <w:szCs w:val="44"/>
          <w:lang w:val="en-US" w:eastAsia="zh-CN"/>
        </w:rPr>
        <w:t>4</w:t>
      </w:r>
      <w:r>
        <w:rPr>
          <w:rFonts w:hint="eastAsia" w:ascii="方正小标宋_GBK" w:hAnsi="宋体" w:eastAsia="方正小标宋_GBK"/>
          <w:sz w:val="44"/>
          <w:szCs w:val="44"/>
        </w:rPr>
        <w:t>学年度</w:t>
      </w:r>
    </w:p>
    <w:p>
      <w:pPr>
        <w:snapToGrid w:val="0"/>
        <w:spacing w:line="560" w:lineRule="exact"/>
        <w:ind w:firstLine="880" w:firstLineChars="200"/>
        <w:jc w:val="center"/>
        <w:rPr>
          <w:rFonts w:hint="eastAsia" w:ascii="仿宋_GB2312" w:hAnsi="方正公文小标宋" w:eastAsia="方正小标宋_GBK" w:cs="方正公文小标宋"/>
          <w:b/>
          <w:bCs/>
          <w:sz w:val="32"/>
          <w:szCs w:val="32"/>
          <w:lang w:val="en-US" w:eastAsia="zh-CN"/>
        </w:rPr>
      </w:pPr>
      <w:r>
        <w:rPr>
          <w:rFonts w:hint="eastAsia" w:ascii="方正小标宋_GBK" w:hAnsi="宋体" w:eastAsia="方正小标宋_GBK"/>
          <w:sz w:val="44"/>
          <w:szCs w:val="44"/>
        </w:rPr>
        <w:t>第</w:t>
      </w:r>
      <w:r>
        <w:rPr>
          <w:rFonts w:hint="eastAsia" w:ascii="方正小标宋_GBK" w:hAnsi="宋体" w:eastAsia="方正小标宋_GBK"/>
          <w:sz w:val="44"/>
          <w:szCs w:val="44"/>
          <w:lang w:val="en-US" w:eastAsia="zh-CN"/>
        </w:rPr>
        <w:t>二</w:t>
      </w:r>
      <w:r>
        <w:rPr>
          <w:rFonts w:hint="eastAsia" w:ascii="方正小标宋_GBK" w:hAnsi="宋体" w:eastAsia="方正小标宋_GBK"/>
          <w:sz w:val="44"/>
          <w:szCs w:val="44"/>
        </w:rPr>
        <w:t>学期工作</w:t>
      </w:r>
      <w:r>
        <w:rPr>
          <w:rFonts w:hint="eastAsia" w:ascii="方正小标宋_GBK" w:hAnsi="宋体" w:eastAsia="方正小标宋_GBK"/>
          <w:sz w:val="44"/>
          <w:szCs w:val="44"/>
          <w:lang w:val="en-US" w:eastAsia="zh-CN"/>
        </w:rPr>
        <w:t>总结</w:t>
      </w:r>
    </w:p>
    <w:p>
      <w:pPr>
        <w:spacing w:line="56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lang w:eastAsia="zh-CN"/>
          <w14:textFill>
            <w14:solidFill>
              <w14:schemeClr w14:val="tx1"/>
            </w14:solidFill>
          </w14:textFill>
        </w:rPr>
      </w:pPr>
      <w:bookmarkStart w:id="2" w:name="_GoBack"/>
      <w:bookmarkEnd w:id="2"/>
      <w:r>
        <w:rPr>
          <w:rFonts w:ascii="Calibri" w:hAnsi="Calibri" w:eastAsia="仿宋_GB2312" w:cs="Calibri"/>
          <w:b/>
          <w:color w:val="FF0000"/>
          <w:sz w:val="32"/>
          <w:szCs w:val="32"/>
        </w:rPr>
        <w:t> </w:t>
      </w:r>
      <w:r>
        <w:rPr>
          <w:rFonts w:hint="eastAsia" w:ascii="仿宋_GB2312" w:hAnsi="仿宋_GB2312" w:eastAsia="仿宋_GB2312" w:cs="仿宋_GB2312"/>
          <w:snapToGrid w:val="0"/>
          <w:color w:val="000000" w:themeColor="text1"/>
          <w:kern w:val="0"/>
          <w:sz w:val="32"/>
          <w:szCs w:val="32"/>
          <w:shd w:val="clear" w:color="auto" w:fill="FFFFFF"/>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023-2024学年度第二学期，学校以习近平新时代中国特色社会主义思想为指导，深入贯彻落实党的二十大精神，落实习近平总书记关于黄河流域生态保护和高质量发展重要讲话精神，不断完善学校内部治理体系，深化专业建设改革，强化教师素质提升，全面推动学校高质量、特色化发展，努力办好人民满意的职业学校，为开启现代化教育强市建设新征程贡献力量。学期内学校取得如下成绩：获山东省新时代“终身学习品牌项目”称号，获评2023年全市教育系统改革创新建设“金点子”奖，案例获评2024年新闻宣传工作优秀案例，《基于督导诊断的“职业+专业”中职高质量育人改革实践案例》入选青岛市局属学校高质量发展督导评价优秀典型案例，学校团委获市教育局五四红旗团委</w:t>
      </w:r>
      <w:r>
        <w:rPr>
          <w:rFonts w:hint="eastAsia" w:ascii="方正仿宋_GB2312" w:hAnsi="方正仿宋_GB2312" w:eastAsia="方正仿宋_GB2312" w:cs="方正仿宋_GB2312"/>
          <w:color w:val="000000" w:themeColor="text1"/>
          <w:sz w:val="32"/>
          <w:szCs w:val="32"/>
          <w:shd w:val="clear" w:color="auto" w:fill="FFFFFF"/>
          <w:lang w:eastAsia="zh-CN"/>
          <w14:textFill>
            <w14:solidFill>
              <w14:schemeClr w14:val="tx1"/>
            </w14:solidFill>
          </w14:textFill>
        </w:rPr>
        <w:t>。</w:t>
      </w:r>
    </w:p>
    <w:p>
      <w:pPr>
        <w:pStyle w:val="2"/>
        <w:rPr>
          <w:rFonts w:hint="eastAsia" w:ascii="仿宋" w:hAnsi="仿宋" w:eastAsia="仿宋"/>
          <w:color w:val="000000" w:themeColor="text1"/>
          <w14:textFill>
            <w14:solidFill>
              <w14:schemeClr w14:val="tx1"/>
            </w14:solidFill>
          </w14:textFill>
        </w:rPr>
      </w:pPr>
    </w:p>
    <w:p>
      <w:pPr>
        <w:pStyle w:val="3"/>
        <w:widowControl/>
        <w:shd w:val="clear" w:color="auto" w:fill="FFFFFF"/>
        <w:spacing w:before="0" w:beforeAutospacing="0" w:after="0" w:afterAutospacing="0" w:line="520" w:lineRule="exact"/>
        <w:rPr>
          <w:rFonts w:ascii="黑体" w:hAnsi="黑体" w:eastAsia="黑体" w:cs="黑体"/>
          <w:b w:val="0"/>
          <w:bCs w:val="0"/>
          <w:snapToGrid w:val="0"/>
          <w:color w:val="000000" w:themeColor="text1"/>
          <w:kern w:val="0"/>
          <w:sz w:val="32"/>
          <w:szCs w:val="32"/>
          <w:shd w:val="clear" w:color="auto" w:fill="FFFFFF"/>
          <w14:textFill>
            <w14:solidFill>
              <w14:schemeClr w14:val="tx1"/>
            </w14:solidFill>
          </w14:textFill>
        </w:rPr>
      </w:pPr>
      <w:bookmarkStart w:id="0" w:name="_Hlk158281435"/>
      <w:r>
        <w:rPr>
          <w:rFonts w:ascii="仿宋" w:hAnsi="仿宋" w:eastAsia="仿宋" w:cs="仿宋"/>
          <w:b w:val="0"/>
          <w:bCs w:val="0"/>
          <w:color w:val="000000" w:themeColor="text1"/>
          <w:kern w:val="2"/>
          <w:sz w:val="32"/>
          <w:szCs w:val="32"/>
          <w14:textFill>
            <w14:solidFill>
              <w14:schemeClr w14:val="tx1"/>
            </w14:solidFill>
          </w14:textFill>
        </w:rPr>
        <w:t xml:space="preserve">  </w:t>
      </w:r>
      <w:r>
        <w:rPr>
          <w:rFonts w:ascii="黑体" w:hAnsi="黑体" w:eastAsia="黑体" w:cs="黑体"/>
          <w:b w:val="0"/>
          <w:bCs w:val="0"/>
          <w:color w:val="000000" w:themeColor="text1"/>
          <w:kern w:val="2"/>
          <w:sz w:val="32"/>
          <w:szCs w:val="32"/>
          <w14:textFill>
            <w14:solidFill>
              <w14:schemeClr w14:val="tx1"/>
            </w14:solidFill>
          </w14:textFill>
        </w:rPr>
        <w:t xml:space="preserve">  </w:t>
      </w:r>
      <w:r>
        <w:rPr>
          <w:rFonts w:ascii="黑体" w:hAnsi="黑体" w:eastAsia="黑体" w:cs="黑体"/>
          <w:b w:val="0"/>
          <w:bCs w:val="0"/>
          <w:snapToGrid w:val="0"/>
          <w:color w:val="000000" w:themeColor="text1"/>
          <w:kern w:val="0"/>
          <w:sz w:val="32"/>
          <w:szCs w:val="32"/>
          <w:shd w:val="clear" w:color="auto" w:fill="FFFFFF"/>
          <w14:textFill>
            <w14:solidFill>
              <w14:schemeClr w14:val="tx1"/>
            </w14:solidFill>
          </w14:textFill>
        </w:rPr>
        <w:t>一、发挥党建引领作用，促进治理能力提升</w:t>
      </w:r>
    </w:p>
    <w:bookmarkEnd w:id="0"/>
    <w:p>
      <w:pPr>
        <w:spacing w:line="560" w:lineRule="exact"/>
        <w:ind w:firstLine="64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1.加强党的全面领导，落实从严治党主体责任。</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严格落实党组织领导的校长负责制要求，共召开党委会11次，研究讨论工作61项，形成六重决议31项。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积极推进清廉校园建设，作为中职校代表在青岛市教育局推进廉洁文化建设专题工作会议上发言。组织完成全体在校生意识形态问卷调研，党委会专题研究并全体党员会通报情况并提出工作要求。加大群众身边不正之风整治力度，对膳食经费、食品安全、教辅教材等进行全面自查，立查立改问题3条。完成了局党组巡访反馈问题整改。</w:t>
      </w:r>
    </w:p>
    <w:p>
      <w:pPr>
        <w:spacing w:line="560" w:lineRule="exact"/>
        <w:ind w:firstLine="64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2.组织党纪学习教育，加强基层党组织建设。</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认真开展党纪学习教育，组织理论学习中心组专题学习1次、书记讲党课1次、读书班1次、集中培训1次、主题党日3次、警示教育基地参观1次、集体廉政谈话1次，全体党员完成“每周一学”摘抄学习。加强基层党组织建设，完成党委、党支部换届工作。规范完善了青岛旅游学校入党积极分子培养联系机制，组织全体以上中层干部、支部委员认真学习《中共青岛市委关于加强新时代党员队伍体系化建设的意见》，完成党统半年统。</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召开了表彰大会，对市、局、校级“两优一先”进行表彰，促全体党员担当实干精气神。</w:t>
      </w:r>
    </w:p>
    <w:p>
      <w:pPr>
        <w:spacing w:line="560" w:lineRule="exact"/>
        <w:ind w:firstLine="64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3.提高各宣传渠道曝光率，统筹做好宣传工作。</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继续做好招生季各宣传渠道维护工作，官微累计推送信息425篇，新媒体中心原创推送抖音号视频34条。加强网评员队伍建设，邀请媒体专家对全体干部和35岁以下青年教师进行集中培训，提高校级网评员的专业性。总结提炼学校宣传工作特色与亮点，《“五做”催生宣传内动力，唱响职教好声音》获评青岛市教育局新闻宣传工作优秀案例。继续加强与各级媒体的联系，先后在中国教育报、青岛晚报、青岛早报等推送学校宣传信息10余篇。</w:t>
      </w:r>
    </w:p>
    <w:p>
      <w:pPr>
        <w:snapToGrid w:val="0"/>
        <w:spacing w:line="560" w:lineRule="exact"/>
        <w:ind w:firstLine="675" w:firstLineChars="200"/>
        <w:jc w:val="left"/>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pacing w:val="8"/>
          <w:kern w:val="0"/>
          <w:sz w:val="32"/>
          <w:szCs w:val="32"/>
          <w14:textFill>
            <w14:solidFill>
              <w14:schemeClr w14:val="tx1"/>
            </w14:solidFill>
          </w14:textFill>
        </w:rPr>
        <w:t>4.</w:t>
      </w: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以创建清廉校园为抓手，提升学校</w:t>
      </w:r>
      <w:r>
        <w:rPr>
          <w:rFonts w:hint="eastAsia" w:ascii="方正仿宋_GB2312" w:hAnsi="方正仿宋_GB2312" w:eastAsia="方正仿宋_GB2312" w:cs="方正仿宋_GB2312"/>
          <w:b/>
          <w:bCs/>
          <w:color w:val="000000" w:themeColor="text1"/>
          <w:kern w:val="0"/>
          <w:sz w:val="32"/>
          <w:szCs w:val="32"/>
          <w:lang w:val="zh-CN"/>
          <w14:textFill>
            <w14:solidFill>
              <w14:schemeClr w14:val="tx1"/>
            </w14:solidFill>
          </w14:textFill>
        </w:rPr>
        <w:t>依法</w:t>
      </w: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治理能力。</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以“学校合法性审查和法律风险定期排查机制建设”和“探索家委会常态化运行机制，创新家校协同育人形式”等两个项目培育为抓手，推进依法治校示范校创建特色学校项目建设工作，完成清廉校园建设分工清单。深入推动纪检工作，为依法治校护航：完成纪检制度汇编17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纪检月报6份，清廉提醒简报6期，</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廉政风险摸排重点岗位47个、风险点112个，师德师风整治台账摸排6期，有偿补课清单上报6期。做好清廉教育，形成廉洁校园氛围：组织开展依法治校专题学习3次，邀请专家入校开展民法典讲座1次，全体教职工法治理论学习2次，法治试卷测试1次；学校党委书记褚维东在青岛市教育局组织处书记培训班上做《聚焦六项工程 扛牢学校高质量发展责任》专题发言。机关纪委书记带领记者团队一行入学校进行清廉校园建设专访。组织</w:t>
      </w:r>
      <w:r>
        <w:rPr>
          <w:rFonts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言传身教，弘扬家风”红色家风馆主题党日活动1次。 </w:t>
      </w:r>
    </w:p>
    <w:p>
      <w:pPr>
        <w:spacing w:line="560" w:lineRule="exact"/>
        <w:ind w:firstLine="643" w:firstLineChars="200"/>
        <w:rPr>
          <w:color w:val="000000" w:themeColor="text1"/>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5.大数据赋能，提高工作效率。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全学期重点推进OA平台建设。完成平台合同审批13份、用印审批142条、收发文1292件</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、公示文件26件。利用校园公示栏、校园网、学校工作群做好校务党务公开，公示36项。</w:t>
      </w:r>
    </w:p>
    <w:p>
      <w:pPr>
        <w:spacing w:line="560" w:lineRule="exact"/>
        <w:jc w:val="lef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6</w:t>
      </w: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 </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弘扬高尚师德，潜心立德树人</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。以“</w:t>
      </w:r>
      <w:bookmarkStart w:id="1" w:name="_Hlk175563374"/>
      <w:r>
        <w:rPr>
          <w:rFonts w:hint="eastAsia" w:ascii="方正仿宋_GB2312" w:hAnsi="方正仿宋_GB2312" w:eastAsia="方正仿宋_GB2312" w:cs="方正仿宋_GB2312"/>
          <w:color w:val="000000" w:themeColor="text1"/>
          <w:sz w:val="32"/>
          <w:szCs w:val="32"/>
          <w14:textFill>
            <w14:solidFill>
              <w14:schemeClr w14:val="tx1"/>
            </w14:solidFill>
          </w14:textFill>
        </w:rPr>
        <w:t>弘扬高尚师德，潜心立德树人</w:t>
      </w:r>
      <w:bookmarkEnd w:id="1"/>
      <w:r>
        <w:rPr>
          <w:rFonts w:hint="eastAsia" w:ascii="方正仿宋_GB2312" w:hAnsi="方正仿宋_GB2312" w:eastAsia="方正仿宋_GB2312" w:cs="方正仿宋_GB2312"/>
          <w:color w:val="000000" w:themeColor="text1"/>
          <w:sz w:val="32"/>
          <w:szCs w:val="32"/>
          <w14:textFill>
            <w14:solidFill>
              <w14:schemeClr w14:val="tx1"/>
            </w14:solidFill>
          </w14:textFill>
        </w:rPr>
        <w:t>”为主题开展师德教育。制定师德活动月方案，组织教职工学习《青岛市中小学幼儿园教师师德考核指导意见》，邀请市教科院魏清泉为学校师生讲授了《我的成长我做主》。通过认真的学习和丰富多彩活动，引领教职工树师德、正师风、铸师魂，提高教师职业意识和职业素养。</w:t>
      </w:r>
    </w:p>
    <w:p>
      <w:pPr>
        <w:spacing w:line="560" w:lineRule="exact"/>
        <w:ind w:firstLine="640" w:firstLineChars="200"/>
        <w:jc w:val="left"/>
        <w:rPr>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 </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7.加强工会自身建设，增强组室凝聚力。</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在丰富课余文化生活的同时，锻炼队伍。着力解决教职工关心的实际问题，为全体会员办理了互助保险和重大疾病保险，并及时做好理赔工作。坚持走访慰问制度，一学期来走访生育、生病、家庭困难教职工17人次，为困难教职工争取上级困难补助。</w:t>
      </w:r>
    </w:p>
    <w:p>
      <w:pPr>
        <w:spacing w:line="520" w:lineRule="exact"/>
        <w:ind w:firstLine="640" w:firstLineChars="200"/>
        <w:rPr>
          <w:rFonts w:hint="eastAsia" w:ascii="黑体" w:hAnsi="黑体" w:eastAsia="黑体" w:cs="黑体"/>
          <w:snapToGrid w:val="0"/>
          <w:color w:val="000000" w:themeColor="text1"/>
          <w:kern w:val="0"/>
          <w:sz w:val="32"/>
          <w:szCs w:val="32"/>
          <w:shd w:val="clear" w:color="auto" w:fill="FFFFFF"/>
          <w14:textFill>
            <w14:solidFill>
              <w14:schemeClr w14:val="tx1"/>
            </w14:solidFill>
          </w14:textFill>
        </w:rPr>
      </w:pPr>
      <w:r>
        <w:rPr>
          <w:rFonts w:hint="eastAsia" w:ascii="黑体" w:hAnsi="黑体" w:eastAsia="黑体" w:cs="黑体"/>
          <w:snapToGrid w:val="0"/>
          <w:color w:val="000000" w:themeColor="text1"/>
          <w:kern w:val="0"/>
          <w:sz w:val="32"/>
          <w:szCs w:val="32"/>
          <w:shd w:val="clear" w:color="auto" w:fill="FFFFFF"/>
          <w14:textFill>
            <w14:solidFill>
              <w14:schemeClr w14:val="tx1"/>
            </w14:solidFill>
          </w14:textFill>
        </w:rPr>
        <w:t>二、 落实育人根本任务，提升精致管理水平</w:t>
      </w:r>
    </w:p>
    <w:p>
      <w:pPr>
        <w:widowControl/>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1.加强德育队伍建设，讲好旅校育人故事。</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坚持“训、赛、研”一体，打造高素质、专业化班主任队伍：组织班主任进行思政教育、心理健康、家庭教育和班级管理相关的培训，</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强化全环境立德树人；组织班主任赴南京、扬州进行实地考察和专题学习；</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姜泽辉进入全市班主任能力比赛决赛。科学制定教师育人工作评价方案，引导落实全员育人导师制，暑假对包含2024级新生在内的全体学生进行了家访。挖掘班主任、班级和学生的亮点和闪光点，凝聚榜样力量，在宣传栏、楼层电视和官微进行优秀班级、优秀学生和“最美班主任”系列宣传。</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2.严格德育常规管理，营造良好育人氛围。</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完善“日反馈、周通报、月评比”，及时反馈，动态调整，教育和管理相结合，每月进行秩序、礼仪、卫生、住宿管理评比表彰，将德育常规做实做细。完成省市两级班级和学生评优。2个班级获省优秀班集体，3个班级获市优秀班级体，23名学生获省市级优秀学生和优秀学生干部，评选校级优秀班集体19个。做好学生安全工作，定期进行防欺凌、防诈骗、禁毒、反恐等专题教育，</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“三支队伍”为学生在校和上下学护航，每月举行应急疏散演练，暑期每日推送防溺水提醒。做好学校传染病防控工作，开展常规卫生、眼保健操、班级日常传染病防控检查、应急处置和因病缺勤等上报工作。</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3.抓实抓细礼仪教育，营造丰富多彩的校园文化。</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在全省中职学校现代治理暨校园文化建设交流活动中学校被遴选为会议发言和现场展示双料交流单位，高质量完成筹备和展示工作，将“知礼以立”的礼仪教育品牌在全省推广。组织了合唱比赛、舞蹈比赛和礼仪操比赛，提高学生艺术素养，强化文明礼仪规范。重视仪式教育，组织了2021级毕业典礼暨成人仪式，进行了成人誓词宣誓和文艺节目展演，丰富了校园文化。积极推进书香校园建设,以“书香四季”为主题开展系列活动，与市北区图书馆等多家单位共建共创书香文化。举办了海洋系列和家庭教育系列的图书推介会，其中师生作品《小王子》、《海错图笔记》等整本书推介优秀视频等已上传至国家智慧教育读书平台。</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4.丰富“慧爱之旅”品牌内涵，深化校家社协同育人。</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规范家长学校和家委会建设，组织第三届家长节、校园开放日、家长驻校办公等活动，召开全校班级家委会主任会议，邀请家长参与合唱、情景剧、礼仪操、毕业典礼等活动。</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成立了“家长经验讲师团”和“家长职业讲师团”，颁发了聘书，组织了2期家庭教育讲座。学校在全市家庭教育指导课巡课中获得“优秀”等次，推荐的金点子获评2023年青岛市中小学幼儿园“家校金点子”三等奖。以《陪伴成长--家长手册》为蓝本，开发校本德育视频课程16节，为家长全面学习家庭教育知识和科学有效的家庭教育方法助力。</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5.加强团组织建设，提升学生自治自理能力。</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加强对团支部工作的指导，召开团支部书记例会6次，组织团支部书记培训3次，开展团支部工作量化考核，评选了市级先进团支部1个，</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校级优秀团支部15个，学校团委获得青岛市教育局五四红旗团委称号。严格按照团员发展程序，</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发展新团员80名。完善志愿服务体系，规范了志愿服务活动的组织和管理，持续打造“爱心之旅”志愿服务品牌，开展了“志愿讲解”“关爱孤寡老人”“服务社区”等志愿服务活动。组织学生参加青岛解放75周年纪念活动，被青岛电视台、大众网、蓝晴等多家媒体报道。</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6.践行“十个一”行动，全面提高学生综合素养。</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召开“十个一”工作专题会，加强“十个一”素养的学科渗透，将“十个一”融入课堂教学，与延安一路社区共建学生“十个一”活动中心。组织足球比赛、春季运动会暨体质健康测试赛、清明诗会、心理情景剧、民俗中的十个一、礼仪操、舞蹈、合唱等丰富多彩的“十个一”校内活动和竞赛，组织110多名学生参加青岛市田径运动会开幕式展演和礼仪服务工作，10多个艺术体育社团有序开展活动，组队参加青岛田径运动会、篮球比赛。</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组织2023级412名学生赴曲阜、台儿庄进行专业研学。</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7.做好“心育”工作，保障学生健康成长。</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 xml:space="preserve">落实学生“心育”工作闭环管理，健全三级心理网络体系，每月召开一次心理专题会议，打造“绿色心桥”品牌。展开全员心理健康筛查，对重点学生进行跟踪谈话，及时排除学生心理危机。组织开展“阳光校园，爱润成长”525心理健康月系列活动，包括：学生团体心理辅导活动、班主任心理健康专题培训、校园心理情景剧比赛、校长听评心理课等活动，制作并发布心理健康宣传短视频2期。  </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8.对标学生需求，提升宿舍精致管理水平。</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制定《住宿生管理手册》《住宿生管理一日清单》《宿舍管理员考核制度》，梳理住宿生晚自习巡查、带回护导、夜间值班管理住宿学生的工作流程。大力整顿宿舍卫生和学生内务，实行日检查反馈、周评比通报、月总结表彰制度，评选学期文明宿舍20个，优秀舍长20名，内务优秀个人50名，男生宿舍内务和卫生情况有大幅度提升。开展足球、篮球、排球、摄影、书法、绘画等住宿生文化和体育活动，丰富学生晚自习生活。</w:t>
      </w:r>
    </w:p>
    <w:p>
      <w:pPr>
        <w:autoSpaceDE w:val="0"/>
        <w:autoSpaceDN w:val="0"/>
        <w:adjustRightInd w:val="0"/>
        <w:spacing w:line="560" w:lineRule="exact"/>
        <w:ind w:firstLine="640" w:firstLineChars="200"/>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三、深化教学改革创新，突出教学中心地位</w:t>
      </w:r>
    </w:p>
    <w:p>
      <w:pPr>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1.加强教学常规管理，夯实教学质量基础。</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落实学校《教师量化考核办法》等制度，组织教研组长述职、量化评议，打造教师成长共同体。深化大教研体系建设：突出教研组作用，制定校本教研计划，中层及以上领导对接教研集备组，推进校本教研集备活动有序进行。学校在全市以《校本教研引领教师发展--基于问题解决的教研集备》为题做经验交流。开展教师读书节系列活动，积极参加市第二届中小学教师读书评比活动，营造校园读书良好氛围。实施课堂教学提升行动。落实校长、书记、教学分管校长、德育分管校长每学期听课 30 节要求，并以此为引领，组织干部、教师开展听课评课活动。完成市教科院职教高教中心教学诊断与改进专题调研，听课30节，语文、数学和酒店教研组组长做了经验汇报，学校师生良好的精神面貌和高效课堂教学受到专家充分肯定。</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完成2021级五年贯通和三二连读各专业转段考核，助力学生顺利进入大专院校继续深造。与山东传媒职业学院对接,完成广播节目制作专业( 2022 级三二连读分段培养)转段考核方案的制定、审核及测试相关工作。以省职业教育教学改革研究项目为引领，组织承办青岛市中职学校课题研究联盟培训活动。</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2.深化团队组织建设，激励教师专业发展。</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开展教科研创新。完成1项省职业教育教学改革研究项目中期论证、1项市教育学会课题开题、1项省职业教育教学研究课题结题、1项市级规划课题中期论证、2项市级规划课题结题、3项市级规划课题申报工作，申报3项市级教学成果。优化教师团队建设。6名教师在2023年青岛市优质课比赛中分获一、二等奖，2个教师团队在2023年市教学能力大赛中获一、二等奖，7名教师分别开设市级公开课、交流课，10名教师参编学科教材，3名教师主持（参与）课题结题，4名教师发表教学论文。实施青年教师培养，完成“扬帆工程”、“青蓝工程”，26名教师完成本年度师徒指导工作。2名青年教师在2023年市青年教师基本功比赛中分获二、三等奖。组织109名教师完成山东省《中小学(幼儿园)教师数字素养提升线上研修活动》，提升教师的专业能力和数字综合素养。</w:t>
      </w:r>
    </w:p>
    <w:p>
      <w:pPr>
        <w:widowControl/>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3.加强课程体系建设，打造校本教学资源库。</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以加强校长课程领导力为载体，以试点初中后五年制高职为契机，充分调研各专业发展状况，形成调研报告，指导学校课程设置动态调整。完善三级课程体系：以省特色化专业建设为载体，推动完成推进“线上线下融合式”校本课程建设，《带你游青岛》、《形体与礼仪》等8门慕课课程有序推进上线中；《探秘旅行社》荣获青岛市中小学精品校本课程；借助2024年现代学徒制试点项目，校企共建《前厅服务与管理》精品课程。积极推动思政教育改革：举办数字化赋能背景下“课程思政之廉洁文化建设”主题教师教学竞赛现场比赛，评选出决赛一等奖5名、二等奖6名、三等奖4名。</w:t>
      </w:r>
    </w:p>
    <w:p>
      <w:pPr>
        <w:pStyle w:val="2"/>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4.强化学生技能形成，夯实大赛成绩基础。</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推进各学科开展 2024 年校园技能文化节，通过校赛营造技能学习氛围，举办了日语技能大赛和礼仪操大赛，为各项大赛储备人才;在2024年青岛市“山口银行杯”日语演讲比赛中荣获一等奖1项、二等奖1项，</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其中窦天健获得中职组第一名。提高实训软硬件条件:新建航空文化体验实训馆，</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丰富航空专业文化建设，增加对外宣传窗口。完成各专业技能普测及酒店专业抽测工作，完成酒店管理师、导游证等</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专业技能证书辅导考试工作。高度重视各级各类技能大赛:对标行业发展和全国强队，组建酒店服务、导游服务、航空服务大赛团队，形成基础梯队+国赛梯队融合互通的选手梯队建设，加强训练过程的规范化、实岗化和严格高效，为大赛再创佳绩不懈努力。</w:t>
      </w:r>
    </w:p>
    <w:p>
      <w:pPr>
        <w:widowControl/>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5.加强重点项目推进，形成优质特色成果。</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试点初中后五年制高职教育办学模式。作为青岛市初中后五年制高职教学改革发展联盟旅游类专业协作组组长，牵头全市旅游大类人才培养方案制定工作,按期完成6个初中后五年制高职人才培养方案的制定、论证、修订、审核、验收工作;其中5个方案被市专家盲审评为优秀，获得市教育局的表扬。二是全力抓好职教高考和 3+4 转段辅导工作。以3545为目标，分阶段、分对象、有重点的优化职教高考教学计划。学校采取了技能分段集中强化、文化课晚自习集中强化等手段，根据职教高考的考试安排进行了专项教学设置。2024年学校职教高考本科达线89人，旅游和酒店专业本科达线率均位列青岛市第一位。三是完成2022级三二连读转职教高考方向学生分流，通过摸底考试、升学规划等形式，服务学生做出正确选择。四是做好新型职普融通试点。</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与六十七中开展联合教研活动，通过听课和师生座谈，搭建职普共建共享平台。五是持续推进旅游服务与管理专业省特色化专业建设项目。完成2024年省特色化专业建设中期评估整改和专项资金执行情况统计上报工作，完成特色化专业建设学校的互学互鉴工作。 六是做好教材建设使用工作。按要求严格落实对教材使用及选用、教辅材料征订与使用，完成自查和整改工作。依据《青岛旅游学校教材管理规定》，组织行业企业专家和高校专家对13本韩语教材和15本日语教材进行全面审核。</w:t>
      </w:r>
    </w:p>
    <w:p>
      <w:pPr>
        <w:spacing w:line="560" w:lineRule="exact"/>
        <w:ind w:firstLine="640" w:firstLineChars="200"/>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四、深化产教融合，提高人才培养与产业需求匹配度</w:t>
      </w:r>
    </w:p>
    <w:p>
      <w:pPr>
        <w:snapToGrid w:val="0"/>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1.深化校企合作育人，推进现代学徒制试点。</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组织2022级旅游服务与管理专业学生参与名企名家进校园系列活动，拓展专业认知，提升专业技能。与青岛黄海饭店、青岛国信海天大酒店有限公司开展第六批高星级饭店运营与管理专业学生现代学徒制试点项目，完成2024年度现代学徒制试点项目中期检查考核验收工作。</w:t>
      </w:r>
    </w:p>
    <w:p>
      <w:pPr>
        <w:snapToGrid w:val="0"/>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2.深化校企合作，拓宽顶岗实习实践渠道。</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安排2021级130名酒店大类专业学生到青岛香格里达酒店、海尔洲际酒店、瑞吉酒店等10家酒店开展实习。安排2022级航空专业73名学生到青岛胶东国际机场、北京总后开展实习。按照青职院大学实习管理的相关要求，建立大专部实习操作和评价系统，制定实习方案和应急预案，构建起五年制贯通培养学生实习计划和各项规章制度。密切对接青职院旅游学院，做好2019级五年制贯通培养旅游管理、旅游日语和应用韩语专业123名毕业生的就业管理等工作，初步完成90%以上的就业率，实现优质就业。</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安排2020级128名大专实习生赴青啤博物馆、港中旅、世园假日酒店等11家优质企业开展实习，为后续顺利就业奠定基础。</w:t>
      </w:r>
    </w:p>
    <w:p>
      <w:pPr>
        <w:snapToGrid w:val="0"/>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3.深化国际交流合作，探索发展新模式。</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与韩国庆南旅游学校建立合作交流关系，双方校长和相关专业师生进行第一次线上交流活动。推进中外合作办学模式，拓宽学生留学渠道。与日本武藏浦和日本语学院签订战略合作协议，为学生海外留学提供了一个新的平台。积极参与各级各类国际交流竞赛活动，5名学生在“第二十四届世界华人学生作文大赛”中分获二等奖、三等奖，语文组5位老师获评优秀指导教师。香港赛马会官立中学、香港资优教育教师协会共计63名师生来校参访进行座谈，探索交流合作。</w:t>
      </w:r>
    </w:p>
    <w:p>
      <w:pPr>
        <w:autoSpaceDE w:val="0"/>
        <w:autoSpaceDN w:val="0"/>
        <w:adjustRightInd w:val="0"/>
        <w:snapToGrid w:val="0"/>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4.加强校企深度合作，加大社会服务力度。</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继续推进市规划课题研究，发表两篇相关论文，探索职教集团实体化运作。开展社会化培训：开设了咖啡与果茶制作和中国舞两门老年教育课程，</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精准服务老年教育。拓宽学生发展平台：</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学校与青岛旅游集团、青岛国信集团、</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山东影人科技教育有限公司和山东尚邦创意设计有限公司等行业头部企业达成战略合作关系，</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建立对口实习企业岗位群，覆盖学校所有初中后五年制高职专业。</w:t>
      </w:r>
    </w:p>
    <w:p>
      <w:pPr>
        <w:spacing w:line="520" w:lineRule="exact"/>
        <w:ind w:firstLine="640" w:firstLineChars="200"/>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五、凝聚多方力量，全力做好招生宣传工作</w:t>
      </w:r>
    </w:p>
    <w:p>
      <w:pPr>
        <w:widowControl/>
        <w:snapToGrid w:val="0"/>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1.科学制定招生工作方案。</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制定了2024年招生计划。学校在充分调研的基础上，抓住举办初中后五年制高职机遇，与联办院校充分沟通，确定2024年的招生计划，学校计划以新型普职融通班、普职融通实验班、五年制高职的办学模式招收690人，比往年扩招100人。启动全员招生模式。召开招生总结动员会，全面总结2023年招生情况，总结经验，反思不足，全面传达解读2024年全市招生相关政策。制定2024年招生工作方案，组织培训，明确责任分工和工作要求。成立以10名中层干部为组长的招生小组，共有54名教职员工加入招生团队。</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各个招生小组通过线上线下的方式向全市初中学校开展了全面深入的招生宣传。</w:t>
      </w:r>
    </w:p>
    <w:p>
      <w:pPr>
        <w:widowControl/>
        <w:snapToGrid w:val="0"/>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2.线上线下相结合的开展招生工作。</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协同各部门，充分利用各媒体优势全方位宣传学校。设计制作2024年招生手册、家长明白纸、常见问题答疑、各专业大图、专业介绍图文微信和短视频等材料。组建了15个招生咨询群，近2000名学生家长通过学校招生咨询群了解学校办学情况和招生政策。制定航空服务专业面试方案，共面试通过了243人。通过校长直播、招生咨询会、开放校园、职业体验活动，向全市家长学生展示学校优秀办学成果，帮助学生家长全面了解旅游学校，受到学生家长广泛赞誉。</w:t>
      </w:r>
    </w:p>
    <w:p>
      <w:pPr>
        <w:widowControl/>
        <w:snapToGrid w:val="0"/>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3.做好录取、补录及学籍等工作。</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严格执行山东省、青岛市招生录取办法，按照规定组织报名、面试和录取工作。做好新生分班、发榜等工作。顺利完成2021级363名“三二连读”学生转段工作。</w:t>
      </w:r>
    </w:p>
    <w:p>
      <w:pPr>
        <w:spacing w:line="560" w:lineRule="exact"/>
        <w:ind w:firstLine="643" w:firstLineChars="200"/>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4.顺利圆满完成2024年学生招录工作。</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学校全体教职员工上下一心，砥砺奋进，共录取了14个班642人。</w:t>
      </w:r>
    </w:p>
    <w:p>
      <w:pPr>
        <w:spacing w:line="520" w:lineRule="exact"/>
        <w:ind w:firstLine="640" w:firstLineChars="200"/>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六、夯实后勤保障基石，建设安全稳定校园</w:t>
      </w:r>
    </w:p>
    <w:p>
      <w:pPr>
        <w:widowControl/>
        <w:snapToGrid w:val="0"/>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1.合理合规使用资金/资产。</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严格执行资产采购、三公经费、专项经费等资金使用管理制度，坚持对财务精细化预算和执行的管理监督，按计划规范推进和完成政府采购、自行采购预算执行工作。精准完成了月度、资产统计、债务申报、财务报表、纳税申报，住宿费、课本费代收、代缴、专项资金绩效评价等常规财务工作。规范落实校产管理规定，做到新增资产及时确认、存量资产定期盘点、领用资产登记规范、资产报废合法合规，相关手续规范、票据齐全、账务规范，账实、账账相符。截止6月底2024年学校新增固定资产127.5万元 ，报废资产44.76万元，资产总额1275.2万元。</w:t>
      </w:r>
    </w:p>
    <w:p>
      <w:pPr>
        <w:widowControl/>
        <w:snapToGrid w:val="0"/>
        <w:spacing w:line="560" w:lineRule="exact"/>
        <w:ind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2.积极改善办学条件。</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全面落实2024教育装备及项目校舍修缮项目，完成了延安一路校区航空模拟仓文化升级项目、延安一路校区雨污水管道改造、明霞路校区污水改造等修缮项目；配合各部门完成了计算机机房更新、文旅实训室项目、智慧录播教室项目、广播影视实训（除信创部分）等项目招标采购及实施、验收工作。</w:t>
      </w:r>
    </w:p>
    <w:p>
      <w:pPr>
        <w:adjustRightInd w:val="0"/>
        <w:snapToGrid w:val="0"/>
        <w:spacing w:line="560" w:lineRule="exact"/>
        <w:ind w:right="-105" w:rightChars="-50"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3.打造动态</w:t>
      </w:r>
      <w:r>
        <w:rPr>
          <w:rFonts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网格化管理模式</w:t>
      </w: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按照“党政同责、一岗双责”、“三管三必须”原则，通过省市</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安全平台和安全</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检查日</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等形式，</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将</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安全与</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业务”</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安全与</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网格管理”</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 xml:space="preserve"> 有效结合，</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提高</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管理人员</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对安全</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职责</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和</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重点</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部位的深度了解，</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不断</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完善</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风险分区和职责分类双重防控体系，</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持续</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构建“横向到边、纵向到底”的责任体系，逐渐形成“一网多格、一格多员、责任到人”的动态网格化管理模式。</w:t>
      </w:r>
    </w:p>
    <w:p>
      <w:pPr>
        <w:adjustRightInd w:val="0"/>
        <w:snapToGrid w:val="0"/>
        <w:spacing w:line="560" w:lineRule="exact"/>
        <w:ind w:right="-105" w:rightChars="-50" w:firstLine="643" w:firstLineChars="200"/>
        <w:jc w:val="left"/>
        <w:rPr>
          <w:color w:val="000000" w:themeColor="text1"/>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4.落实消防安全隐患整治。</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坚持日巡周查月检常态化措施，严格落实安全日检查制度</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，分组分区、网格排查，建立问题清单，限时挂账销号，做好整改落实，切实消除各类安全隐患。开展“破网、清道、透窗”行动，拆除人员密集场所门窗设置影响逃生和灭火救援障碍物130余处。</w:t>
      </w:r>
    </w:p>
    <w:p>
      <w:pPr>
        <w:adjustRightInd w:val="0"/>
        <w:snapToGrid w:val="0"/>
        <w:spacing w:line="560" w:lineRule="exact"/>
        <w:ind w:right="-105" w:rightChars="-50" w:firstLine="643" w:firstLineChars="200"/>
        <w:jc w:val="left"/>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color="auto" w:fill="FFFFFF"/>
          <w14:textFill>
            <w14:solidFill>
              <w14:schemeClr w14:val="tx1"/>
            </w14:solidFill>
          </w14:textFill>
        </w:rPr>
        <w:t>5.认真做好校园食品安全和膳食经费管理专项整治。</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研究</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制定整治方案和措施，建立问题清单、形成整改台账、以超常规的工作态度和措施有效推进问题</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整改</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。食堂</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共自查自纠</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问题</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8项，市级督查</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发现问题</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5项</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目前</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已</w:t>
      </w:r>
      <w:r>
        <w:rPr>
          <w:rFonts w:hint="eastAsia"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全部</w:t>
      </w:r>
      <w:r>
        <w:rPr>
          <w:rFonts w:ascii="方正仿宋_GB2312" w:hAnsi="方正仿宋_GB2312" w:eastAsia="方正仿宋_GB2312" w:cs="方正仿宋_GB2312"/>
          <w:color w:val="000000" w:themeColor="text1"/>
          <w:sz w:val="32"/>
          <w:szCs w:val="32"/>
          <w:shd w:val="clear" w:color="auto" w:fill="FFFFFF"/>
          <w14:textFill>
            <w14:solidFill>
              <w14:schemeClr w14:val="tx1"/>
            </w14:solidFill>
          </w14:textFill>
        </w:rPr>
        <w:t>整改完毕。</w:t>
      </w:r>
    </w:p>
    <w:p>
      <w:pPr>
        <w:spacing w:line="560" w:lineRule="exact"/>
        <w:jc w:val="left"/>
        <w:rPr>
          <w:rFonts w:hint="eastAsia" w:ascii="方正仿宋_GB2312" w:hAnsi="方正仿宋_GB2312" w:eastAsia="方正仿宋_GB2312" w:cs="方正仿宋_GB2312"/>
          <w:color w:val="000000"/>
          <w:sz w:val="32"/>
          <w:szCs w:val="32"/>
          <w:shd w:val="clear" w:color="auto" w:fill="FFFFFF"/>
        </w:rPr>
      </w:pPr>
    </w:p>
    <w:p>
      <w:pPr>
        <w:rPr>
          <w:color w:val="000000" w:themeColor="text1"/>
          <w14:textFill>
            <w14:solidFill>
              <w14:schemeClr w14:val="tx1"/>
            </w14:solidFill>
          </w14:textFill>
        </w:rPr>
      </w:pPr>
    </w:p>
    <w:p>
      <w:pPr>
        <w:rPr>
          <w:rFonts w:hint="eastAsia" w:ascii="微软雅黑" w:hAnsi="微软雅黑" w:eastAsia="微软雅黑" w:cs="宋体"/>
          <w:bCs/>
          <w:kern w:val="0"/>
          <w:sz w:val="32"/>
          <w:szCs w:val="32"/>
        </w:rPr>
      </w:pPr>
    </w:p>
    <w:p>
      <w:pPr>
        <w:rPr>
          <w:rFonts w:hint="eastAsia" w:ascii="微软雅黑" w:hAnsi="微软雅黑" w:eastAsia="微软雅黑" w:cs="宋体"/>
          <w:bCs/>
          <w:kern w:val="0"/>
          <w:sz w:val="32"/>
          <w:szCs w:val="32"/>
        </w:rPr>
      </w:pPr>
      <w:r>
        <w:rPr>
          <w:rFonts w:hint="eastAsia" w:ascii="微软雅黑" w:hAnsi="微软雅黑" w:eastAsia="微软雅黑" w:cs="宋体"/>
          <w:bCs/>
          <w:kern w:val="0"/>
          <w:sz w:val="32"/>
          <w:szCs w:val="32"/>
        </w:rPr>
        <w:t>附件</w:t>
      </w:r>
    </w:p>
    <w:p>
      <w:pPr>
        <w:spacing w:line="520" w:lineRule="exact"/>
        <w:ind w:firstLine="600" w:firstLineChars="200"/>
        <w:jc w:val="left"/>
        <w:rPr>
          <w:rFonts w:ascii="仿宋_GB2312" w:eastAsia="仿宋_GB2312"/>
          <w:color w:val="FF0000"/>
          <w:sz w:val="30"/>
          <w:szCs w:val="30"/>
          <w:highlight w:val="yellow"/>
          <w:lang w:val="zh-CN"/>
        </w:rPr>
      </w:pPr>
    </w:p>
    <w:tbl>
      <w:tblPr>
        <w:tblStyle w:val="9"/>
        <w:tblpPr w:leftFromText="180" w:rightFromText="180" w:vertAnchor="text" w:horzAnchor="margin" w:tblpY="387"/>
        <w:tblW w:w="8472" w:type="dxa"/>
        <w:tblInd w:w="0" w:type="dxa"/>
        <w:tblLayout w:type="autofit"/>
        <w:tblCellMar>
          <w:top w:w="0" w:type="dxa"/>
          <w:left w:w="108" w:type="dxa"/>
          <w:bottom w:w="0" w:type="dxa"/>
          <w:right w:w="108" w:type="dxa"/>
        </w:tblCellMar>
      </w:tblPr>
      <w:tblGrid>
        <w:gridCol w:w="1809"/>
        <w:gridCol w:w="3119"/>
        <w:gridCol w:w="1701"/>
        <w:gridCol w:w="1843"/>
      </w:tblGrid>
      <w:tr>
        <w:tblPrEx>
          <w:tblCellMar>
            <w:top w:w="0" w:type="dxa"/>
            <w:left w:w="108" w:type="dxa"/>
            <w:bottom w:w="0" w:type="dxa"/>
            <w:right w:w="108" w:type="dxa"/>
          </w:tblCellMar>
        </w:tblPrEx>
        <w:trPr>
          <w:trHeight w:val="1640" w:hRule="atLeast"/>
        </w:trPr>
        <w:tc>
          <w:tcPr>
            <w:tcW w:w="8472" w:type="dxa"/>
            <w:gridSpan w:val="4"/>
            <w:tcBorders>
              <w:top w:val="nil"/>
              <w:left w:val="nil"/>
              <w:bottom w:val="nil"/>
              <w:right w:val="nil"/>
            </w:tcBorders>
            <w:shd w:val="clear" w:color="auto" w:fill="auto"/>
            <w:noWrap/>
            <w:vAlign w:val="center"/>
          </w:tcPr>
          <w:p>
            <w:pPr>
              <w:widowControl/>
              <w:jc w:val="center"/>
              <w:rPr>
                <w:rFonts w:hint="eastAsia" w:ascii="仿宋_GB2312" w:hAnsi="仿宋" w:eastAsia="仿宋_GB2312" w:cs="仿宋"/>
                <w:b/>
                <w:bCs/>
                <w:sz w:val="28"/>
                <w:szCs w:val="28"/>
                <w:lang w:val="zh-CN"/>
              </w:rPr>
            </w:pPr>
            <w:r>
              <w:rPr>
                <w:rFonts w:hint="eastAsia" w:ascii="仿宋_GB2312" w:hAnsi="仿宋" w:eastAsia="仿宋_GB2312" w:cs="仿宋"/>
                <w:b/>
                <w:bCs/>
                <w:sz w:val="28"/>
                <w:szCs w:val="28"/>
                <w:lang w:val="zh-CN"/>
              </w:rPr>
              <w:t>青岛旅游学校202</w:t>
            </w:r>
            <w:r>
              <w:rPr>
                <w:rFonts w:hint="eastAsia" w:ascii="仿宋_GB2312" w:hAnsi="仿宋" w:eastAsia="仿宋_GB2312" w:cs="仿宋"/>
                <w:b/>
                <w:bCs/>
                <w:sz w:val="28"/>
                <w:szCs w:val="28"/>
                <w:lang w:val="en-US" w:eastAsia="zh-CN"/>
              </w:rPr>
              <w:t>3</w:t>
            </w:r>
            <w:r>
              <w:rPr>
                <w:rFonts w:hint="eastAsia" w:ascii="仿宋_GB2312" w:hAnsi="仿宋" w:eastAsia="仿宋_GB2312" w:cs="仿宋"/>
                <w:b/>
                <w:bCs/>
                <w:sz w:val="28"/>
                <w:szCs w:val="28"/>
                <w:lang w:val="zh-CN"/>
              </w:rPr>
              <w:t>-202</w:t>
            </w:r>
            <w:r>
              <w:rPr>
                <w:rFonts w:hint="eastAsia" w:ascii="仿宋_GB2312" w:hAnsi="仿宋" w:eastAsia="仿宋_GB2312" w:cs="仿宋"/>
                <w:b/>
                <w:bCs/>
                <w:sz w:val="28"/>
                <w:szCs w:val="28"/>
                <w:lang w:val="en-US" w:eastAsia="zh-CN"/>
              </w:rPr>
              <w:t>4</w:t>
            </w:r>
            <w:r>
              <w:rPr>
                <w:rFonts w:hint="eastAsia" w:ascii="仿宋_GB2312" w:hAnsi="仿宋" w:eastAsia="仿宋_GB2312" w:cs="仿宋"/>
                <w:b/>
                <w:bCs/>
                <w:sz w:val="28"/>
                <w:szCs w:val="28"/>
                <w:lang w:val="zh-CN"/>
              </w:rPr>
              <w:t>年度荣誉汇总（综合）</w:t>
            </w:r>
          </w:p>
        </w:tc>
      </w:tr>
      <w:tr>
        <w:tblPrEx>
          <w:tblCellMar>
            <w:top w:w="0" w:type="dxa"/>
            <w:left w:w="108" w:type="dxa"/>
            <w:bottom w:w="0" w:type="dxa"/>
            <w:right w:w="108" w:type="dxa"/>
          </w:tblCellMar>
        </w:tblPrEx>
        <w:trPr>
          <w:trHeight w:val="375" w:hRule="atLeast"/>
        </w:trPr>
        <w:tc>
          <w:tcPr>
            <w:tcW w:w="18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获奖教师/团队/部门</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奖项内容</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颁发部门</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b/>
                <w:bCs/>
                <w:color w:val="000000"/>
                <w:kern w:val="0"/>
                <w:sz w:val="22"/>
                <w:szCs w:val="22"/>
              </w:rPr>
            </w:pPr>
            <w:r>
              <w:rPr>
                <w:rFonts w:hint="eastAsia" w:cs="宋体" w:asciiTheme="majorEastAsia" w:hAnsiTheme="majorEastAsia" w:eastAsiaTheme="majorEastAsia"/>
                <w:b/>
                <w:bCs/>
                <w:color w:val="000000"/>
                <w:kern w:val="0"/>
                <w:sz w:val="22"/>
                <w:szCs w:val="22"/>
              </w:rPr>
              <w:t>获奖时间</w:t>
            </w:r>
          </w:p>
        </w:tc>
      </w:tr>
      <w:tr>
        <w:tblPrEx>
          <w:tblCellMar>
            <w:top w:w="0" w:type="dxa"/>
            <w:left w:w="108" w:type="dxa"/>
            <w:bottom w:w="0" w:type="dxa"/>
            <w:right w:w="108" w:type="dxa"/>
          </w:tblCellMar>
        </w:tblPrEx>
        <w:trPr>
          <w:trHeight w:val="1060" w:hRule="atLeast"/>
        </w:trPr>
        <w:tc>
          <w:tcPr>
            <w:tcW w:w="18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 xml:space="preserve">青岛旅游学校 </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2023年全市教育系统改革创新建议</w:t>
            </w:r>
            <w:r>
              <w:rPr>
                <w:rFonts w:hint="eastAsia" w:cs="宋体" w:asciiTheme="majorEastAsia" w:hAnsiTheme="majorEastAsia" w:eastAsiaTheme="majorEastAsia"/>
                <w:color w:val="000000"/>
                <w:kern w:val="0"/>
                <w:sz w:val="22"/>
                <w:szCs w:val="22"/>
              </w:rPr>
              <w:br w:type="textWrapping"/>
            </w:r>
            <w:r>
              <w:rPr>
                <w:rFonts w:hint="eastAsia" w:cs="宋体" w:asciiTheme="majorEastAsia" w:hAnsiTheme="majorEastAsia" w:eastAsiaTheme="majorEastAsia"/>
                <w:color w:val="000000"/>
                <w:kern w:val="0"/>
                <w:sz w:val="22"/>
                <w:szCs w:val="22"/>
              </w:rPr>
              <w:t>“金点子”获奖</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青岛市教育局</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rPr>
              <w:t>2024年2月</w:t>
            </w:r>
          </w:p>
        </w:tc>
      </w:tr>
      <w:tr>
        <w:tblPrEx>
          <w:tblCellMar>
            <w:top w:w="0" w:type="dxa"/>
            <w:left w:w="108" w:type="dxa"/>
            <w:bottom w:w="0" w:type="dxa"/>
            <w:right w:w="108" w:type="dxa"/>
          </w:tblCellMar>
        </w:tblPrEx>
        <w:trPr>
          <w:trHeight w:val="1280" w:hRule="atLeast"/>
        </w:trPr>
        <w:tc>
          <w:tcPr>
            <w:tcW w:w="18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ajorEastAsia" w:hAnsiTheme="majorEastAsia" w:eastAsiaTheme="majorEastAsia"/>
                <w:color w:val="000000"/>
                <w:kern w:val="0"/>
                <w:sz w:val="22"/>
                <w:szCs w:val="22"/>
                <w:lang w:val="en-US" w:eastAsia="zh-CN"/>
              </w:rPr>
            </w:pPr>
            <w:r>
              <w:rPr>
                <w:rFonts w:hint="eastAsia" w:cs="宋体" w:asciiTheme="majorEastAsia" w:hAnsiTheme="majorEastAsia" w:eastAsiaTheme="majorEastAsia"/>
                <w:color w:val="000000"/>
                <w:kern w:val="0"/>
                <w:sz w:val="22"/>
                <w:szCs w:val="22"/>
                <w:lang w:val="en-US" w:eastAsia="zh-CN"/>
              </w:rPr>
              <w:t>青岛旅游学校</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color w:val="000000"/>
                <w:kern w:val="0"/>
                <w:sz w:val="22"/>
                <w:szCs w:val="22"/>
              </w:rPr>
            </w:pPr>
            <w:r>
              <w:rPr>
                <w:rFonts w:hint="eastAsia" w:cs="宋体" w:asciiTheme="majorEastAsia" w:hAnsiTheme="majorEastAsia" w:eastAsiaTheme="majorEastAsia"/>
                <w:color w:val="000000"/>
                <w:kern w:val="0"/>
                <w:sz w:val="22"/>
                <w:szCs w:val="22"/>
                <w:lang w:val="en-US" w:eastAsia="zh-CN"/>
              </w:rPr>
              <w:t>2024年</w:t>
            </w:r>
            <w:r>
              <w:rPr>
                <w:rFonts w:hint="eastAsia" w:cs="宋体" w:asciiTheme="majorEastAsia" w:hAnsiTheme="majorEastAsia" w:eastAsiaTheme="majorEastAsia"/>
                <w:color w:val="000000"/>
                <w:kern w:val="0"/>
                <w:sz w:val="22"/>
                <w:szCs w:val="22"/>
              </w:rPr>
              <w:t>山东省新时代“终身学习品牌项目”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ajorEastAsia" w:hAnsiTheme="majorEastAsia" w:eastAsiaTheme="majorEastAsia"/>
                <w:color w:val="000000"/>
                <w:kern w:val="0"/>
                <w:sz w:val="22"/>
                <w:szCs w:val="22"/>
                <w:lang w:val="en-US" w:eastAsia="zh-CN"/>
              </w:rPr>
            </w:pPr>
            <w:r>
              <w:rPr>
                <w:rFonts w:hint="eastAsia" w:cs="宋体" w:asciiTheme="majorEastAsia" w:hAnsiTheme="majorEastAsia" w:eastAsiaTheme="majorEastAsia"/>
                <w:color w:val="000000"/>
                <w:kern w:val="0"/>
                <w:sz w:val="22"/>
                <w:szCs w:val="22"/>
                <w:lang w:val="en-US" w:eastAsia="zh-CN"/>
              </w:rPr>
              <w:t>山东省成人教育学会</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default" w:cs="宋体" w:asciiTheme="majorEastAsia" w:hAnsiTheme="majorEastAsia" w:eastAsiaTheme="majorEastAsia"/>
                <w:color w:val="000000"/>
                <w:kern w:val="0"/>
                <w:sz w:val="22"/>
                <w:szCs w:val="22"/>
                <w:lang w:val="en-US" w:eastAsia="zh-CN"/>
              </w:rPr>
            </w:pPr>
            <w:r>
              <w:rPr>
                <w:rFonts w:hint="eastAsia" w:cs="宋体" w:asciiTheme="majorEastAsia" w:hAnsiTheme="majorEastAsia" w:eastAsiaTheme="majorEastAsia"/>
                <w:color w:val="000000"/>
                <w:kern w:val="0"/>
                <w:sz w:val="22"/>
                <w:szCs w:val="22"/>
                <w:lang w:val="en-US" w:eastAsia="zh-CN"/>
              </w:rPr>
              <w:t>2024年4月</w:t>
            </w:r>
          </w:p>
        </w:tc>
      </w:tr>
      <w:tr>
        <w:tblPrEx>
          <w:tblCellMar>
            <w:top w:w="0" w:type="dxa"/>
            <w:left w:w="108" w:type="dxa"/>
            <w:bottom w:w="0" w:type="dxa"/>
            <w:right w:w="108" w:type="dxa"/>
          </w:tblCellMar>
        </w:tblPrEx>
        <w:trPr>
          <w:trHeight w:val="1280" w:hRule="atLeast"/>
        </w:trPr>
        <w:tc>
          <w:tcPr>
            <w:tcW w:w="18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lang w:val="en-US" w:eastAsia="zh-CN"/>
              </w:rPr>
            </w:pPr>
            <w:r>
              <w:rPr>
                <w:rFonts w:hint="eastAsia" w:cs="宋体" w:asciiTheme="majorEastAsia" w:hAnsiTheme="majorEastAsia" w:eastAsiaTheme="majorEastAsia"/>
                <w:color w:val="000000"/>
                <w:kern w:val="0"/>
                <w:sz w:val="22"/>
                <w:szCs w:val="22"/>
                <w:lang w:val="en-US" w:eastAsia="zh-CN"/>
              </w:rPr>
              <w:t>青岛旅游学校</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color w:val="000000"/>
                <w:kern w:val="0"/>
                <w:sz w:val="22"/>
                <w:szCs w:val="22"/>
                <w:lang w:val="en-US" w:eastAsia="zh-CN"/>
              </w:rPr>
            </w:pPr>
            <w:r>
              <w:rPr>
                <w:rFonts w:hint="eastAsia" w:cs="方正仿宋_GB2312" w:asciiTheme="majorEastAsia" w:hAnsiTheme="majorEastAsia" w:eastAsiaTheme="majorEastAsia"/>
                <w:color w:val="000000"/>
                <w:sz w:val="22"/>
                <w:szCs w:val="22"/>
              </w:rPr>
              <w:t>市教育局五四红旗团委</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lang w:val="en-US" w:eastAsia="zh-CN"/>
              </w:rPr>
            </w:pPr>
            <w:r>
              <w:rPr>
                <w:rFonts w:hint="eastAsia" w:cs="宋体" w:asciiTheme="majorEastAsia" w:hAnsiTheme="majorEastAsia" w:eastAsiaTheme="majorEastAsia"/>
                <w:color w:val="000000"/>
                <w:kern w:val="0"/>
                <w:sz w:val="22"/>
                <w:szCs w:val="22"/>
                <w:lang w:val="en-US" w:eastAsia="zh-CN"/>
              </w:rPr>
              <w:t>共青团青岛市教育局委员会</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2"/>
                <w:szCs w:val="22"/>
                <w:lang w:val="en-US" w:eastAsia="zh-CN"/>
              </w:rPr>
            </w:pPr>
            <w:r>
              <w:rPr>
                <w:rFonts w:hint="eastAsia" w:cs="宋体" w:asciiTheme="majorEastAsia" w:hAnsiTheme="majorEastAsia" w:eastAsiaTheme="majorEastAsia"/>
                <w:color w:val="000000"/>
                <w:kern w:val="0"/>
                <w:sz w:val="22"/>
                <w:szCs w:val="22"/>
                <w:lang w:val="en-US" w:eastAsia="zh-CN"/>
              </w:rPr>
              <w:t>2024年4月</w:t>
            </w:r>
          </w:p>
        </w:tc>
      </w:tr>
      <w:tr>
        <w:tblPrEx>
          <w:tblCellMar>
            <w:top w:w="0" w:type="dxa"/>
            <w:left w:w="108" w:type="dxa"/>
            <w:bottom w:w="0" w:type="dxa"/>
            <w:right w:w="108" w:type="dxa"/>
          </w:tblCellMar>
        </w:tblPrEx>
        <w:trPr>
          <w:trHeight w:val="1280" w:hRule="atLeast"/>
        </w:trPr>
        <w:tc>
          <w:tcPr>
            <w:tcW w:w="18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青岛旅游学校</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获评2024年新闻宣传工作优秀案例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青岛市教育局</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2024年7月</w:t>
            </w:r>
          </w:p>
        </w:tc>
      </w:tr>
      <w:tr>
        <w:tblPrEx>
          <w:tblCellMar>
            <w:top w:w="0" w:type="dxa"/>
            <w:left w:w="108" w:type="dxa"/>
            <w:bottom w:w="0" w:type="dxa"/>
            <w:right w:w="108" w:type="dxa"/>
          </w:tblCellMar>
        </w:tblPrEx>
        <w:trPr>
          <w:trHeight w:val="1280" w:hRule="atLeast"/>
        </w:trPr>
        <w:tc>
          <w:tcPr>
            <w:tcW w:w="18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 xml:space="preserve"> 青岛旅游学校</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基于督导诊断的“职业+专业”中职高质量育人改革实践案例  入选青岛市局属学校高质量发展督导评价优秀典型案例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青岛市教育局</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ajorEastAsia" w:hAnsiTheme="majorEastAsia" w:eastAsiaTheme="majorEastAsia"/>
                <w:color w:val="000000"/>
                <w:kern w:val="0"/>
                <w:sz w:val="22"/>
                <w:szCs w:val="22"/>
                <w:lang w:val="en-US" w:eastAsia="zh-CN" w:bidi="ar-SA"/>
              </w:rPr>
            </w:pPr>
            <w:r>
              <w:rPr>
                <w:rFonts w:hint="eastAsia" w:cs="宋体" w:asciiTheme="majorEastAsia" w:hAnsiTheme="majorEastAsia" w:eastAsiaTheme="majorEastAsia"/>
                <w:color w:val="000000"/>
                <w:kern w:val="0"/>
                <w:sz w:val="22"/>
                <w:szCs w:val="22"/>
              </w:rPr>
              <w:t>2024年8月</w:t>
            </w:r>
          </w:p>
        </w:tc>
      </w:tr>
    </w:tbl>
    <w:p>
      <w:pPr>
        <w:pStyle w:val="2"/>
      </w:pPr>
    </w:p>
    <w:p/>
    <w:p>
      <w:pPr>
        <w:pStyle w:val="2"/>
      </w:pPr>
    </w:p>
    <w:p/>
    <w:p>
      <w:pPr>
        <w:jc w:val="center"/>
        <w:rPr>
          <w:rFonts w:hint="eastAsia" w:ascii="仿宋_GB2312" w:hAnsi="仿宋" w:eastAsia="仿宋_GB2312" w:cs="仿宋"/>
          <w:b/>
          <w:bCs/>
          <w:sz w:val="28"/>
          <w:szCs w:val="28"/>
          <w:lang w:val="zh-CN"/>
        </w:rPr>
      </w:pPr>
      <w:r>
        <w:rPr>
          <w:rFonts w:hint="eastAsia" w:ascii="仿宋_GB2312" w:hAnsi="仿宋" w:eastAsia="仿宋_GB2312" w:cs="仿宋"/>
          <w:b/>
          <w:bCs/>
          <w:sz w:val="28"/>
          <w:szCs w:val="28"/>
          <w:lang w:val="zh-CN"/>
        </w:rPr>
        <w:t>202</w:t>
      </w:r>
      <w:r>
        <w:rPr>
          <w:rFonts w:ascii="仿宋_GB2312" w:hAnsi="仿宋" w:eastAsia="仿宋_GB2312" w:cs="仿宋"/>
          <w:b/>
          <w:bCs/>
          <w:sz w:val="28"/>
          <w:szCs w:val="28"/>
          <w:lang w:val="zh-CN"/>
        </w:rPr>
        <w:t>3</w:t>
      </w:r>
      <w:r>
        <w:rPr>
          <w:rFonts w:hint="eastAsia" w:ascii="仿宋_GB2312" w:hAnsi="仿宋" w:eastAsia="仿宋_GB2312" w:cs="仿宋"/>
          <w:b/>
          <w:bCs/>
          <w:sz w:val="28"/>
          <w:szCs w:val="28"/>
          <w:lang w:val="zh-CN"/>
        </w:rPr>
        <w:t>-202</w:t>
      </w:r>
      <w:r>
        <w:rPr>
          <w:rFonts w:ascii="仿宋_GB2312" w:hAnsi="仿宋" w:eastAsia="仿宋_GB2312" w:cs="仿宋"/>
          <w:b/>
          <w:bCs/>
          <w:sz w:val="28"/>
          <w:szCs w:val="28"/>
          <w:lang w:val="zh-CN"/>
        </w:rPr>
        <w:t>4</w:t>
      </w:r>
      <w:r>
        <w:rPr>
          <w:rFonts w:hint="eastAsia" w:ascii="仿宋_GB2312" w:hAnsi="仿宋" w:eastAsia="仿宋_GB2312" w:cs="仿宋"/>
          <w:b/>
          <w:bCs/>
          <w:sz w:val="28"/>
          <w:szCs w:val="28"/>
          <w:lang w:val="zh-CN"/>
        </w:rPr>
        <w:t>年度第二学期荣誉汇总（德育获奖）</w:t>
      </w:r>
    </w:p>
    <w:tbl>
      <w:tblPr>
        <w:tblStyle w:val="9"/>
        <w:tblW w:w="8503" w:type="dxa"/>
        <w:jc w:val="center"/>
        <w:tblLayout w:type="fixed"/>
        <w:tblCellMar>
          <w:top w:w="0" w:type="dxa"/>
          <w:left w:w="108" w:type="dxa"/>
          <w:bottom w:w="0" w:type="dxa"/>
          <w:right w:w="108" w:type="dxa"/>
        </w:tblCellMar>
      </w:tblPr>
      <w:tblGrid>
        <w:gridCol w:w="2500"/>
        <w:gridCol w:w="4154"/>
        <w:gridCol w:w="1849"/>
      </w:tblGrid>
      <w:tr>
        <w:tblPrEx>
          <w:tblCellMar>
            <w:top w:w="0" w:type="dxa"/>
            <w:left w:w="108" w:type="dxa"/>
            <w:bottom w:w="0" w:type="dxa"/>
            <w:right w:w="108" w:type="dxa"/>
          </w:tblCellMar>
        </w:tblPrEx>
        <w:trPr>
          <w:trHeight w:val="375" w:hRule="atLeast"/>
          <w:jc w:val="center"/>
        </w:trPr>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cs="方正仿宋_GB2312" w:asciiTheme="majorEastAsia" w:hAnsiTheme="majorEastAsia" w:eastAsiaTheme="majorEastAsia"/>
                <w:b/>
                <w:bCs/>
                <w:color w:val="000000"/>
                <w:sz w:val="22"/>
                <w:szCs w:val="22"/>
              </w:rPr>
            </w:pPr>
            <w:r>
              <w:rPr>
                <w:rFonts w:hint="eastAsia" w:cs="方正仿宋_GB2312" w:asciiTheme="majorEastAsia" w:hAnsiTheme="majorEastAsia" w:eastAsiaTheme="majorEastAsia"/>
                <w:b/>
                <w:bCs/>
                <w:color w:val="000000"/>
                <w:sz w:val="22"/>
                <w:szCs w:val="22"/>
              </w:rPr>
              <w:t>获奖教师/团队/部门</w:t>
            </w:r>
          </w:p>
        </w:tc>
        <w:tc>
          <w:tcPr>
            <w:tcW w:w="415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b/>
                <w:bCs/>
                <w:color w:val="000000"/>
                <w:sz w:val="22"/>
                <w:szCs w:val="22"/>
              </w:rPr>
            </w:pPr>
            <w:r>
              <w:rPr>
                <w:rFonts w:hint="eastAsia" w:cs="方正仿宋_GB2312" w:asciiTheme="majorEastAsia" w:hAnsiTheme="majorEastAsia" w:eastAsiaTheme="majorEastAsia"/>
                <w:b/>
                <w:bCs/>
                <w:color w:val="000000"/>
                <w:sz w:val="22"/>
                <w:szCs w:val="22"/>
              </w:rPr>
              <w:t>奖项内容</w:t>
            </w:r>
          </w:p>
        </w:tc>
        <w:tc>
          <w:tcPr>
            <w:tcW w:w="184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b/>
                <w:bCs/>
                <w:color w:val="000000"/>
                <w:sz w:val="22"/>
                <w:szCs w:val="22"/>
              </w:rPr>
            </w:pPr>
            <w:r>
              <w:rPr>
                <w:rFonts w:hint="eastAsia" w:cs="方正仿宋_GB2312" w:asciiTheme="majorEastAsia" w:hAnsiTheme="majorEastAsia" w:eastAsiaTheme="majorEastAsia"/>
                <w:b/>
                <w:bCs/>
                <w:color w:val="000000"/>
                <w:sz w:val="22"/>
                <w:szCs w:val="22"/>
              </w:rPr>
              <w:t>获奖等次/名次</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陈娜、徐冬焱</w:t>
            </w:r>
          </w:p>
        </w:tc>
        <w:tc>
          <w:tcPr>
            <w:tcW w:w="41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2023 年“技能成才 强国有我”主题教育活动“职教生心中的二十大”《坚守初心</w:t>
            </w:r>
            <w:r>
              <w:rPr>
                <w:rFonts w:cs="仿宋" w:asciiTheme="majorEastAsia" w:hAnsiTheme="majorEastAsia" w:eastAsiaTheme="majorEastAsia"/>
                <w:color w:val="000000"/>
                <w:sz w:val="22"/>
                <w:szCs w:val="22"/>
              </w:rPr>
              <w:t>，筑 梦起航》</w:t>
            </w:r>
          </w:p>
        </w:tc>
        <w:tc>
          <w:tcPr>
            <w:tcW w:w="184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一等奖</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cs="仿宋" w:asciiTheme="majorEastAsia" w:hAnsiTheme="majorEastAsia" w:eastAsiaTheme="majorEastAsia"/>
                <w:color w:val="000000"/>
                <w:sz w:val="22"/>
                <w:szCs w:val="22"/>
              </w:rPr>
            </w:pPr>
            <w:r>
              <w:rPr>
                <w:rFonts w:cs="仿宋" w:asciiTheme="majorEastAsia" w:hAnsiTheme="majorEastAsia" w:eastAsiaTheme="majorEastAsia"/>
                <w:color w:val="000000"/>
                <w:sz w:val="22"/>
                <w:szCs w:val="22"/>
              </w:rPr>
              <w:t>徐冬焱</w:t>
            </w:r>
            <w:r>
              <w:rPr>
                <w:rFonts w:hint="eastAsia" w:cs="仿宋" w:asciiTheme="majorEastAsia" w:hAnsiTheme="majorEastAsia" w:eastAsiaTheme="majorEastAsia"/>
                <w:color w:val="000000"/>
                <w:sz w:val="22"/>
                <w:szCs w:val="22"/>
              </w:rPr>
              <w:t>、</w:t>
            </w:r>
            <w:r>
              <w:rPr>
                <w:rFonts w:cs="仿宋" w:asciiTheme="majorEastAsia" w:hAnsiTheme="majorEastAsia" w:eastAsiaTheme="majorEastAsia"/>
                <w:color w:val="000000"/>
                <w:sz w:val="22"/>
                <w:szCs w:val="22"/>
              </w:rPr>
              <w:t>乔晓宏</w:t>
            </w:r>
          </w:p>
        </w:tc>
        <w:tc>
          <w:tcPr>
            <w:tcW w:w="41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2023 年“技能成才 强国有我”系列教育活动 “‘未来工匠’读书行动”</w:t>
            </w:r>
            <w:r>
              <w:rPr>
                <w:rFonts w:cs="仿宋" w:asciiTheme="majorEastAsia" w:hAnsiTheme="majorEastAsia" w:eastAsiaTheme="majorEastAsia"/>
                <w:color w:val="000000"/>
                <w:sz w:val="22"/>
                <w:szCs w:val="22"/>
              </w:rPr>
              <w:t>《书香四季，阅旅立人》</w:t>
            </w:r>
          </w:p>
        </w:tc>
        <w:tc>
          <w:tcPr>
            <w:tcW w:w="184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一等奖</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cs="仿宋" w:asciiTheme="majorEastAsia" w:hAnsiTheme="majorEastAsia" w:eastAsiaTheme="majorEastAsia"/>
                <w:color w:val="000000"/>
                <w:sz w:val="22"/>
                <w:szCs w:val="22"/>
              </w:rPr>
            </w:pPr>
            <w:r>
              <w:rPr>
                <w:rFonts w:cs="仿宋" w:asciiTheme="majorEastAsia" w:hAnsiTheme="majorEastAsia" w:eastAsiaTheme="majorEastAsia"/>
                <w:color w:val="000000"/>
                <w:sz w:val="22"/>
                <w:szCs w:val="22"/>
              </w:rPr>
              <w:t>纪晓桃</w:t>
            </w:r>
            <w:r>
              <w:rPr>
                <w:rFonts w:hint="eastAsia" w:cs="仿宋" w:asciiTheme="majorEastAsia" w:hAnsiTheme="majorEastAsia" w:eastAsiaTheme="majorEastAsia"/>
                <w:color w:val="000000"/>
                <w:sz w:val="22"/>
                <w:szCs w:val="22"/>
              </w:rPr>
              <w:t>、</w:t>
            </w:r>
            <w:r>
              <w:rPr>
                <w:rFonts w:cs="仿宋" w:asciiTheme="majorEastAsia" w:hAnsiTheme="majorEastAsia" w:eastAsiaTheme="majorEastAsia"/>
                <w:color w:val="000000"/>
                <w:sz w:val="22"/>
                <w:szCs w:val="22"/>
              </w:rPr>
              <w:t>徐冬焱</w:t>
            </w:r>
          </w:p>
        </w:tc>
        <w:tc>
          <w:tcPr>
            <w:tcW w:w="41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2023 年“技能成才 强国有我”系列教育活动 “‘未来工匠’读书行动”《未来工匠，读书行动》</w:t>
            </w:r>
          </w:p>
        </w:tc>
        <w:tc>
          <w:tcPr>
            <w:tcW w:w="184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一等奖</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cs="仿宋" w:asciiTheme="majorEastAsia" w:hAnsiTheme="majorEastAsia" w:eastAsiaTheme="majorEastAsia"/>
                <w:color w:val="000000"/>
                <w:sz w:val="22"/>
                <w:szCs w:val="22"/>
              </w:rPr>
              <w:t>赵晓文</w:t>
            </w:r>
            <w:r>
              <w:rPr>
                <w:rFonts w:hint="eastAsia" w:cs="仿宋" w:asciiTheme="majorEastAsia" w:hAnsiTheme="majorEastAsia" w:eastAsiaTheme="majorEastAsia"/>
                <w:color w:val="000000"/>
                <w:sz w:val="22"/>
                <w:szCs w:val="22"/>
              </w:rPr>
              <w:t>、</w:t>
            </w:r>
            <w:r>
              <w:rPr>
                <w:rFonts w:cs="仿宋" w:asciiTheme="majorEastAsia" w:hAnsiTheme="majorEastAsia" w:eastAsiaTheme="majorEastAsia"/>
                <w:color w:val="000000"/>
                <w:sz w:val="22"/>
                <w:szCs w:val="22"/>
              </w:rPr>
              <w:t>田霄霄</w:t>
            </w:r>
          </w:p>
        </w:tc>
        <w:tc>
          <w:tcPr>
            <w:tcW w:w="41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2023 年“技能成才 强国有我”主题教育活动“职教生心中的二十大”《古韵今风传非 遗之美》</w:t>
            </w:r>
          </w:p>
        </w:tc>
        <w:tc>
          <w:tcPr>
            <w:tcW w:w="184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二等奖</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张艳</w:t>
            </w:r>
          </w:p>
        </w:tc>
        <w:tc>
          <w:tcPr>
            <w:tcW w:w="41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青岛市高中生辩论赛</w:t>
            </w:r>
          </w:p>
        </w:tc>
        <w:tc>
          <w:tcPr>
            <w:tcW w:w="184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二等奖</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eastAsia" w:cs="仿宋" w:asciiTheme="majorEastAsia" w:hAnsiTheme="majorEastAsia" w:eastAsiaTheme="majorEastAsia"/>
                <w:color w:val="000000"/>
                <w:sz w:val="22"/>
                <w:szCs w:val="22"/>
              </w:rPr>
            </w:pPr>
            <w:r>
              <w:rPr>
                <w:rFonts w:cs="仿宋" w:asciiTheme="majorEastAsia" w:hAnsiTheme="majorEastAsia" w:eastAsiaTheme="majorEastAsia"/>
                <w:color w:val="000000"/>
                <w:sz w:val="22"/>
                <w:szCs w:val="22"/>
              </w:rPr>
              <w:t>田欣</w:t>
            </w:r>
            <w:r>
              <w:rPr>
                <w:rFonts w:hint="eastAsia" w:cs="仿宋" w:asciiTheme="majorEastAsia" w:hAnsiTheme="majorEastAsia" w:eastAsiaTheme="majorEastAsia"/>
                <w:color w:val="000000"/>
                <w:sz w:val="22"/>
                <w:szCs w:val="22"/>
              </w:rPr>
              <w:t>、</w:t>
            </w:r>
            <w:r>
              <w:rPr>
                <w:rFonts w:cs="仿宋" w:asciiTheme="majorEastAsia" w:hAnsiTheme="majorEastAsia" w:eastAsiaTheme="majorEastAsia"/>
                <w:color w:val="000000"/>
                <w:sz w:val="22"/>
                <w:szCs w:val="22"/>
              </w:rPr>
              <w:t>侯素芬</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2023 年“技能成才 强国有我”系列教育活动 “‘悦读伴我成长’职教学生读党报活动”《职教学生读党报》</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rPr>
            </w:pPr>
            <w:r>
              <w:rPr>
                <w:rFonts w:hint="eastAsia" w:cs="方正仿宋_GB2312" w:asciiTheme="majorEastAsia" w:hAnsiTheme="majorEastAsia" w:eastAsiaTheme="majorEastAsia"/>
                <w:color w:val="000000"/>
                <w:sz w:val="22"/>
                <w:szCs w:val="22"/>
              </w:rPr>
              <w:t>三等奖</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eastAsia"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纪晓桃</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r>
              <w:rPr>
                <w:rFonts w:hint="eastAsia" w:cs="方正仿宋_GB2312" w:asciiTheme="majorEastAsia" w:hAnsiTheme="majorEastAsia" w:eastAsiaTheme="majorEastAsia"/>
                <w:color w:val="000000"/>
                <w:sz w:val="22"/>
                <w:szCs w:val="22"/>
                <w:highlight w:val="none"/>
              </w:rPr>
              <w:t>青岛市中小学幼儿园“家校金点子”</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r>
              <w:rPr>
                <w:rFonts w:hint="eastAsia" w:cs="方正仿宋_GB2312" w:asciiTheme="majorEastAsia" w:hAnsiTheme="majorEastAsia" w:eastAsiaTheme="majorEastAsia"/>
                <w:color w:val="000000"/>
                <w:sz w:val="22"/>
                <w:szCs w:val="22"/>
                <w:highlight w:val="none"/>
              </w:rPr>
              <w:t>三等奖</w:t>
            </w: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eastAsia"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王群</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default" w:cs="方正仿宋_GB2312" w:asciiTheme="majorEastAsia" w:hAnsiTheme="majorEastAsia" w:eastAsiaTheme="majorEastAsia"/>
                <w:color w:val="000000"/>
                <w:sz w:val="22"/>
                <w:szCs w:val="22"/>
                <w:highlight w:val="none"/>
                <w:lang w:val="en-US" w:eastAsia="zh-CN"/>
              </w:rPr>
            </w:pPr>
            <w:r>
              <w:rPr>
                <w:rFonts w:hint="eastAsia" w:cs="方正仿宋_GB2312" w:asciiTheme="majorEastAsia" w:hAnsiTheme="majorEastAsia" w:eastAsiaTheme="majorEastAsia"/>
                <w:color w:val="000000"/>
                <w:sz w:val="22"/>
                <w:szCs w:val="22"/>
                <w:highlight w:val="none"/>
              </w:rPr>
              <w:t>青岛市中小学优秀德育工作者</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default"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孟海涛</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lang w:val="en-US" w:eastAsia="zh-CN"/>
              </w:rPr>
            </w:pPr>
            <w:r>
              <w:rPr>
                <w:rFonts w:hint="eastAsia" w:cs="方正仿宋_GB2312" w:asciiTheme="majorEastAsia" w:hAnsiTheme="majorEastAsia" w:eastAsiaTheme="majorEastAsia"/>
                <w:color w:val="000000"/>
                <w:sz w:val="22"/>
                <w:szCs w:val="22"/>
                <w:highlight w:val="none"/>
                <w:lang w:val="en-US" w:eastAsia="zh-CN"/>
              </w:rPr>
              <w:t>论文：《我的18级2班》</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default"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薛增娥</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r>
              <w:rPr>
                <w:rFonts w:hint="eastAsia" w:cs="方正仿宋_GB2312" w:asciiTheme="majorEastAsia" w:hAnsiTheme="majorEastAsia" w:eastAsiaTheme="majorEastAsia"/>
                <w:color w:val="000000"/>
                <w:sz w:val="22"/>
                <w:szCs w:val="22"/>
                <w:highlight w:val="none"/>
                <w:lang w:val="en-US" w:eastAsia="zh-CN"/>
              </w:rPr>
              <w:t>主持教育部“十四五”教育科研规划重点课题结题：</w:t>
            </w:r>
            <w:r>
              <w:rPr>
                <w:rFonts w:hint="eastAsia" w:cs="方正仿宋_GB2312" w:asciiTheme="majorEastAsia" w:hAnsiTheme="majorEastAsia" w:eastAsiaTheme="majorEastAsia"/>
                <w:color w:val="000000"/>
                <w:sz w:val="22"/>
                <w:szCs w:val="22"/>
                <w:highlight w:val="none"/>
              </w:rPr>
              <w:t>《中职班主任家庭教育指导力提升策略研究》</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default" w:cs="方正仿宋_GB2312" w:asciiTheme="majorEastAsia" w:hAnsiTheme="majorEastAsia" w:eastAsiaTheme="majorEastAsia"/>
                <w:color w:val="000000"/>
                <w:sz w:val="22"/>
                <w:szCs w:val="22"/>
                <w:highlight w:val="none"/>
                <w:lang w:val="en-US" w:eastAsia="zh-CN"/>
              </w:rPr>
            </w:pP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default"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薛增娥</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r>
              <w:rPr>
                <w:rFonts w:hint="eastAsia" w:cs="方正仿宋_GB2312" w:asciiTheme="majorEastAsia" w:hAnsiTheme="majorEastAsia" w:eastAsiaTheme="majorEastAsia"/>
                <w:color w:val="000000"/>
                <w:sz w:val="22"/>
                <w:szCs w:val="22"/>
                <w:highlight w:val="none"/>
                <w:lang w:val="en-US" w:eastAsia="zh-CN"/>
              </w:rPr>
              <w:t>论文：</w:t>
            </w:r>
            <w:r>
              <w:rPr>
                <w:rFonts w:hint="eastAsia" w:cs="方正仿宋_GB2312" w:asciiTheme="majorEastAsia" w:hAnsiTheme="majorEastAsia" w:eastAsiaTheme="majorEastAsia"/>
                <w:color w:val="000000"/>
                <w:sz w:val="22"/>
                <w:szCs w:val="22"/>
                <w:highlight w:val="none"/>
              </w:rPr>
              <w:t>《中职班主任指导家庭教育的实践研究》</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default"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薛增娥</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r>
              <w:rPr>
                <w:rFonts w:hint="eastAsia" w:cs="方正仿宋_GB2312" w:asciiTheme="majorEastAsia" w:hAnsiTheme="majorEastAsia" w:eastAsiaTheme="majorEastAsia"/>
                <w:color w:val="000000"/>
                <w:sz w:val="22"/>
                <w:szCs w:val="22"/>
                <w:highlight w:val="none"/>
                <w:lang w:val="en-US" w:eastAsia="zh-CN"/>
              </w:rPr>
              <w:t>论文：</w:t>
            </w:r>
            <w:r>
              <w:rPr>
                <w:rFonts w:hint="eastAsia" w:cs="方正仿宋_GB2312" w:asciiTheme="majorEastAsia" w:hAnsiTheme="majorEastAsia" w:eastAsiaTheme="majorEastAsia"/>
                <w:color w:val="000000"/>
                <w:sz w:val="22"/>
                <w:szCs w:val="22"/>
                <w:highlight w:val="none"/>
                <w:lang w:eastAsia="zh-CN"/>
              </w:rPr>
              <w:t>《</w:t>
            </w:r>
            <w:r>
              <w:rPr>
                <w:rFonts w:hint="eastAsia" w:cs="方正仿宋_GB2312" w:asciiTheme="majorEastAsia" w:hAnsiTheme="majorEastAsia" w:eastAsiaTheme="majorEastAsia"/>
                <w:color w:val="000000"/>
                <w:sz w:val="22"/>
                <w:szCs w:val="22"/>
                <w:highlight w:val="none"/>
              </w:rPr>
              <w:t>中职家校社网心“五位一体”全环境育人实践研究》</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hint="default"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郭淼</w:t>
            </w:r>
          </w:p>
        </w:tc>
        <w:tc>
          <w:tcPr>
            <w:tcW w:w="4154" w:type="dxa"/>
            <w:tcBorders>
              <w:top w:val="nil"/>
              <w:left w:val="nil"/>
              <w:bottom w:val="nil"/>
              <w:right w:val="single" w:color="auto" w:sz="4" w:space="0"/>
            </w:tcBorders>
            <w:shd w:val="clear" w:color="auto" w:fill="auto"/>
            <w:vAlign w:val="center"/>
          </w:tcPr>
          <w:p>
            <w:pPr>
              <w:widowControl/>
              <w:spacing w:line="360" w:lineRule="auto"/>
              <w:jc w:val="center"/>
              <w:rPr>
                <w:rFonts w:hint="default" w:cs="方正仿宋_GB2312" w:asciiTheme="majorEastAsia" w:hAnsiTheme="majorEastAsia" w:eastAsiaTheme="majorEastAsia"/>
                <w:color w:val="000000"/>
                <w:sz w:val="22"/>
                <w:szCs w:val="22"/>
                <w:highlight w:val="none"/>
                <w:lang w:val="en-US" w:eastAsia="zh-CN"/>
              </w:rPr>
            </w:pPr>
            <w:r>
              <w:rPr>
                <w:rFonts w:hint="eastAsia" w:cs="方正仿宋_GB2312" w:asciiTheme="majorEastAsia" w:hAnsiTheme="majorEastAsia" w:eastAsiaTheme="majorEastAsia"/>
                <w:color w:val="000000"/>
                <w:sz w:val="22"/>
                <w:szCs w:val="22"/>
                <w:highlight w:val="none"/>
                <w:lang w:val="en-US" w:eastAsia="zh-CN"/>
              </w:rPr>
              <w:t>论文：中职生成长关键事件亲子沟通策略研究</w:t>
            </w:r>
          </w:p>
        </w:tc>
        <w:tc>
          <w:tcPr>
            <w:tcW w:w="1849" w:type="dxa"/>
            <w:tcBorders>
              <w:top w:val="nil"/>
              <w:left w:val="nil"/>
              <w:bottom w:val="nil"/>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p>
        </w:tc>
      </w:tr>
      <w:tr>
        <w:tblPrEx>
          <w:tblCellMar>
            <w:top w:w="0" w:type="dxa"/>
            <w:left w:w="108" w:type="dxa"/>
            <w:bottom w:w="0" w:type="dxa"/>
            <w:right w:w="108" w:type="dxa"/>
          </w:tblCellMar>
        </w:tblPrEx>
        <w:trPr>
          <w:trHeight w:val="540" w:hRule="atLeast"/>
          <w:jc w:val="center"/>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cs="仿宋" w:asciiTheme="majorEastAsia" w:hAnsiTheme="majorEastAsia" w:eastAsiaTheme="majorEastAsia"/>
                <w:color w:val="000000"/>
                <w:sz w:val="22"/>
                <w:szCs w:val="22"/>
                <w:highlight w:val="none"/>
                <w:lang w:val="en-US" w:eastAsia="zh-CN"/>
              </w:rPr>
            </w:pPr>
            <w:r>
              <w:rPr>
                <w:rFonts w:hint="eastAsia" w:cs="仿宋" w:asciiTheme="majorEastAsia" w:hAnsiTheme="majorEastAsia" w:eastAsiaTheme="majorEastAsia"/>
                <w:color w:val="000000"/>
                <w:sz w:val="22"/>
                <w:szCs w:val="22"/>
                <w:highlight w:val="none"/>
                <w:lang w:val="en-US" w:eastAsia="zh-CN"/>
              </w:rPr>
              <w:t>郭淼、纪晓桃、张爱丽、张海霞、侯素芬、徐盈</w:t>
            </w:r>
          </w:p>
        </w:tc>
        <w:tc>
          <w:tcPr>
            <w:tcW w:w="415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default" w:cs="方正仿宋_GB2312" w:asciiTheme="majorEastAsia" w:hAnsiTheme="majorEastAsia" w:eastAsiaTheme="majorEastAsia"/>
                <w:color w:val="000000"/>
                <w:sz w:val="22"/>
                <w:szCs w:val="22"/>
                <w:highlight w:val="none"/>
                <w:lang w:val="en-US" w:eastAsia="zh-CN"/>
              </w:rPr>
            </w:pPr>
            <w:r>
              <w:rPr>
                <w:rFonts w:hint="eastAsia" w:cs="方正仿宋_GB2312" w:asciiTheme="majorEastAsia" w:hAnsiTheme="majorEastAsia" w:eastAsiaTheme="majorEastAsia"/>
                <w:color w:val="000000"/>
                <w:sz w:val="22"/>
                <w:szCs w:val="22"/>
                <w:highlight w:val="none"/>
                <w:lang w:val="en-US" w:eastAsia="zh-CN"/>
              </w:rPr>
              <w:t>出版《学生成长关键事件与关键对话》</w:t>
            </w:r>
          </w:p>
        </w:tc>
        <w:tc>
          <w:tcPr>
            <w:tcW w:w="1849"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cs="方正仿宋_GB2312" w:asciiTheme="majorEastAsia" w:hAnsiTheme="majorEastAsia" w:eastAsiaTheme="majorEastAsia"/>
                <w:color w:val="000000"/>
                <w:sz w:val="22"/>
                <w:szCs w:val="22"/>
                <w:highlight w:val="none"/>
              </w:rPr>
            </w:pPr>
          </w:p>
        </w:tc>
      </w:tr>
    </w:tbl>
    <w:p>
      <w:pPr>
        <w:pStyle w:val="2"/>
        <w:rPr>
          <w:lang w:val="zh-CN"/>
        </w:rPr>
      </w:pPr>
    </w:p>
    <w:p>
      <w:pPr>
        <w:spacing w:line="520" w:lineRule="exact"/>
        <w:ind w:firstLine="562" w:firstLineChars="200"/>
        <w:rPr>
          <w:rFonts w:hint="eastAsia" w:ascii="仿宋_GB2312" w:hAnsi="仿宋" w:eastAsia="仿宋_GB2312" w:cs="仿宋"/>
          <w:b/>
          <w:bCs/>
          <w:sz w:val="28"/>
          <w:szCs w:val="28"/>
          <w:lang w:val="zh-CN"/>
        </w:rPr>
      </w:pPr>
    </w:p>
    <w:p>
      <w:pPr>
        <w:pStyle w:val="2"/>
        <w:rPr>
          <w:rFonts w:hint="eastAsia"/>
          <w:lang w:val="zh-CN"/>
        </w:rPr>
      </w:pPr>
    </w:p>
    <w:p>
      <w:pPr>
        <w:spacing w:line="520" w:lineRule="exact"/>
        <w:ind w:firstLine="562" w:firstLineChars="200"/>
        <w:rPr>
          <w:rFonts w:hint="eastAsia" w:ascii="仿宋_GB2312" w:hAnsi="仿宋" w:eastAsia="仿宋_GB2312" w:cs="仿宋"/>
          <w:b/>
          <w:bCs/>
          <w:sz w:val="28"/>
          <w:szCs w:val="28"/>
          <w:lang w:val="zh-CN"/>
        </w:rPr>
      </w:pPr>
      <w:r>
        <w:rPr>
          <w:rFonts w:hint="eastAsia" w:ascii="仿宋_GB2312" w:hAnsi="仿宋" w:eastAsia="仿宋_GB2312" w:cs="仿宋"/>
          <w:b/>
          <w:bCs/>
          <w:sz w:val="28"/>
          <w:szCs w:val="28"/>
          <w:lang w:val="zh-CN"/>
        </w:rPr>
        <w:t>青岛旅游学校202</w:t>
      </w:r>
      <w:r>
        <w:rPr>
          <w:rFonts w:hint="eastAsia" w:ascii="仿宋_GB2312" w:hAnsi="仿宋" w:eastAsia="仿宋_GB2312" w:cs="仿宋"/>
          <w:b/>
          <w:bCs/>
          <w:sz w:val="28"/>
          <w:szCs w:val="28"/>
        </w:rPr>
        <w:t>3</w:t>
      </w:r>
      <w:r>
        <w:rPr>
          <w:rFonts w:hint="eastAsia" w:ascii="仿宋_GB2312" w:hAnsi="仿宋" w:eastAsia="仿宋_GB2312" w:cs="仿宋"/>
          <w:b/>
          <w:bCs/>
          <w:sz w:val="28"/>
          <w:szCs w:val="28"/>
          <w:lang w:val="zh-CN"/>
        </w:rPr>
        <w:t>-202</w:t>
      </w:r>
      <w:r>
        <w:rPr>
          <w:rFonts w:hint="eastAsia" w:ascii="仿宋_GB2312" w:hAnsi="仿宋" w:eastAsia="仿宋_GB2312" w:cs="仿宋"/>
          <w:b/>
          <w:bCs/>
          <w:sz w:val="28"/>
          <w:szCs w:val="28"/>
        </w:rPr>
        <w:t>4</w:t>
      </w:r>
      <w:r>
        <w:rPr>
          <w:rFonts w:hint="eastAsia" w:ascii="仿宋_GB2312" w:hAnsi="仿宋" w:eastAsia="仿宋_GB2312" w:cs="仿宋"/>
          <w:b/>
          <w:bCs/>
          <w:sz w:val="28"/>
          <w:szCs w:val="28"/>
          <w:lang w:val="zh-CN"/>
        </w:rPr>
        <w:t>年度第二学期荣誉汇总（教学获奖）</w:t>
      </w:r>
    </w:p>
    <w:p>
      <w:pPr>
        <w:pStyle w:val="2"/>
        <w:rPr>
          <w:lang w:val="zh-CN"/>
        </w:rPr>
      </w:pPr>
    </w:p>
    <w:tbl>
      <w:tblPr>
        <w:tblStyle w:val="9"/>
        <w:tblW w:w="8349" w:type="dxa"/>
        <w:jc w:val="center"/>
        <w:tblLayout w:type="fixed"/>
        <w:tblCellMar>
          <w:top w:w="0" w:type="dxa"/>
          <w:left w:w="108" w:type="dxa"/>
          <w:bottom w:w="0" w:type="dxa"/>
          <w:right w:w="108" w:type="dxa"/>
        </w:tblCellMar>
      </w:tblPr>
      <w:tblGrid>
        <w:gridCol w:w="2370"/>
        <w:gridCol w:w="4423"/>
        <w:gridCol w:w="1556"/>
      </w:tblGrid>
      <w:tr>
        <w:tblPrEx>
          <w:tblCellMar>
            <w:top w:w="0" w:type="dxa"/>
            <w:left w:w="108" w:type="dxa"/>
            <w:bottom w:w="0" w:type="dxa"/>
            <w:right w:w="108" w:type="dxa"/>
          </w:tblCellMar>
        </w:tblPrEx>
        <w:trPr>
          <w:trHeight w:val="780" w:hRule="atLeast"/>
          <w:jc w:val="center"/>
        </w:trPr>
        <w:tc>
          <w:tcPr>
            <w:tcW w:w="2370" w:type="dxa"/>
            <w:tcBorders>
              <w:top w:val="single" w:color="auto" w:sz="4" w:space="0"/>
              <w:left w:val="single" w:color="auto" w:sz="4" w:space="0"/>
              <w:bottom w:val="nil"/>
              <w:right w:val="single" w:color="auto" w:sz="4" w:space="0"/>
            </w:tcBorders>
            <w:shd w:val="clear" w:color="auto" w:fill="auto"/>
            <w:vAlign w:val="center"/>
          </w:tcPr>
          <w:p>
            <w:pPr>
              <w:widowControl/>
              <w:spacing w:line="520" w:lineRule="exact"/>
              <w:jc w:val="center"/>
              <w:textAlignment w:val="center"/>
              <w:rPr>
                <w:rFonts w:hint="eastAsia" w:ascii="宋体" w:hAnsi="宋体" w:eastAsia="宋体" w:cs="宋体"/>
                <w:b/>
                <w:bCs/>
                <w:kern w:val="0"/>
                <w:sz w:val="28"/>
                <w:szCs w:val="28"/>
              </w:rPr>
            </w:pPr>
            <w:r>
              <w:rPr>
                <w:rFonts w:hint="eastAsia" w:ascii="宋体" w:hAnsi="宋体" w:eastAsia="宋体" w:cs="宋体"/>
                <w:b/>
                <w:bCs/>
                <w:kern w:val="0"/>
                <w:sz w:val="28"/>
                <w:szCs w:val="28"/>
                <w:lang w:bidi="ar"/>
              </w:rPr>
              <w:t>获奖教师/团队/部门</w:t>
            </w:r>
          </w:p>
        </w:tc>
        <w:tc>
          <w:tcPr>
            <w:tcW w:w="4423" w:type="dxa"/>
            <w:tcBorders>
              <w:top w:val="single" w:color="auto" w:sz="4" w:space="0"/>
              <w:left w:val="nil"/>
              <w:bottom w:val="nil"/>
              <w:right w:val="single" w:color="auto" w:sz="4" w:space="0"/>
            </w:tcBorders>
            <w:shd w:val="clear" w:color="auto" w:fill="auto"/>
            <w:vAlign w:val="center"/>
          </w:tcPr>
          <w:p>
            <w:pPr>
              <w:widowControl/>
              <w:spacing w:line="520" w:lineRule="exact"/>
              <w:jc w:val="center"/>
              <w:textAlignment w:val="center"/>
              <w:rPr>
                <w:rFonts w:hint="eastAsia" w:ascii="宋体" w:hAnsi="宋体" w:eastAsia="宋体" w:cs="宋体"/>
                <w:b/>
                <w:bCs/>
                <w:kern w:val="0"/>
                <w:sz w:val="28"/>
                <w:szCs w:val="28"/>
              </w:rPr>
            </w:pPr>
            <w:r>
              <w:rPr>
                <w:rFonts w:hint="eastAsia" w:ascii="宋体" w:hAnsi="宋体" w:eastAsia="宋体" w:cs="宋体"/>
                <w:b/>
                <w:bCs/>
                <w:kern w:val="0"/>
                <w:sz w:val="28"/>
                <w:szCs w:val="28"/>
                <w:lang w:bidi="ar"/>
              </w:rPr>
              <w:t>奖项内容</w:t>
            </w:r>
          </w:p>
        </w:tc>
        <w:tc>
          <w:tcPr>
            <w:tcW w:w="1556" w:type="dxa"/>
            <w:tcBorders>
              <w:top w:val="single" w:color="auto" w:sz="4" w:space="0"/>
              <w:left w:val="nil"/>
              <w:bottom w:val="nil"/>
              <w:right w:val="single" w:color="auto" w:sz="4" w:space="0"/>
            </w:tcBorders>
            <w:shd w:val="clear" w:color="auto" w:fill="auto"/>
            <w:vAlign w:val="center"/>
          </w:tcPr>
          <w:p>
            <w:pPr>
              <w:widowControl/>
              <w:spacing w:line="520" w:lineRule="exact"/>
              <w:jc w:val="center"/>
              <w:textAlignment w:val="center"/>
              <w:rPr>
                <w:rFonts w:hint="eastAsia" w:ascii="宋体" w:hAnsi="宋体" w:eastAsia="宋体" w:cs="宋体"/>
                <w:b/>
                <w:bCs/>
                <w:kern w:val="0"/>
                <w:sz w:val="28"/>
                <w:szCs w:val="28"/>
              </w:rPr>
            </w:pPr>
            <w:r>
              <w:rPr>
                <w:rFonts w:hint="eastAsia" w:ascii="宋体" w:hAnsi="宋体" w:eastAsia="宋体" w:cs="宋体"/>
                <w:b/>
                <w:bCs/>
                <w:kern w:val="0"/>
                <w:sz w:val="28"/>
                <w:szCs w:val="28"/>
                <w:lang w:bidi="ar"/>
              </w:rPr>
              <w:t>获奖等次</w:t>
            </w:r>
          </w:p>
        </w:tc>
      </w:tr>
      <w:tr>
        <w:tblPrEx>
          <w:tblCellMar>
            <w:top w:w="0" w:type="dxa"/>
            <w:left w:w="108" w:type="dxa"/>
            <w:bottom w:w="0" w:type="dxa"/>
            <w:right w:w="108" w:type="dxa"/>
          </w:tblCellMar>
        </w:tblPrEx>
        <w:trPr>
          <w:trHeight w:val="375" w:hRule="atLeast"/>
          <w:jc w:val="center"/>
        </w:trPr>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郭冬</w:t>
            </w: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指导青岛市第20届中小学生英语大赛</w:t>
            </w:r>
          </w:p>
        </w:tc>
        <w:tc>
          <w:tcPr>
            <w:tcW w:w="1556"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金奖</w:t>
            </w:r>
          </w:p>
        </w:tc>
      </w:tr>
      <w:tr>
        <w:tblPrEx>
          <w:tblCellMar>
            <w:top w:w="0" w:type="dxa"/>
            <w:left w:w="108" w:type="dxa"/>
            <w:bottom w:w="0" w:type="dxa"/>
            <w:right w:w="108" w:type="dxa"/>
          </w:tblCellMar>
        </w:tblPrEx>
        <w:trPr>
          <w:trHeight w:val="45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黄秉田</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主持课题《以就业为导向的初中与中职英语教学衔接方式的创新与实践研究》</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1/2</w:t>
            </w:r>
          </w:p>
        </w:tc>
      </w:tr>
      <w:tr>
        <w:tblPrEx>
          <w:tblCellMar>
            <w:top w:w="0" w:type="dxa"/>
            <w:left w:w="108" w:type="dxa"/>
            <w:bottom w:w="0" w:type="dxa"/>
            <w:right w:w="108" w:type="dxa"/>
          </w:tblCellMar>
        </w:tblPrEx>
        <w:trPr>
          <w:trHeight w:val="49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薛增娥</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参编《中职生创新创业教育》教材</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副主编</w:t>
            </w:r>
          </w:p>
        </w:tc>
      </w:tr>
      <w:tr>
        <w:tblPrEx>
          <w:tblCellMar>
            <w:top w:w="0" w:type="dxa"/>
            <w:left w:w="108" w:type="dxa"/>
            <w:bottom w:w="0" w:type="dxa"/>
            <w:right w:w="108" w:type="dxa"/>
          </w:tblCellMar>
        </w:tblPrEx>
        <w:trPr>
          <w:trHeight w:val="46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江军红</w:t>
            </w:r>
          </w:p>
        </w:tc>
        <w:tc>
          <w:tcPr>
            <w:tcW w:w="4423"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青岛市第十三届中小学读书节“廉心文语”主题征文活动</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一等奖1个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二等奖1个</w:t>
            </w:r>
          </w:p>
        </w:tc>
      </w:tr>
      <w:tr>
        <w:tblPrEx>
          <w:tblCellMar>
            <w:top w:w="0" w:type="dxa"/>
            <w:left w:w="108" w:type="dxa"/>
            <w:bottom w:w="0" w:type="dxa"/>
            <w:right w:w="108" w:type="dxa"/>
          </w:tblCellMar>
        </w:tblPrEx>
        <w:trPr>
          <w:trHeight w:val="46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张淑珍、刘鑫、张娅雯</w:t>
            </w:r>
          </w:p>
        </w:tc>
        <w:tc>
          <w:tcPr>
            <w:tcW w:w="4423" w:type="dxa"/>
            <w:tcBorders>
              <w:top w:val="nil"/>
              <w:left w:val="single" w:color="auto" w:sz="4" w:space="0"/>
              <w:bottom w:val="single" w:color="auto" w:sz="4" w:space="0"/>
              <w:right w:val="single" w:color="auto" w:sz="4" w:space="0"/>
            </w:tcBorders>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参编《民航服务与人际沟通》教材</w:t>
            </w:r>
          </w:p>
        </w:tc>
        <w:tc>
          <w:tcPr>
            <w:tcW w:w="1556" w:type="dxa"/>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6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张淑珍 刘鑫、孙靖然、杨菲、刘海燕、佟晓红</w:t>
            </w:r>
          </w:p>
        </w:tc>
        <w:tc>
          <w:tcPr>
            <w:tcW w:w="4423" w:type="dxa"/>
            <w:tcBorders>
              <w:top w:val="nil"/>
              <w:left w:val="single" w:color="auto" w:sz="4" w:space="0"/>
              <w:bottom w:val="single" w:color="auto" w:sz="4" w:space="0"/>
              <w:right w:val="single" w:color="auto" w:sz="4" w:space="0"/>
            </w:tcBorders>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青岛市中小学幼儿园精品校（园）本课程</w:t>
            </w:r>
          </w:p>
        </w:tc>
        <w:tc>
          <w:tcPr>
            <w:tcW w:w="1556" w:type="dxa"/>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555" w:hRule="atLeast"/>
          <w:jc w:val="center"/>
        </w:trPr>
        <w:tc>
          <w:tcPr>
            <w:tcW w:w="2370" w:type="dxa"/>
            <w:tcBorders>
              <w:top w:val="nil"/>
              <w:left w:val="single" w:color="auto" w:sz="4" w:space="0"/>
              <w:bottom w:val="single" w:color="auto" w:sz="4" w:space="0"/>
              <w:right w:val="single" w:color="auto" w:sz="4" w:space="0"/>
            </w:tcBorders>
            <w:shd w:val="clear" w:color="auto" w:fill="auto"/>
            <w:noWrap/>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薛增娥</w:t>
            </w:r>
          </w:p>
        </w:tc>
        <w:tc>
          <w:tcPr>
            <w:tcW w:w="4423" w:type="dxa"/>
            <w:vMerge w:val="restart"/>
            <w:tcBorders>
              <w:top w:val="nil"/>
              <w:left w:val="single" w:color="auto" w:sz="4" w:space="0"/>
              <w:bottom w:val="single" w:color="auto" w:sz="4" w:space="0"/>
              <w:right w:val="single" w:color="auto" w:sz="4" w:space="0"/>
            </w:tcBorders>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2023-2024学年度第一学期青岛市三课一交流汇总表（中职学段）</w:t>
            </w:r>
          </w:p>
        </w:tc>
        <w:tc>
          <w:tcPr>
            <w:tcW w:w="1556" w:type="dxa"/>
            <w:tcBorders>
              <w:top w:val="nil"/>
              <w:left w:val="nil"/>
              <w:bottom w:val="single" w:color="auto" w:sz="4" w:space="0"/>
              <w:right w:val="single" w:color="auto" w:sz="4" w:space="0"/>
            </w:tcBorders>
            <w:shd w:val="clear" w:color="auto" w:fill="auto"/>
            <w:noWrap/>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市级公开课</w:t>
            </w:r>
          </w:p>
        </w:tc>
      </w:tr>
      <w:tr>
        <w:tblPrEx>
          <w:tblCellMar>
            <w:top w:w="0" w:type="dxa"/>
            <w:left w:w="108" w:type="dxa"/>
            <w:bottom w:w="0" w:type="dxa"/>
            <w:right w:w="108" w:type="dxa"/>
          </w:tblCellMar>
        </w:tblPrEx>
        <w:trPr>
          <w:trHeight w:val="49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陈娜</w:t>
            </w:r>
          </w:p>
        </w:tc>
        <w:tc>
          <w:tcPr>
            <w:tcW w:w="4423" w:type="dxa"/>
            <w:vMerge w:val="continue"/>
            <w:tcBorders>
              <w:top w:val="nil"/>
              <w:left w:val="single" w:color="auto" w:sz="4" w:space="0"/>
              <w:bottom w:val="single" w:color="auto" w:sz="4" w:space="0"/>
              <w:right w:val="single" w:color="auto" w:sz="4" w:space="0"/>
            </w:tcBorders>
            <w:vAlign w:val="center"/>
          </w:tcPr>
          <w:p>
            <w:pPr>
              <w:spacing w:line="520" w:lineRule="exact"/>
              <w:jc w:val="left"/>
              <w:rPr>
                <w:rFonts w:hint="eastAsia" w:ascii="宋体" w:hAnsi="宋体" w:eastAsia="宋体" w:cs="宋体"/>
                <w:kern w:val="0"/>
                <w:sz w:val="22"/>
              </w:rPr>
            </w:pP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市级公开课</w:t>
            </w:r>
          </w:p>
        </w:tc>
      </w:tr>
      <w:tr>
        <w:tblPrEx>
          <w:tblCellMar>
            <w:top w:w="0" w:type="dxa"/>
            <w:left w:w="108" w:type="dxa"/>
            <w:bottom w:w="0" w:type="dxa"/>
            <w:right w:w="108" w:type="dxa"/>
          </w:tblCellMar>
        </w:tblPrEx>
        <w:trPr>
          <w:trHeight w:val="45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薛增娥</w:t>
            </w:r>
          </w:p>
        </w:tc>
        <w:tc>
          <w:tcPr>
            <w:tcW w:w="4423" w:type="dxa"/>
            <w:vMerge w:val="continue"/>
            <w:tcBorders>
              <w:top w:val="nil"/>
              <w:left w:val="single" w:color="auto" w:sz="4" w:space="0"/>
              <w:bottom w:val="single" w:color="auto" w:sz="4" w:space="0"/>
              <w:right w:val="single" w:color="auto" w:sz="4" w:space="0"/>
            </w:tcBorders>
            <w:vAlign w:val="center"/>
          </w:tcPr>
          <w:p>
            <w:pPr>
              <w:spacing w:line="520" w:lineRule="exact"/>
              <w:jc w:val="left"/>
              <w:rPr>
                <w:rFonts w:hint="eastAsia" w:ascii="宋体" w:hAnsi="宋体" w:eastAsia="宋体" w:cs="宋体"/>
                <w:kern w:val="0"/>
                <w:sz w:val="22"/>
              </w:rPr>
            </w:pP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教学经验交流</w:t>
            </w:r>
          </w:p>
        </w:tc>
      </w:tr>
      <w:tr>
        <w:tblPrEx>
          <w:tblCellMar>
            <w:top w:w="0" w:type="dxa"/>
            <w:left w:w="108" w:type="dxa"/>
            <w:bottom w:w="0" w:type="dxa"/>
            <w:right w:w="108" w:type="dxa"/>
          </w:tblCellMar>
        </w:tblPrEx>
        <w:trPr>
          <w:trHeight w:val="43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秦力</w:t>
            </w:r>
          </w:p>
        </w:tc>
        <w:tc>
          <w:tcPr>
            <w:tcW w:w="4423" w:type="dxa"/>
            <w:vMerge w:val="continue"/>
            <w:tcBorders>
              <w:top w:val="nil"/>
              <w:left w:val="single" w:color="auto" w:sz="4" w:space="0"/>
              <w:bottom w:val="single" w:color="auto" w:sz="4" w:space="0"/>
              <w:right w:val="single" w:color="auto" w:sz="4" w:space="0"/>
            </w:tcBorders>
            <w:vAlign w:val="center"/>
          </w:tcPr>
          <w:p>
            <w:pPr>
              <w:spacing w:line="520" w:lineRule="exact"/>
              <w:jc w:val="left"/>
              <w:rPr>
                <w:rFonts w:hint="eastAsia" w:ascii="宋体" w:hAnsi="宋体" w:eastAsia="宋体" w:cs="宋体"/>
                <w:kern w:val="0"/>
                <w:sz w:val="22"/>
              </w:rPr>
            </w:pP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典型经验交流</w:t>
            </w:r>
          </w:p>
        </w:tc>
      </w:tr>
      <w:tr>
        <w:tblPrEx>
          <w:tblCellMar>
            <w:top w:w="0" w:type="dxa"/>
            <w:left w:w="108" w:type="dxa"/>
            <w:bottom w:w="0" w:type="dxa"/>
            <w:right w:w="108" w:type="dxa"/>
          </w:tblCellMar>
        </w:tblPrEx>
        <w:trPr>
          <w:trHeight w:val="58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王吉霞</w:t>
            </w:r>
          </w:p>
        </w:tc>
        <w:tc>
          <w:tcPr>
            <w:tcW w:w="4423" w:type="dxa"/>
            <w:vMerge w:val="continue"/>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典型经验交流</w:t>
            </w:r>
          </w:p>
        </w:tc>
      </w:tr>
      <w:tr>
        <w:tblPrEx>
          <w:tblCellMar>
            <w:top w:w="0" w:type="dxa"/>
            <w:left w:w="108" w:type="dxa"/>
            <w:bottom w:w="0" w:type="dxa"/>
            <w:right w:w="108" w:type="dxa"/>
          </w:tblCellMar>
        </w:tblPrEx>
        <w:trPr>
          <w:trHeight w:val="45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卓红梅</w:t>
            </w:r>
          </w:p>
        </w:tc>
        <w:tc>
          <w:tcPr>
            <w:tcW w:w="4423" w:type="dxa"/>
            <w:tcBorders>
              <w:top w:val="nil"/>
              <w:left w:val="nil"/>
              <w:bottom w:val="nil"/>
              <w:right w:val="nil"/>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参编著作《核心素养背景下的高中思想政治教学设计探究》</w:t>
            </w:r>
          </w:p>
        </w:tc>
        <w:tc>
          <w:tcPr>
            <w:tcW w:w="1556"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副主编</w:t>
            </w:r>
          </w:p>
        </w:tc>
      </w:tr>
      <w:tr>
        <w:tblPrEx>
          <w:tblCellMar>
            <w:top w:w="0" w:type="dxa"/>
            <w:left w:w="108" w:type="dxa"/>
            <w:bottom w:w="0" w:type="dxa"/>
            <w:right w:w="108" w:type="dxa"/>
          </w:tblCellMar>
        </w:tblPrEx>
        <w:trPr>
          <w:trHeight w:val="45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孟海涛</w:t>
            </w:r>
          </w:p>
        </w:tc>
        <w:tc>
          <w:tcPr>
            <w:tcW w:w="4423" w:type="dxa"/>
            <w:tcBorders>
              <w:top w:val="single" w:color="auto" w:sz="4" w:space="0"/>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论文《基于问题导向的高中数学课堂教学分析》</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独立</w:t>
            </w:r>
          </w:p>
        </w:tc>
      </w:tr>
      <w:tr>
        <w:tblPrEx>
          <w:tblCellMar>
            <w:top w:w="0" w:type="dxa"/>
            <w:left w:w="108" w:type="dxa"/>
            <w:bottom w:w="0" w:type="dxa"/>
            <w:right w:w="108" w:type="dxa"/>
          </w:tblCellMar>
        </w:tblPrEx>
        <w:trPr>
          <w:trHeight w:val="45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赵新晓</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指导学生获得第24届世界华人学生作文大赛全国二等奖，本人获评“优秀指导教师”</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二等奖</w:t>
            </w:r>
          </w:p>
        </w:tc>
      </w:tr>
      <w:tr>
        <w:tblPrEx>
          <w:tblCellMar>
            <w:top w:w="0" w:type="dxa"/>
            <w:left w:w="108" w:type="dxa"/>
            <w:bottom w:w="0" w:type="dxa"/>
            <w:right w:w="108" w:type="dxa"/>
          </w:tblCellMar>
        </w:tblPrEx>
        <w:trPr>
          <w:trHeight w:val="40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任煜</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指导学生获得第24届世界华人学生作文大赛全国三等奖，本人获评“优秀指导教师”</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三等奖</w:t>
            </w:r>
          </w:p>
        </w:tc>
      </w:tr>
      <w:tr>
        <w:tblPrEx>
          <w:tblCellMar>
            <w:top w:w="0" w:type="dxa"/>
            <w:left w:w="108" w:type="dxa"/>
            <w:bottom w:w="0" w:type="dxa"/>
            <w:right w:w="108" w:type="dxa"/>
          </w:tblCellMar>
        </w:tblPrEx>
        <w:trPr>
          <w:trHeight w:val="40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徐盈</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指导学生获得第24届世界华人学生作文大赛全国三等奖，本人获评“优秀指导教师”</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三等奖</w:t>
            </w:r>
          </w:p>
        </w:tc>
      </w:tr>
      <w:tr>
        <w:tblPrEx>
          <w:tblCellMar>
            <w:top w:w="0" w:type="dxa"/>
            <w:left w:w="108" w:type="dxa"/>
            <w:bottom w:w="0" w:type="dxa"/>
            <w:right w:w="108" w:type="dxa"/>
          </w:tblCellMar>
        </w:tblPrEx>
        <w:trPr>
          <w:trHeight w:val="40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郭淼</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指导学生获得第24届世界华人学生作文大赛全国三等奖，本人获评“优秀指导教师”</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三等奖</w:t>
            </w:r>
          </w:p>
        </w:tc>
      </w:tr>
      <w:tr>
        <w:tblPrEx>
          <w:tblCellMar>
            <w:top w:w="0" w:type="dxa"/>
            <w:left w:w="108" w:type="dxa"/>
            <w:bottom w:w="0" w:type="dxa"/>
            <w:right w:w="108" w:type="dxa"/>
          </w:tblCellMar>
        </w:tblPrEx>
        <w:trPr>
          <w:trHeight w:val="40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田欣</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指导学生获得第24届世界华人学生作文大赛全国二等奖，本人获评“优秀指导教师”</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二等奖</w:t>
            </w:r>
          </w:p>
        </w:tc>
      </w:tr>
      <w:tr>
        <w:tblPrEx>
          <w:tblCellMar>
            <w:top w:w="0" w:type="dxa"/>
            <w:left w:w="108" w:type="dxa"/>
            <w:bottom w:w="0" w:type="dxa"/>
            <w:right w:w="108" w:type="dxa"/>
          </w:tblCellMar>
        </w:tblPrEx>
        <w:trPr>
          <w:trHeight w:val="82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田欣</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青岛市廉洁养成教育案例评选</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优秀案例</w:t>
            </w:r>
          </w:p>
        </w:tc>
      </w:tr>
      <w:tr>
        <w:tblPrEx>
          <w:tblCellMar>
            <w:top w:w="0" w:type="dxa"/>
            <w:left w:w="108" w:type="dxa"/>
            <w:bottom w:w="0" w:type="dxa"/>
            <w:right w:w="108" w:type="dxa"/>
          </w:tblCellMar>
        </w:tblPrEx>
        <w:trPr>
          <w:trHeight w:val="55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赵新晓</w:t>
            </w:r>
          </w:p>
        </w:tc>
        <w:tc>
          <w:tcPr>
            <w:tcW w:w="4423" w:type="dxa"/>
            <w:vMerge w:val="restart"/>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2023年青岛市青年教师基本功比赛评选</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二等奖</w:t>
            </w:r>
          </w:p>
        </w:tc>
      </w:tr>
      <w:tr>
        <w:tblPrEx>
          <w:tblCellMar>
            <w:top w:w="0" w:type="dxa"/>
            <w:left w:w="108" w:type="dxa"/>
            <w:bottom w:w="0" w:type="dxa"/>
            <w:right w:w="108" w:type="dxa"/>
          </w:tblCellMar>
        </w:tblPrEx>
        <w:trPr>
          <w:trHeight w:val="46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栾晓慧</w:t>
            </w:r>
          </w:p>
        </w:tc>
        <w:tc>
          <w:tcPr>
            <w:tcW w:w="4423" w:type="dxa"/>
            <w:vMerge w:val="continue"/>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三等奖</w:t>
            </w:r>
          </w:p>
        </w:tc>
      </w:tr>
      <w:tr>
        <w:tblPrEx>
          <w:tblCellMar>
            <w:top w:w="0" w:type="dxa"/>
            <w:left w:w="108" w:type="dxa"/>
            <w:bottom w:w="0" w:type="dxa"/>
            <w:right w:w="108" w:type="dxa"/>
          </w:tblCellMar>
        </w:tblPrEx>
        <w:trPr>
          <w:trHeight w:val="46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卓红梅</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参编《人文素养》教材</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副主编</w:t>
            </w:r>
          </w:p>
        </w:tc>
      </w:tr>
      <w:tr>
        <w:tblPrEx>
          <w:tblCellMar>
            <w:top w:w="0" w:type="dxa"/>
            <w:left w:w="108" w:type="dxa"/>
            <w:bottom w:w="0" w:type="dxa"/>
            <w:right w:w="108" w:type="dxa"/>
          </w:tblCellMar>
        </w:tblPrEx>
        <w:trPr>
          <w:trHeight w:val="43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田欣</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参与课题《内地西藏中职班语文选修课开发研究》</w:t>
            </w:r>
          </w:p>
        </w:tc>
        <w:tc>
          <w:tcPr>
            <w:tcW w:w="1556" w:type="dxa"/>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薛增娥</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论文《“双新”背景下中职“职业道德与法治”考试与评价策略》</w:t>
            </w:r>
          </w:p>
        </w:tc>
        <w:tc>
          <w:tcPr>
            <w:tcW w:w="1556" w:type="dxa"/>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43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赵新晓</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首届“筑梦课堂——跟着课本读经典”优秀课例</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三等奖</w:t>
            </w:r>
          </w:p>
        </w:tc>
      </w:tr>
      <w:tr>
        <w:tblPrEx>
          <w:tblCellMar>
            <w:top w:w="0" w:type="dxa"/>
            <w:left w:w="108" w:type="dxa"/>
            <w:bottom w:w="0" w:type="dxa"/>
            <w:right w:w="108" w:type="dxa"/>
          </w:tblCellMar>
        </w:tblPrEx>
        <w:trPr>
          <w:trHeight w:val="69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赵新晓</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“践行教育家精神 争做高素质教师”主题征文</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一等奖</w:t>
            </w:r>
          </w:p>
        </w:tc>
      </w:tr>
      <w:tr>
        <w:tblPrEx>
          <w:tblCellMar>
            <w:top w:w="0" w:type="dxa"/>
            <w:left w:w="108" w:type="dxa"/>
            <w:bottom w:w="0" w:type="dxa"/>
            <w:right w:w="108" w:type="dxa"/>
          </w:tblCellMar>
        </w:tblPrEx>
        <w:trPr>
          <w:trHeight w:val="87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任煜</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“践行教育家精神 争做高素质教师”主题征文</w:t>
            </w:r>
          </w:p>
        </w:tc>
        <w:tc>
          <w:tcPr>
            <w:tcW w:w="1556"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一等奖</w:t>
            </w:r>
          </w:p>
        </w:tc>
      </w:tr>
      <w:tr>
        <w:tblPrEx>
          <w:tblCellMar>
            <w:top w:w="0" w:type="dxa"/>
            <w:left w:w="108" w:type="dxa"/>
            <w:bottom w:w="0" w:type="dxa"/>
            <w:right w:w="108" w:type="dxa"/>
          </w:tblCellMar>
        </w:tblPrEx>
        <w:trPr>
          <w:trHeight w:val="90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薛增娥</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论文 《中华美德在中职思政课堂中的培育策略》</w:t>
            </w:r>
          </w:p>
        </w:tc>
        <w:tc>
          <w:tcPr>
            <w:tcW w:w="1556" w:type="dxa"/>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18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卓红梅</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论文《“维护劳动权益”教学设计》</w:t>
            </w:r>
          </w:p>
        </w:tc>
        <w:tc>
          <w:tcPr>
            <w:tcW w:w="1556" w:type="dxa"/>
            <w:tcBorders>
              <w:top w:val="nil"/>
              <w:left w:val="nil"/>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585"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薛增娥</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参编 《中职生心理与健康》教材</w:t>
            </w:r>
          </w:p>
        </w:tc>
        <w:tc>
          <w:tcPr>
            <w:tcW w:w="1556" w:type="dxa"/>
            <w:tcBorders>
              <w:top w:val="nil"/>
              <w:left w:val="single" w:color="auto" w:sz="4" w:space="0"/>
              <w:bottom w:val="single" w:color="000000"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副主编</w:t>
            </w:r>
          </w:p>
        </w:tc>
      </w:tr>
      <w:tr>
        <w:tblPrEx>
          <w:tblCellMar>
            <w:top w:w="0" w:type="dxa"/>
            <w:left w:w="108" w:type="dxa"/>
            <w:bottom w:w="0" w:type="dxa"/>
            <w:right w:w="108" w:type="dxa"/>
          </w:tblCellMar>
        </w:tblPrEx>
        <w:trPr>
          <w:trHeight w:val="63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姜泽辉</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参编《职场日语表达实训教程》（第三版）教材</w:t>
            </w:r>
          </w:p>
        </w:tc>
        <w:tc>
          <w:tcPr>
            <w:tcW w:w="1556" w:type="dxa"/>
            <w:tcBorders>
              <w:top w:val="nil"/>
              <w:left w:val="single" w:color="auto" w:sz="4" w:space="0"/>
              <w:bottom w:val="single" w:color="000000" w:sz="4" w:space="0"/>
              <w:right w:val="single" w:color="auto" w:sz="4" w:space="0"/>
            </w:tcBorders>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630" w:hRule="atLeast"/>
          <w:jc w:val="center"/>
        </w:trPr>
        <w:tc>
          <w:tcPr>
            <w:tcW w:w="2370" w:type="dxa"/>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田欣</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全国职业院校教学能力大赛经验交流</w:t>
            </w:r>
          </w:p>
        </w:tc>
        <w:tc>
          <w:tcPr>
            <w:tcW w:w="1556" w:type="dxa"/>
            <w:tcBorders>
              <w:top w:val="nil"/>
              <w:left w:val="single" w:color="auto" w:sz="4" w:space="0"/>
              <w:bottom w:val="single" w:color="000000" w:sz="4" w:space="0"/>
              <w:right w:val="single" w:color="auto" w:sz="4" w:space="0"/>
            </w:tcBorders>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东西部经验交流</w:t>
            </w:r>
          </w:p>
        </w:tc>
      </w:tr>
      <w:tr>
        <w:tblPrEx>
          <w:tblCellMar>
            <w:top w:w="0" w:type="dxa"/>
            <w:left w:w="108" w:type="dxa"/>
            <w:bottom w:w="0" w:type="dxa"/>
            <w:right w:w="108" w:type="dxa"/>
          </w:tblCellMar>
        </w:tblPrEx>
        <w:trPr>
          <w:trHeight w:val="600" w:hRule="atLeast"/>
          <w:jc w:val="center"/>
        </w:trPr>
        <w:tc>
          <w:tcPr>
            <w:tcW w:w="2370" w:type="dxa"/>
            <w:tcBorders>
              <w:top w:val="nil"/>
              <w:left w:val="single" w:color="auto" w:sz="4" w:space="0"/>
              <w:bottom w:val="single" w:color="auto" w:sz="4" w:space="0"/>
              <w:right w:val="single" w:color="auto" w:sz="4" w:space="0"/>
            </w:tcBorders>
            <w:shd w:val="clear" w:color="auto" w:fill="auto"/>
            <w:noWrap/>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杨志潮</w:t>
            </w:r>
          </w:p>
        </w:tc>
        <w:tc>
          <w:tcPr>
            <w:tcW w:w="4423" w:type="dxa"/>
            <w:tcBorders>
              <w:top w:val="nil"/>
              <w:left w:val="nil"/>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论文《职业学校促进学生体质健康达标的督导体系构建研究》</w:t>
            </w:r>
          </w:p>
        </w:tc>
        <w:tc>
          <w:tcPr>
            <w:tcW w:w="1556" w:type="dxa"/>
            <w:tcBorders>
              <w:top w:val="nil"/>
              <w:left w:val="single" w:color="auto" w:sz="4" w:space="0"/>
              <w:bottom w:val="single" w:color="auto" w:sz="4" w:space="0"/>
              <w:right w:val="single" w:color="auto" w:sz="4" w:space="0"/>
            </w:tcBorders>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600" w:hRule="atLeast"/>
          <w:jc w:val="center"/>
        </w:trPr>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陈新卉、赵玉萍、车欣</w:t>
            </w:r>
          </w:p>
        </w:tc>
        <w:tc>
          <w:tcPr>
            <w:tcW w:w="44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eastAsia" w:ascii="宋体" w:hAnsi="宋体" w:eastAsia="宋体" w:cs="宋体"/>
                <w:kern w:val="0"/>
                <w:sz w:val="22"/>
              </w:rPr>
            </w:pPr>
            <w:r>
              <w:rPr>
                <w:rFonts w:hint="eastAsia" w:ascii="宋体" w:hAnsi="宋体" w:eastAsia="宋体" w:cs="宋体"/>
                <w:kern w:val="0"/>
                <w:sz w:val="22"/>
                <w:lang w:bidi="ar"/>
              </w:rPr>
              <w:t>参编《数学升学总复习教程》教材</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600" w:hRule="atLeast"/>
          <w:jc w:val="center"/>
        </w:trPr>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default" w:ascii="宋体" w:hAnsi="宋体" w:eastAsia="宋体" w:cs="宋体"/>
                <w:kern w:val="0"/>
                <w:sz w:val="22"/>
                <w:lang w:val="en-US" w:eastAsia="zh-CN" w:bidi="ar"/>
              </w:rPr>
            </w:pPr>
            <w:r>
              <w:rPr>
                <w:rFonts w:hint="eastAsia" w:ascii="宋体" w:hAnsi="宋体" w:eastAsia="宋体" w:cs="宋体"/>
                <w:kern w:val="0"/>
                <w:sz w:val="22"/>
                <w:lang w:val="en-US" w:eastAsia="zh-CN" w:bidi="ar"/>
              </w:rPr>
              <w:t>薛增娥、张爱丽、卓红梅</w:t>
            </w:r>
          </w:p>
        </w:tc>
        <w:tc>
          <w:tcPr>
            <w:tcW w:w="44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textAlignment w:val="center"/>
              <w:rPr>
                <w:rFonts w:hint="default" w:ascii="宋体" w:hAnsi="宋体" w:eastAsia="宋体" w:cs="宋体"/>
                <w:kern w:val="0"/>
                <w:sz w:val="22"/>
                <w:lang w:val="en-US" w:eastAsia="zh-CN" w:bidi="ar"/>
              </w:rPr>
            </w:pPr>
            <w:r>
              <w:rPr>
                <w:rFonts w:hint="eastAsia" w:ascii="宋体" w:hAnsi="宋体" w:eastAsia="宋体" w:cs="宋体"/>
                <w:kern w:val="0"/>
                <w:sz w:val="22"/>
                <w:lang w:val="en-US" w:eastAsia="zh-CN" w:bidi="ar"/>
              </w:rPr>
              <w:t>青岛市教学能力大赛</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left"/>
              <w:rPr>
                <w:rFonts w:hint="eastAsia" w:ascii="宋体" w:hAnsi="宋体" w:eastAsia="宋体" w:cs="宋体"/>
                <w:kern w:val="0"/>
                <w:sz w:val="22"/>
              </w:rPr>
            </w:pPr>
            <w:r>
              <w:rPr>
                <w:rFonts w:hint="eastAsia" w:ascii="宋体" w:hAnsi="宋体" w:eastAsia="宋体" w:cs="宋体"/>
                <w:kern w:val="0"/>
                <w:sz w:val="22"/>
                <w:lang w:val="en-US" w:eastAsia="zh-CN" w:bidi="ar"/>
              </w:rPr>
              <w:t>一等奖</w:t>
            </w:r>
          </w:p>
        </w:tc>
      </w:tr>
    </w:tbl>
    <w:p>
      <w:pPr>
        <w:pStyle w:val="12"/>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E59C2B-487A-44CD-8DF1-CD71A5046C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7F376A5-54A0-4FF5-BAD7-634AD34CEC14}"/>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C450B7E9-51A6-4FCF-B3D1-216DFFC9E3B5}"/>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4" w:fontKey="{49822F33-8158-46E4-B0C2-F7E4B36F3741}"/>
  </w:font>
  <w:font w:name="仿宋">
    <w:panose1 w:val="02010609060101010101"/>
    <w:charset w:val="86"/>
    <w:family w:val="auto"/>
    <w:pitch w:val="default"/>
    <w:sig w:usb0="800002BF" w:usb1="38CF7CFA" w:usb2="00000016" w:usb3="00000000" w:csb0="00040001" w:csb1="00000000"/>
    <w:embedRegular r:id="rId5" w:fontKey="{AF4120EC-9C2F-4348-8BC6-BD2EAD4DE613}"/>
  </w:font>
  <w:font w:name="微软雅黑">
    <w:panose1 w:val="020B0503020204020204"/>
    <w:charset w:val="86"/>
    <w:family w:val="swiss"/>
    <w:pitch w:val="default"/>
    <w:sig w:usb0="80000287" w:usb1="2ACF3C50" w:usb2="00000016" w:usb3="00000000" w:csb0="0004001F" w:csb1="00000000"/>
    <w:embedRegular r:id="rId6" w:fontKey="{0BDCAFDB-B9FE-4FC7-9A1C-E15935621F10}"/>
  </w:font>
  <w:font w:name="方正小标宋_GBK">
    <w:panose1 w:val="02000000000000000000"/>
    <w:charset w:val="86"/>
    <w:family w:val="script"/>
    <w:pitch w:val="default"/>
    <w:sig w:usb0="A00002BF" w:usb1="38CF7CFA" w:usb2="00082016" w:usb3="00000000" w:csb0="00040001" w:csb1="00000000"/>
    <w:embedRegular r:id="rId7" w:fontKey="{A708CCC4-8FD0-4DAF-A4BD-86EDA4C17AAE}"/>
  </w:font>
  <w:font w:name="方正公文小标宋">
    <w:panose1 w:val="02000500000000000000"/>
    <w:charset w:val="86"/>
    <w:family w:val="auto"/>
    <w:pitch w:val="default"/>
    <w:sig w:usb0="A00002BF" w:usb1="38CF7CFA" w:usb2="00000016" w:usb3="00000000" w:csb0="00040001" w:csb1="00000000"/>
    <w:embedRegular r:id="rId8" w:fontKey="{96DFC5CF-C9FF-4B20-8068-DBAD3E6234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DQ4YzVhYzk5NzM0NTllODhlY2ZmOWM1MzU1NzkifQ=="/>
    <w:docVar w:name="KSO_WPS_MARK_KEY" w:val="c5d65fa6-2949-49f9-b5b1-1c154490b629"/>
  </w:docVars>
  <w:rsids>
    <w:rsidRoot w:val="2C1F0104"/>
    <w:rsid w:val="00013425"/>
    <w:rsid w:val="00013C32"/>
    <w:rsid w:val="000A1499"/>
    <w:rsid w:val="00150704"/>
    <w:rsid w:val="001C688C"/>
    <w:rsid w:val="00222B49"/>
    <w:rsid w:val="002250DE"/>
    <w:rsid w:val="002B3C09"/>
    <w:rsid w:val="00381761"/>
    <w:rsid w:val="003C3F9F"/>
    <w:rsid w:val="00406B1F"/>
    <w:rsid w:val="004B7538"/>
    <w:rsid w:val="00515155"/>
    <w:rsid w:val="00532014"/>
    <w:rsid w:val="005F7C97"/>
    <w:rsid w:val="00766C70"/>
    <w:rsid w:val="008151E8"/>
    <w:rsid w:val="00816BCF"/>
    <w:rsid w:val="008354FC"/>
    <w:rsid w:val="008765D2"/>
    <w:rsid w:val="00906DE9"/>
    <w:rsid w:val="00921E98"/>
    <w:rsid w:val="009E4C71"/>
    <w:rsid w:val="00A1639D"/>
    <w:rsid w:val="00B43233"/>
    <w:rsid w:val="00C21EB0"/>
    <w:rsid w:val="00C8468D"/>
    <w:rsid w:val="00CB7B55"/>
    <w:rsid w:val="00CC6649"/>
    <w:rsid w:val="00CE23F2"/>
    <w:rsid w:val="00D94F55"/>
    <w:rsid w:val="00D95F86"/>
    <w:rsid w:val="00DB6FCB"/>
    <w:rsid w:val="00E02F8F"/>
    <w:rsid w:val="00F42CF2"/>
    <w:rsid w:val="00F73133"/>
    <w:rsid w:val="00FF5039"/>
    <w:rsid w:val="014E5C51"/>
    <w:rsid w:val="03A51C15"/>
    <w:rsid w:val="05DD3A15"/>
    <w:rsid w:val="05FB0A40"/>
    <w:rsid w:val="083E5050"/>
    <w:rsid w:val="0A7F4853"/>
    <w:rsid w:val="0C155445"/>
    <w:rsid w:val="0C7463AD"/>
    <w:rsid w:val="0DDA587C"/>
    <w:rsid w:val="0F6310DF"/>
    <w:rsid w:val="10B11A20"/>
    <w:rsid w:val="10F97CDC"/>
    <w:rsid w:val="11C4687F"/>
    <w:rsid w:val="13080A92"/>
    <w:rsid w:val="14A53EF0"/>
    <w:rsid w:val="151C6EE0"/>
    <w:rsid w:val="16997E3B"/>
    <w:rsid w:val="17146EEA"/>
    <w:rsid w:val="183079B6"/>
    <w:rsid w:val="1857272D"/>
    <w:rsid w:val="1A9437E4"/>
    <w:rsid w:val="1B254606"/>
    <w:rsid w:val="1CC75FDD"/>
    <w:rsid w:val="1D8A261C"/>
    <w:rsid w:val="1E2C4383"/>
    <w:rsid w:val="1F317B2B"/>
    <w:rsid w:val="21A80108"/>
    <w:rsid w:val="22F34C64"/>
    <w:rsid w:val="2343708D"/>
    <w:rsid w:val="247B297A"/>
    <w:rsid w:val="25306AEC"/>
    <w:rsid w:val="25F212E3"/>
    <w:rsid w:val="27CF0119"/>
    <w:rsid w:val="288460EB"/>
    <w:rsid w:val="2A731A13"/>
    <w:rsid w:val="2C1F0104"/>
    <w:rsid w:val="2E933E3B"/>
    <w:rsid w:val="30341D0D"/>
    <w:rsid w:val="30553705"/>
    <w:rsid w:val="32396FA7"/>
    <w:rsid w:val="32595E2A"/>
    <w:rsid w:val="33093426"/>
    <w:rsid w:val="34925420"/>
    <w:rsid w:val="3597229F"/>
    <w:rsid w:val="35EB2970"/>
    <w:rsid w:val="38FF4667"/>
    <w:rsid w:val="3B2B2A26"/>
    <w:rsid w:val="3BC40CCC"/>
    <w:rsid w:val="3BD044F7"/>
    <w:rsid w:val="3D7E510C"/>
    <w:rsid w:val="3EC55838"/>
    <w:rsid w:val="3F166BAC"/>
    <w:rsid w:val="3F707126"/>
    <w:rsid w:val="424B3AD5"/>
    <w:rsid w:val="45EE6259"/>
    <w:rsid w:val="4CF11BE0"/>
    <w:rsid w:val="4F2A7F61"/>
    <w:rsid w:val="529778BD"/>
    <w:rsid w:val="53905AF6"/>
    <w:rsid w:val="54EA57C9"/>
    <w:rsid w:val="554434C9"/>
    <w:rsid w:val="561C5E38"/>
    <w:rsid w:val="5621333E"/>
    <w:rsid w:val="58E47595"/>
    <w:rsid w:val="591E794F"/>
    <w:rsid w:val="5CDB424F"/>
    <w:rsid w:val="5D292417"/>
    <w:rsid w:val="5D752769"/>
    <w:rsid w:val="5E4578D7"/>
    <w:rsid w:val="610E2F95"/>
    <w:rsid w:val="62B30300"/>
    <w:rsid w:val="65181CEF"/>
    <w:rsid w:val="68B07B97"/>
    <w:rsid w:val="68CF6B69"/>
    <w:rsid w:val="69AE5061"/>
    <w:rsid w:val="69B62E88"/>
    <w:rsid w:val="6AE208FC"/>
    <w:rsid w:val="6E654DD7"/>
    <w:rsid w:val="6E855170"/>
    <w:rsid w:val="6F8A7755"/>
    <w:rsid w:val="70497CDD"/>
    <w:rsid w:val="704D3A32"/>
    <w:rsid w:val="706E4C07"/>
    <w:rsid w:val="724B2B0B"/>
    <w:rsid w:val="724B44AD"/>
    <w:rsid w:val="7538300A"/>
    <w:rsid w:val="75916A6F"/>
    <w:rsid w:val="75CF2868"/>
    <w:rsid w:val="778A2D4A"/>
    <w:rsid w:val="77F442E9"/>
    <w:rsid w:val="78561C46"/>
    <w:rsid w:val="79CC7665"/>
    <w:rsid w:val="7A9B1D3B"/>
    <w:rsid w:val="7AB9186A"/>
    <w:rsid w:val="7DCB6039"/>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9"/>
    <w:pPr>
      <w:keepNext/>
      <w:keepLines/>
      <w:spacing w:before="260" w:after="260" w:line="416" w:lineRule="auto"/>
      <w:outlineLvl w:val="1"/>
    </w:pPr>
    <w:rPr>
      <w:rFonts w:ascii="Calibri Light" w:hAnsi="Calibri Light"/>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BodyText"/>
    <w:basedOn w:val="1"/>
    <w:next w:val="1"/>
    <w:qFormat/>
    <w:uiPriority w:val="0"/>
    <w:pPr>
      <w:spacing w:after="120" w:line="312" w:lineRule="atLeast"/>
    </w:pPr>
    <w:rPr>
      <w:rFonts w:eastAsia="楷体_GB2312"/>
      <w:spacing w:val="8"/>
      <w:kern w:val="0"/>
      <w:sz w:val="32"/>
      <w:szCs w:val="20"/>
    </w:rPr>
  </w:style>
  <w:style w:type="character" w:customStyle="1" w:styleId="13">
    <w:name w:val="NormalCharacter"/>
    <w:semiHidden/>
    <w:qFormat/>
    <w:uiPriority w:val="0"/>
  </w:style>
  <w:style w:type="paragraph" w:customStyle="1" w:styleId="14">
    <w:name w:val="TOC1"/>
    <w:next w:val="1"/>
    <w:qFormat/>
    <w:uiPriority w:val="0"/>
    <w:pPr>
      <w:widowControl w:val="0"/>
      <w:snapToGrid w:val="0"/>
      <w:spacing w:line="640" w:lineRule="exact"/>
      <w:ind w:firstLine="705"/>
      <w:jc w:val="both"/>
    </w:pPr>
    <w:rPr>
      <w:rFonts w:ascii="仿宋_GB2312" w:hAnsi="Calibri" w:eastAsia="仿宋_GB2312" w:cs="Times New Roman"/>
      <w:color w:val="000000"/>
      <w:kern w:val="2"/>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1519</Words>
  <Characters>8661</Characters>
  <Lines>72</Lines>
  <Paragraphs>20</Paragraphs>
  <TotalTime>1</TotalTime>
  <ScaleCrop>false</ScaleCrop>
  <LinksUpToDate>false</LinksUpToDate>
  <CharactersWithSpaces>10160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2024-02-14T05:36:00Z</dcterms:created>
  <dc:creator>Administrator</dc:creator>
  <cp:lastModifiedBy>oo</cp:lastModifiedBy>
  <dcterms:modified xsi:type="dcterms:W3CDTF">2024-08-31T06:21:19Z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FE09F2BD90894E6AB44A08344D453D6D</vt:lpwstr>
  </property>
</Properties>
</file>