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AEC4D" w14:textId="77777777" w:rsidR="0044727D" w:rsidRPr="0044727D" w:rsidRDefault="0044727D" w:rsidP="0044727D">
      <w:pPr>
        <w:widowControl/>
        <w:spacing w:line="240" w:lineRule="auto"/>
        <w:ind w:firstLineChars="0" w:firstLine="0"/>
        <w:jc w:val="center"/>
        <w:rPr>
          <w:rFonts w:ascii="方正小标宋_GBK" w:eastAsia="方正小标宋_GBK" w:hAnsi="方正小标宋_GBK" w:cs="方正小标宋_GBK"/>
          <w:bCs/>
          <w:color w:val="FF0000"/>
          <w:spacing w:val="-20"/>
          <w:kern w:val="0"/>
          <w:sz w:val="18"/>
          <w:szCs w:val="20"/>
        </w:rPr>
      </w:pPr>
      <w:r w:rsidRPr="0044727D">
        <w:rPr>
          <w:rFonts w:ascii="方正小标宋_GBK" w:eastAsia="方正小标宋_GBK" w:hAnsi="方正小标宋_GBK" w:cs="方正小标宋_GBK" w:hint="eastAsia"/>
          <w:bCs/>
          <w:color w:val="FF0000"/>
          <w:spacing w:val="-20"/>
          <w:w w:val="90"/>
          <w:kern w:val="0"/>
          <w:sz w:val="84"/>
          <w:szCs w:val="20"/>
        </w:rPr>
        <w:t>青岛高新职业学校文件</w:t>
      </w:r>
    </w:p>
    <w:p w14:paraId="42A516BD" w14:textId="758A1569" w:rsidR="0044727D" w:rsidRPr="0044727D" w:rsidRDefault="0044727D" w:rsidP="0044727D">
      <w:pPr>
        <w:widowControl/>
        <w:spacing w:line="560" w:lineRule="exact"/>
        <w:ind w:firstLineChars="100" w:firstLine="442"/>
        <w:jc w:val="left"/>
        <w:rPr>
          <w:rFonts w:ascii="仿宋_GB2312" w:hAnsi="仿宋_GB2312" w:cs="仿宋_GB2312"/>
          <w:kern w:val="0"/>
          <w:szCs w:val="32"/>
        </w:rPr>
      </w:pPr>
      <w:r w:rsidRPr="0044727D">
        <w:rPr>
          <w:rFonts w:eastAsia="宋体" w:hint="eastAsia"/>
          <w:b/>
          <w:bCs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75C41" wp14:editId="2EA470DA">
                <wp:simplePos x="0" y="0"/>
                <wp:positionH relativeFrom="column">
                  <wp:posOffset>36830</wp:posOffset>
                </wp:positionH>
                <wp:positionV relativeFrom="paragraph">
                  <wp:posOffset>107950</wp:posOffset>
                </wp:positionV>
                <wp:extent cx="5715000" cy="0"/>
                <wp:effectExtent l="17780" t="12700" r="10795" b="1587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745AF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8.5pt" to="452.9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" strokecolor="red" strokeweight="1.5pt"/>
            </w:pict>
          </mc:Fallback>
        </mc:AlternateContent>
      </w:r>
    </w:p>
    <w:p w14:paraId="7C805DC3" w14:textId="77777777" w:rsidR="0022350F" w:rsidRPr="0044727D" w:rsidRDefault="008824DB" w:rsidP="0044727D">
      <w:pPr>
        <w:widowControl/>
        <w:spacing w:line="560" w:lineRule="exact"/>
        <w:ind w:firstLineChars="0" w:firstLine="0"/>
        <w:jc w:val="center"/>
        <w:rPr>
          <w:rFonts w:ascii="方正小标宋简体" w:eastAsia="方正小标宋简体" w:hAnsi="方正小标宋_GBK" w:cs="方正小标宋_GBK"/>
          <w:kern w:val="0"/>
          <w:sz w:val="44"/>
          <w:szCs w:val="44"/>
        </w:rPr>
      </w:pPr>
      <w:r w:rsidRPr="0044727D"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  <w:t>青岛高新职业学校数字赋能教师专业发展</w:t>
      </w:r>
    </w:p>
    <w:p w14:paraId="6399EEDC" w14:textId="65144DE2" w:rsidR="0022350F" w:rsidRPr="0044727D" w:rsidRDefault="008824DB" w:rsidP="0044727D">
      <w:pPr>
        <w:widowControl/>
        <w:spacing w:line="560" w:lineRule="exact"/>
        <w:ind w:firstLineChars="0" w:firstLine="0"/>
        <w:jc w:val="center"/>
        <w:rPr>
          <w:rFonts w:ascii="方正小标宋简体" w:eastAsia="方正小标宋简体" w:hAnsi="方正小标宋_GBK" w:cs="方正小标宋_GBK"/>
          <w:kern w:val="0"/>
          <w:sz w:val="44"/>
          <w:szCs w:val="44"/>
        </w:rPr>
      </w:pPr>
      <w:r w:rsidRPr="0044727D"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  <w:t>实施</w:t>
      </w:r>
      <w:r w:rsidR="009F29BD"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  <w:t>制度</w:t>
      </w:r>
    </w:p>
    <w:p w14:paraId="236D52DA" w14:textId="77777777" w:rsidR="0022350F" w:rsidRDefault="0022350F">
      <w:pPr>
        <w:adjustRightInd w:val="0"/>
        <w:snapToGrid w:val="0"/>
        <w:spacing w:line="440" w:lineRule="exact"/>
        <w:ind w:firstLine="880"/>
        <w:jc w:val="center"/>
        <w:rPr>
          <w:rFonts w:ascii="文星标宋" w:eastAsia="文星标宋" w:hAnsi="文星标宋" w:cs="文星标宋"/>
          <w:sz w:val="44"/>
          <w:szCs w:val="44"/>
        </w:rPr>
      </w:pPr>
    </w:p>
    <w:p w14:paraId="3410425F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为主动应对数字经济时代对职业教育提出的新挑战，贯彻落实国家及青岛市关于职业教育数字化转型的政策精神，结合我校实际情况，特制定本实施方案。本方案以服务高素质技术技能人才培养为核心，以数字技术全面赋能教师专业发展，推动教师队伍建设数字化转型，为学校高质量发展提供师资保障。</w:t>
      </w:r>
    </w:p>
    <w:p w14:paraId="6ECF13CB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一、指导思想与基本原则</w:t>
      </w:r>
    </w:p>
    <w:p w14:paraId="1937586C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（一）指导思想</w:t>
      </w:r>
    </w:p>
    <w:p w14:paraId="7B47DC81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以习近平新时代中国特色社会主义思想为指导，深入贯彻落实党的二十大关于"</w:t>
      </w:r>
      <w:proofErr w:type="gramStart"/>
      <w:r>
        <w:rPr>
          <w:rFonts w:ascii="仿宋_GB2312" w:hAnsi="仿宋_GB2312" w:cs="仿宋_GB2312" w:hint="eastAsia"/>
          <w:szCs w:val="32"/>
        </w:rPr>
        <w:t>推进职普融通</w:t>
      </w:r>
      <w:proofErr w:type="gramEnd"/>
      <w:r>
        <w:rPr>
          <w:rFonts w:ascii="仿宋_GB2312" w:hAnsi="仿宋_GB2312" w:cs="仿宋_GB2312" w:hint="eastAsia"/>
          <w:szCs w:val="32"/>
        </w:rPr>
        <w:t>、产教融合、科教</w:t>
      </w:r>
      <w:proofErr w:type="gramStart"/>
      <w:r>
        <w:rPr>
          <w:rFonts w:ascii="仿宋_GB2312" w:hAnsi="仿宋_GB2312" w:cs="仿宋_GB2312" w:hint="eastAsia"/>
          <w:szCs w:val="32"/>
        </w:rPr>
        <w:t>融汇</w:t>
      </w:r>
      <w:proofErr w:type="gramEnd"/>
      <w:r>
        <w:rPr>
          <w:rFonts w:ascii="仿宋_GB2312" w:hAnsi="仿宋_GB2312" w:cs="仿宋_GB2312" w:hint="eastAsia"/>
          <w:szCs w:val="32"/>
        </w:rPr>
        <w:t>"的精神，坚持"数字赋能、课程改革、现代职教体系"三大核心建设思路，以数字技术赋能教师专业发展全过程，打造一支具备高水平数字素养和精湛专业技能的教师队伍，为学校建成"规模最大、环境最美、专业最强、质量最优"的现代化高水平职业学校提供坚实师资保障。</w:t>
      </w:r>
    </w:p>
    <w:p w14:paraId="0EE346B0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（二）基本原则</w:t>
      </w:r>
    </w:p>
    <w:p w14:paraId="401B914C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1.整体规划，分层推进。根据教师专业发展阶段特点和个人需求，制定差异化发展路径，避免"一刀切"。</w:t>
      </w:r>
    </w:p>
    <w:p w14:paraId="7CA1F5C2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2.应用导向，赋能教学。聚焦数字技术在实际教学中的应用价值，强调数字技能与教育教学实践的深度融合。</w:t>
      </w:r>
    </w:p>
    <w:p w14:paraId="6C5E1BEB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3.数据驱动，精准施策。利用大数据技术记录、分析教师专业发展过程，为每位教师提供个性化的发展支持。</w:t>
      </w:r>
    </w:p>
    <w:p w14:paraId="7161FDBB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4.协同创新，开放共享。建立校企、校际协同发展机制，</w:t>
      </w:r>
      <w:r>
        <w:rPr>
          <w:rFonts w:ascii="仿宋_GB2312" w:hAnsi="仿宋_GB2312" w:cs="仿宋_GB2312" w:hint="eastAsia"/>
          <w:szCs w:val="32"/>
        </w:rPr>
        <w:lastRenderedPageBreak/>
        <w:t>促进优质数字教学资源的共建共享。</w:t>
      </w:r>
    </w:p>
    <w:p w14:paraId="2CE14E24" w14:textId="2A83B4E2" w:rsidR="0022350F" w:rsidRDefault="008824DB" w:rsidP="009F29BD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二、主要目标</w:t>
      </w:r>
    </w:p>
    <w:p w14:paraId="5A7F864E" w14:textId="6F51A715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到2027年，建成</w:t>
      </w:r>
      <w:r w:rsidR="009F29BD">
        <w:rPr>
          <w:rFonts w:ascii="仿宋_GB2312" w:hAnsi="仿宋_GB2312" w:cs="仿宋_GB2312" w:hint="eastAsia"/>
          <w:szCs w:val="32"/>
        </w:rPr>
        <w:t>“</w:t>
      </w:r>
      <w:r>
        <w:rPr>
          <w:rFonts w:ascii="仿宋_GB2312" w:hAnsi="仿宋_GB2312" w:cs="仿宋_GB2312" w:hint="eastAsia"/>
          <w:szCs w:val="32"/>
        </w:rPr>
        <w:t>人工智能+教师教育</w:t>
      </w:r>
      <w:r w:rsidR="009F29BD">
        <w:rPr>
          <w:rFonts w:ascii="仿宋_GB2312" w:hAnsi="仿宋_GB2312" w:cs="仿宋_GB2312" w:hint="eastAsia"/>
          <w:szCs w:val="32"/>
        </w:rPr>
        <w:t>”</w:t>
      </w:r>
      <w:r>
        <w:rPr>
          <w:rFonts w:ascii="仿宋_GB2312" w:hAnsi="仿宋_GB2312" w:cs="仿宋_GB2312" w:hint="eastAsia"/>
          <w:szCs w:val="32"/>
        </w:rPr>
        <w:t>一体化平台，形成一套可复制、可推广的职业学校教师数字素养发展模式，实现教师数字素养与教育教学能力的双重跃升，助力学校争创全国中职学校"双优校"和全国信息化标杆学校。</w:t>
      </w:r>
    </w:p>
    <w:p w14:paraId="69504642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（二）具体目标</w:t>
      </w:r>
    </w:p>
    <w:p w14:paraId="47A44FB5" w14:textId="77777777" w:rsidR="0022350F" w:rsidRDefault="008824DB">
      <w:pPr>
        <w:adjustRightInd w:val="0"/>
        <w:snapToGrid w:val="0"/>
        <w:spacing w:line="440" w:lineRule="exact"/>
        <w:ind w:firstLine="480"/>
        <w:jc w:val="center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 w:hint="eastAsia"/>
          <w:sz w:val="24"/>
          <w:szCs w:val="24"/>
        </w:rPr>
        <w:t>表1 青岛高新职业学校教师数字素养发展主要目标（2024-2027年）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6"/>
        <w:gridCol w:w="1953"/>
        <w:gridCol w:w="1953"/>
        <w:gridCol w:w="1952"/>
      </w:tblGrid>
      <w:tr w:rsidR="0022350F" w14:paraId="10EB31AE" w14:textId="77777777">
        <w:trPr>
          <w:tblHeader/>
        </w:trPr>
        <w:tc>
          <w:tcPr>
            <w:tcW w:w="146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0592A4A8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维度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65C36299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2026年目标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13AA6FCF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2027年目标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0C902514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2028年目标</w:t>
            </w:r>
          </w:p>
        </w:tc>
      </w:tr>
      <w:tr w:rsidR="0022350F" w14:paraId="58BC3080" w14:textId="77777777">
        <w:tc>
          <w:tcPr>
            <w:tcW w:w="146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29DDA9A4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教师数字素养达标率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37C1D2B8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100%(高级30%)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21BDA407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100%(高级40%)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034A6974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100%(高级50%)</w:t>
            </w:r>
          </w:p>
        </w:tc>
      </w:tr>
      <w:tr w:rsidR="0022350F" w14:paraId="7AA52728" w14:textId="77777777">
        <w:tc>
          <w:tcPr>
            <w:tcW w:w="146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469D8288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数字化教学覆盖率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23A578B2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80%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1E13FD9D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90%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7FF5254E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100%</w:t>
            </w:r>
          </w:p>
        </w:tc>
      </w:tr>
      <w:tr w:rsidR="0022350F" w14:paraId="492CF2B0" w14:textId="77777777">
        <w:tc>
          <w:tcPr>
            <w:tcW w:w="146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2CDC1342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校级以上示范课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11DB89D8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30门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2E43E628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40门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7DE15954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50门</w:t>
            </w:r>
          </w:p>
        </w:tc>
      </w:tr>
      <w:tr w:rsidR="0022350F" w14:paraId="55467C98" w14:textId="77777777">
        <w:tc>
          <w:tcPr>
            <w:tcW w:w="146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5C67177D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省级在线精品课程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79FCF02C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1门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7796B90C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2门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6C46054E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3门以上</w:t>
            </w:r>
          </w:p>
        </w:tc>
      </w:tr>
      <w:tr w:rsidR="0022350F" w14:paraId="08D2D14F" w14:textId="77777777">
        <w:tc>
          <w:tcPr>
            <w:tcW w:w="146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0C26A56B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数字名师培养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41A4B750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5名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67194FCD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8名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51176036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10名</w:t>
            </w:r>
          </w:p>
        </w:tc>
      </w:tr>
      <w:tr w:rsidR="0022350F" w14:paraId="5C134482" w14:textId="77777777">
        <w:tc>
          <w:tcPr>
            <w:tcW w:w="146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1AB48770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教师满意度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1ABC8EF5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85%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4EC51A7B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90%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bottom w:w="150" w:type="dxa"/>
              <w:right w:w="180" w:type="dxa"/>
            </w:tcMar>
            <w:vAlign w:val="center"/>
          </w:tcPr>
          <w:p w14:paraId="7A95B37A" w14:textId="77777777" w:rsidR="0022350F" w:rsidRDefault="008824DB">
            <w:pPr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95%</w:t>
            </w:r>
          </w:p>
        </w:tc>
      </w:tr>
    </w:tbl>
    <w:p w14:paraId="6A380C5C" w14:textId="77777777" w:rsidR="0022350F" w:rsidRDefault="0022350F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</w:p>
    <w:p w14:paraId="033F1D29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三、具体实施措施</w:t>
      </w:r>
    </w:p>
    <w:p w14:paraId="274E6B6A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（一）搭建教师专业发展数字化平台</w:t>
      </w:r>
    </w:p>
    <w:p w14:paraId="067B79DC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1.建设教师发展数字空间。构建集"测-诊-学-</w:t>
      </w:r>
      <w:proofErr w:type="gramStart"/>
      <w:r>
        <w:rPr>
          <w:rFonts w:ascii="仿宋_GB2312" w:hAnsi="仿宋_GB2312" w:cs="仿宋_GB2312" w:hint="eastAsia"/>
          <w:szCs w:val="32"/>
        </w:rPr>
        <w:t>研</w:t>
      </w:r>
      <w:proofErr w:type="gramEnd"/>
      <w:r>
        <w:rPr>
          <w:rFonts w:ascii="仿宋_GB2312" w:hAnsi="仿宋_GB2312" w:cs="仿宋_GB2312" w:hint="eastAsia"/>
          <w:szCs w:val="32"/>
        </w:rPr>
        <w:t>-创"于一体的教师专业发展数字化平台，包含教师数字画像系统、智能研修中心、远程协同教研系统和数字资源工场四大模块。</w:t>
      </w:r>
    </w:p>
    <w:p w14:paraId="49FEA7D1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2.完善教师数字画像系统。基于教师的教学、科研、培训等数据，为每位教师生成包含优势特长、发展短板、成长路径的数字画像，形成动态更新的教师专业成长档案。</w:t>
      </w:r>
    </w:p>
    <w:p w14:paraId="4978CDEC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3.升级智能研修中心。整合国家、省、市三级数字教育资源，引入行业企业优质培训内容，构建包含数字素养基础、</w:t>
      </w:r>
      <w:r>
        <w:rPr>
          <w:rFonts w:ascii="仿宋_GB2312" w:hAnsi="仿宋_GB2312" w:cs="仿宋_GB2312" w:hint="eastAsia"/>
          <w:szCs w:val="32"/>
        </w:rPr>
        <w:lastRenderedPageBreak/>
        <w:t>信息化教学设计、虚拟仿真教学应用、大数据分析与应用等模块的课程资源库。</w:t>
      </w:r>
    </w:p>
    <w:p w14:paraId="3A80BE23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（二）构建分层分类的数字素养提升体系</w:t>
      </w:r>
    </w:p>
    <w:p w14:paraId="780B11AA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新入职教师"启航计划"。聚焦数字教学基本功，开展为期一学期的培训，内容包括数字教学平台使用、多媒体课件制作、在线教学设计与实施等。采用工作坊+实践任务+导师指导的模式，确保新教师快速掌握数字教学的基本技能。每位新教师需完成至少40学时的培训，并通过考核认证。</w:t>
      </w:r>
    </w:p>
    <w:p w14:paraId="5BB19580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.骨干教师"领航计划"。重点培养骨干教师的信息化教学设计能力、数字资源开发能力、数据驱动教学能力。通过专题研修、项目实践、企业实践等方式，支持骨干教师开展教学模式创新。每年选派不少于30名骨干教师参加省级以上数字能力提升培训。</w:t>
      </w:r>
    </w:p>
    <w:p w14:paraId="46C13B52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.学科带头人"远航计划"。支持学科带头人开展智慧教育应用研究、数字教学成果培育、教学创新团队建设。鼓励学科带头人牵头组建跨学科、跨校的数字教学创新团队，开展人工智能、大数据、虚拟现实等技术在教育中的应用研究。每年支持5-10项数字教育研究课题，培育3-5个数字教学创新团队。</w:t>
      </w:r>
    </w:p>
    <w:p w14:paraId="7E0DA13C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（三）深化数字技术在教育教学中的应用</w:t>
      </w:r>
    </w:p>
    <w:p w14:paraId="6BEF82F0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全面推进"绿色生态课堂"建设。深化学校"绿色生态课堂"建设，推广希沃魔方、电子白板、教学评价平台、虚拟仿真软件等多个软件平台在教育教学中的应用。每月组织一次校级数字教学观摩活动，分享</w:t>
      </w:r>
      <w:proofErr w:type="gramStart"/>
      <w:r>
        <w:rPr>
          <w:rFonts w:ascii="仿宋_GB2312" w:hAnsi="仿宋_GB2312" w:cs="仿宋_GB2312" w:hint="eastAsia"/>
          <w:szCs w:val="32"/>
        </w:rPr>
        <w:t>优秀实践</w:t>
      </w:r>
      <w:proofErr w:type="gramEnd"/>
      <w:r>
        <w:rPr>
          <w:rFonts w:ascii="仿宋_GB2312" w:hAnsi="仿宋_GB2312" w:cs="仿宋_GB2312" w:hint="eastAsia"/>
          <w:szCs w:val="32"/>
        </w:rPr>
        <w:t>案例。</w:t>
      </w:r>
    </w:p>
    <w:p w14:paraId="5E7F3309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1.深化"</w:t>
      </w:r>
      <w:proofErr w:type="gramStart"/>
      <w:r>
        <w:rPr>
          <w:rFonts w:ascii="仿宋_GB2312" w:hAnsi="仿宋_GB2312" w:cs="仿宋_GB2312" w:hint="eastAsia"/>
          <w:szCs w:val="32"/>
        </w:rPr>
        <w:t>岗课赛证</w:t>
      </w:r>
      <w:proofErr w:type="gramEnd"/>
      <w:r>
        <w:rPr>
          <w:rFonts w:ascii="仿宋_GB2312" w:hAnsi="仿宋_GB2312" w:cs="仿宋_GB2312" w:hint="eastAsia"/>
          <w:szCs w:val="32"/>
        </w:rPr>
        <w:t>"融通育人。利用数字技术推动"岗位要求、课程教学、技能竞赛、职业证书"的深度融合。与企业共同开发基于真实工作场景的虚拟仿真实训项目，建设网络信息安全、光</w:t>
      </w:r>
      <w:proofErr w:type="gramStart"/>
      <w:r>
        <w:rPr>
          <w:rFonts w:ascii="仿宋_GB2312" w:hAnsi="仿宋_GB2312" w:cs="仿宋_GB2312" w:hint="eastAsia"/>
          <w:szCs w:val="32"/>
        </w:rPr>
        <w:t>伏工程</w:t>
      </w:r>
      <w:proofErr w:type="gramEnd"/>
      <w:r>
        <w:rPr>
          <w:rFonts w:ascii="仿宋_GB2312" w:hAnsi="仿宋_GB2312" w:cs="仿宋_GB2312" w:hint="eastAsia"/>
          <w:szCs w:val="32"/>
        </w:rPr>
        <w:t>等新兴专业的数字实训室。</w:t>
      </w:r>
    </w:p>
    <w:p w14:paraId="50D5D83B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2.强化个性化学习支持。建设校本大数据学情分析平台，实时采集学生学习过程数据，为教师调整教学策略提供依据。专业教师需定期查看学情报告，每月至少为每位学生提供一</w:t>
      </w:r>
      <w:r>
        <w:rPr>
          <w:rFonts w:ascii="仿宋_GB2312" w:hAnsi="仿宋_GB2312" w:cs="仿宋_GB2312" w:hint="eastAsia"/>
          <w:szCs w:val="32"/>
        </w:rPr>
        <w:lastRenderedPageBreak/>
        <w:t>次基于数据的个性化学习建议。</w:t>
      </w:r>
    </w:p>
    <w:p w14:paraId="36D521DB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3.创新校企协同教研机制。依托数字平台，建立"学校教师+企业导师"协同教研机制。与企业共同开展线上教研活动，共同制定人才培养方案、合作开发课程。依托已加入的全国通信网络行业产教融合共同体、全国大数据行业产教融合共同体，定期组织教师参与企业技术研讨。</w:t>
      </w:r>
    </w:p>
    <w:p w14:paraId="2980A0E8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（四）完善评价激励机制</w:t>
      </w:r>
    </w:p>
    <w:p w14:paraId="46A9AFA9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.建立教师数字素养评价体系。依据教育部《教师数字素养》标准，结合学校实际，制定《青岛高新职业学校教师数字素养评价指标》，从数字意识、技术知识与技能、数字化应用、专业发展与社会责任等维度进行综合评价。评价结果作为教师考核、评优评先的重要参考。</w:t>
      </w:r>
    </w:p>
    <w:p w14:paraId="76C4B5E4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2.实施数字教学成果认证与奖励。设立"数字教学创新奖"，每年对在数字资源建设、在线课程开发、智慧教学应用等方面表现突出的教师进行表彰和奖励。将教师参与数字资源开发、在线开放课程建设等工作计</w:t>
      </w:r>
      <w:proofErr w:type="gramStart"/>
      <w:r>
        <w:rPr>
          <w:rFonts w:ascii="仿宋_GB2312" w:hAnsi="仿宋_GB2312" w:cs="仿宋_GB2312" w:hint="eastAsia"/>
          <w:szCs w:val="32"/>
        </w:rPr>
        <w:t>入教学</w:t>
      </w:r>
      <w:proofErr w:type="gramEnd"/>
      <w:r>
        <w:rPr>
          <w:rFonts w:ascii="仿宋_GB2312" w:hAnsi="仿宋_GB2312" w:cs="仿宋_GB2312" w:hint="eastAsia"/>
          <w:szCs w:val="32"/>
        </w:rPr>
        <w:t>工作量。</w:t>
      </w:r>
    </w:p>
    <w:p w14:paraId="7382E150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3.开展数字赋能专项督导。将数字技术应用情况纳入教学督导范围，通过平台数据监测+课堂观察+学生评教相结合的方式，对教师数字教学效果进行综合评价。教学督导组每月发布数字教学督导报告，分享优秀案例，指出共性问题。</w:t>
      </w:r>
    </w:p>
    <w:p w14:paraId="7F0AB311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四、保障机制</w:t>
      </w:r>
    </w:p>
    <w:p w14:paraId="5884A0DD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（一）组织保障</w:t>
      </w:r>
    </w:p>
    <w:p w14:paraId="731C2AB4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成立由校长牵头的"数字赋能教师专业发展"工作领导小组，统筹规划、协调推进各项工作。建立教务处主导、教研室实施、教师参与的三级工作机制，明确各部门职责分工。组建由校内骨干教师和校外专家构成的专业发展指导团队，为教师提供专业支持。</w:t>
      </w:r>
    </w:p>
    <w:p w14:paraId="1A9F353A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（二）技术保障</w:t>
      </w:r>
    </w:p>
    <w:p w14:paraId="68C9B308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持续推进校园信息基础设施优化升级，建设高速泛在、安全可靠的教育网络环境。完善学校数据中心建设，提升数据存储和处理能力。与知名企业合作，引入先进的技术支持</w:t>
      </w:r>
      <w:r>
        <w:rPr>
          <w:rFonts w:ascii="仿宋_GB2312" w:hAnsi="仿宋_GB2312" w:cs="仿宋_GB2312" w:hint="eastAsia"/>
          <w:szCs w:val="32"/>
        </w:rPr>
        <w:lastRenderedPageBreak/>
        <w:t>服务，确保数字平台的稳定运行和持续优化。</w:t>
      </w:r>
    </w:p>
    <w:p w14:paraId="1CE62641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（三）经费保障</w:t>
      </w:r>
    </w:p>
    <w:p w14:paraId="4456581D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学校每年设立数字赋能教师专业发展专项经费，用于平台建设、资源开发、培训研修、成果奖励等。经费投入比例不低于学校年度公用经费的20%。同时，积极争取上级财政支持、企业合作资金等多渠道经费，为方案实施提供充足的资金保障。</w:t>
      </w:r>
    </w:p>
    <w:p w14:paraId="3F7F3BD5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（四）制度保障</w:t>
      </w:r>
    </w:p>
    <w:p w14:paraId="0F27386B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修订完善《青岛高新职业学校教师专业发展管理办法》《数字教学成果认定与奖励办法》等规章制度，将数字素养提升与教师专业发展各项制度有机衔接。建立方案实施情况的年度评估机制，定期对实施效果进行评估，根据评估结果及时调整和优化实施方案。</w:t>
      </w:r>
    </w:p>
    <w:p w14:paraId="6EAC12C5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五、结语</w:t>
      </w:r>
    </w:p>
    <w:p w14:paraId="5A590EB8" w14:textId="77777777" w:rsidR="0022350F" w:rsidRDefault="008824DB">
      <w:pPr>
        <w:adjustRightInd w:val="0"/>
        <w:snapToGrid w:val="0"/>
        <w:spacing w:line="440" w:lineRule="exact"/>
        <w:ind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本方案以数字赋能教师专业发展为核心，通过搭建平台、提升素养、深化应用、完善机制等系统性举措，旨在打造一支具备高水平数字素养和精湛专业技能的教师队伍，为学校高质量发展奠定坚实基础。方案实施过程中，将坚持理论与实践相结合、技术与教育深度融合的理念，注重发挥教师在数字化转型中的主体作用，激发教师的内生动力和创新活力，确保各项措施落地见效，为培养更多高素质技术技能人才、服务区域经济社会发展做出更大贡献。</w:t>
      </w:r>
    </w:p>
    <w:p w14:paraId="1641D84B" w14:textId="77777777" w:rsidR="0044727D" w:rsidRPr="000A3FE1" w:rsidRDefault="0044727D" w:rsidP="0044727D">
      <w:pPr>
        <w:ind w:firstLine="640"/>
      </w:pPr>
    </w:p>
    <w:p w14:paraId="5A37AB7D" w14:textId="77777777" w:rsidR="00CD45E5" w:rsidRDefault="00CD45E5" w:rsidP="00CD45E5">
      <w:pPr>
        <w:ind w:firstLineChars="0" w:firstLine="0"/>
        <w:jc w:val="right"/>
      </w:pPr>
      <w:r>
        <w:rPr>
          <w:rFonts w:hint="eastAsia"/>
        </w:rPr>
        <w:t>青岛高新职业学校</w:t>
      </w:r>
    </w:p>
    <w:p w14:paraId="25968C20" w14:textId="77777777" w:rsidR="0022350F" w:rsidRPr="0044727D" w:rsidRDefault="0022350F">
      <w:pPr>
        <w:ind w:firstLine="640"/>
      </w:pPr>
    </w:p>
    <w:sectPr w:rsidR="0022350F" w:rsidRPr="004472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677CF" w14:textId="77777777" w:rsidR="00C86298" w:rsidRDefault="00C86298">
      <w:pPr>
        <w:spacing w:line="240" w:lineRule="auto"/>
        <w:ind w:firstLine="640"/>
      </w:pPr>
      <w:r>
        <w:separator/>
      </w:r>
    </w:p>
  </w:endnote>
  <w:endnote w:type="continuationSeparator" w:id="0">
    <w:p w14:paraId="3553BE13" w14:textId="77777777" w:rsidR="00C86298" w:rsidRDefault="00C86298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EB5F" w14:textId="77777777" w:rsidR="0044727D" w:rsidRDefault="0044727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AC6FB" w14:textId="77777777" w:rsidR="0044727D" w:rsidRDefault="0044727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4F8E" w14:textId="77777777" w:rsidR="0044727D" w:rsidRDefault="0044727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495DF" w14:textId="77777777" w:rsidR="00C86298" w:rsidRDefault="00C86298">
      <w:pPr>
        <w:spacing w:line="240" w:lineRule="auto"/>
        <w:ind w:firstLine="640"/>
      </w:pPr>
      <w:r>
        <w:separator/>
      </w:r>
    </w:p>
  </w:footnote>
  <w:footnote w:type="continuationSeparator" w:id="0">
    <w:p w14:paraId="2BD9A2F3" w14:textId="77777777" w:rsidR="00C86298" w:rsidRDefault="00C86298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7B007" w14:textId="77777777" w:rsidR="0044727D" w:rsidRDefault="0044727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499E" w14:textId="77777777" w:rsidR="0044727D" w:rsidRPr="0044727D" w:rsidRDefault="0044727D" w:rsidP="0044727D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91F2B" w14:textId="77777777" w:rsidR="0044727D" w:rsidRDefault="0044727D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53166E"/>
    <w:multiLevelType w:val="singleLevel"/>
    <w:tmpl w:val="9553166E"/>
    <w:lvl w:ilvl="0">
      <w:start w:val="1"/>
      <w:numFmt w:val="chineseCounting"/>
      <w:pStyle w:val="2"/>
      <w:suff w:val="nothing"/>
      <w:lvlText w:val="（%1）"/>
      <w:lvlJc w:val="left"/>
      <w:pPr>
        <w:ind w:left="148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0D5BFF"/>
    <w:rsid w:val="0022350F"/>
    <w:rsid w:val="0044727D"/>
    <w:rsid w:val="008824DB"/>
    <w:rsid w:val="00910E77"/>
    <w:rsid w:val="009F29BD"/>
    <w:rsid w:val="00C86298"/>
    <w:rsid w:val="00CD45E5"/>
    <w:rsid w:val="211929A4"/>
    <w:rsid w:val="360D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D9D32"/>
  <w15:docId w15:val="{6DEC2CBE-7929-4863-BE7A-839DA023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line="520" w:lineRule="exact"/>
      <w:ind w:firstLineChars="200" w:firstLine="960"/>
      <w:jc w:val="both"/>
    </w:pPr>
    <w:rPr>
      <w:rFonts w:ascii="Calibri" w:eastAsia="仿宋_GB2312" w:hAnsi="Calibri" w:cs="Times New Roman"/>
      <w:kern w:val="2"/>
      <w:sz w:val="32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numPr>
        <w:numId w:val="1"/>
      </w:numPr>
      <w:tabs>
        <w:tab w:val="left" w:pos="0"/>
      </w:tabs>
      <w:adjustRightInd w:val="0"/>
      <w:snapToGrid w:val="0"/>
      <w:spacing w:line="360" w:lineRule="auto"/>
      <w:ind w:left="0" w:firstLine="200"/>
      <w:jc w:val="left"/>
      <w:outlineLvl w:val="1"/>
    </w:pPr>
    <w:rPr>
      <w:rFonts w:ascii="仿宋" w:hAnsi="仿宋"/>
      <w:bCs/>
      <w:color w:val="00000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7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4727D"/>
    <w:rPr>
      <w:rFonts w:ascii="Calibri" w:eastAsia="仿宋_GB2312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44727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4727D"/>
    <w:rPr>
      <w:rFonts w:ascii="Calibri" w:eastAsia="仿宋_GB2312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83C34-39CE-4257-9F30-31A6E5FA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勇敢的心</dc:creator>
  <cp:lastModifiedBy>xiaofan</cp:lastModifiedBy>
  <cp:revision>2</cp:revision>
  <dcterms:created xsi:type="dcterms:W3CDTF">2026-04-24T08:32:00Z</dcterms:created>
  <dcterms:modified xsi:type="dcterms:W3CDTF">2026-04-24T08:32:00Z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3D1E1BE782E54EDA829C67E7EBAD4617_11</vt:lpwstr>
  </property>
  <property fmtid="{D5CDD505-2E9C-101B-9397-08002B2CF9AE}" pid="4" name="KSOTemplateDocerSaveRecord">
    <vt:lpwstr>eyJoZGlkIjoiMjkzMDA1MWE3NTZkOTAzMjQ4ZTJjN2ExMjRjYTNjZmYiLCJ1c2VySWQiOiIzNDUyMjEzMDEifQ==</vt:lpwstr>
  </property>
</Properties>
</file>