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 w:type="dxa"/>
        <w:tblLayout w:type="fixed"/>
        <w:tblLook w:val="0000" w:firstRow="0" w:lastRow="0" w:firstColumn="0" w:lastColumn="0" w:noHBand="0" w:noVBand="0"/>
      </w:tblPr>
      <w:tblGrid>
        <w:gridCol w:w="1020"/>
        <w:gridCol w:w="1020"/>
        <w:gridCol w:w="1020"/>
        <w:gridCol w:w="1020"/>
        <w:gridCol w:w="1020"/>
        <w:gridCol w:w="1050"/>
        <w:gridCol w:w="1020"/>
        <w:gridCol w:w="1020"/>
        <w:gridCol w:w="1020"/>
        <w:gridCol w:w="1020"/>
        <w:gridCol w:w="1020"/>
        <w:gridCol w:w="1523"/>
        <w:gridCol w:w="1307"/>
      </w:tblGrid>
      <w:tr w:rsidR="005A6FBF" w:rsidTr="00593CFE">
        <w:trPr>
          <w:trHeight w:val="435"/>
        </w:trPr>
        <w:tc>
          <w:tcPr>
            <w:tcW w:w="14080" w:type="dxa"/>
            <w:gridSpan w:val="13"/>
            <w:tcBorders>
              <w:top w:val="nil"/>
              <w:left w:val="nil"/>
              <w:bottom w:val="nil"/>
              <w:right w:val="nil"/>
            </w:tcBorders>
            <w:shd w:val="clear" w:color="auto" w:fill="FFFFFF"/>
            <w:vAlign w:val="center"/>
          </w:tcPr>
          <w:p w:rsidR="005A6FBF" w:rsidRDefault="005A6FBF" w:rsidP="000540C6">
            <w:pPr>
              <w:widowControl/>
              <w:jc w:val="center"/>
              <w:rPr>
                <w:rFonts w:ascii="宋体" w:hAnsi="宋体" w:cs="宋体"/>
                <w:kern w:val="0"/>
                <w:sz w:val="32"/>
                <w:szCs w:val="32"/>
              </w:rPr>
            </w:pPr>
            <w:r>
              <w:rPr>
                <w:rFonts w:ascii="宋体" w:hAnsi="宋体" w:cs="宋体" w:hint="eastAsia"/>
                <w:kern w:val="0"/>
                <w:sz w:val="32"/>
                <w:szCs w:val="32"/>
              </w:rPr>
              <w:t>一般公共预算财政拨款“三公”经费支出决算表</w:t>
            </w:r>
          </w:p>
        </w:tc>
      </w:tr>
      <w:tr w:rsidR="00593CFE" w:rsidRPr="00593CFE" w:rsidTr="00593CFE">
        <w:tblPrEx>
          <w:tblLook w:val="04A0" w:firstRow="1" w:lastRow="0" w:firstColumn="1" w:lastColumn="0" w:noHBand="0" w:noVBand="1"/>
        </w:tblPrEx>
        <w:trPr>
          <w:gridAfter w:val="1"/>
          <w:wAfter w:w="1307" w:type="dxa"/>
          <w:trHeight w:val="300"/>
        </w:trPr>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5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523" w:type="dxa"/>
            <w:tcBorders>
              <w:top w:val="nil"/>
              <w:left w:val="nil"/>
              <w:bottom w:val="nil"/>
              <w:right w:val="single" w:sz="4" w:space="0" w:color="808080"/>
            </w:tcBorders>
            <w:shd w:val="clear" w:color="000000" w:fill="FFFFFF"/>
            <w:noWrap/>
            <w:vAlign w:val="center"/>
            <w:hideMark/>
          </w:tcPr>
          <w:p w:rsidR="00593CFE" w:rsidRPr="00593CFE" w:rsidRDefault="00593CFE" w:rsidP="00593CFE">
            <w:pPr>
              <w:widowControl/>
              <w:jc w:val="right"/>
              <w:rPr>
                <w:rFonts w:ascii="宋体" w:hAnsi="宋体" w:cs="Arial"/>
                <w:color w:val="000000"/>
                <w:kern w:val="0"/>
                <w:sz w:val="22"/>
                <w:szCs w:val="22"/>
              </w:rPr>
            </w:pPr>
            <w:r w:rsidRPr="00593CFE">
              <w:rPr>
                <w:rFonts w:ascii="宋体" w:hAnsi="宋体" w:cs="Arial" w:hint="eastAsia"/>
                <w:color w:val="000000"/>
                <w:kern w:val="0"/>
                <w:sz w:val="22"/>
                <w:szCs w:val="22"/>
              </w:rPr>
              <w:t>单位：</w:t>
            </w:r>
            <w:r>
              <w:rPr>
                <w:rFonts w:ascii="宋体" w:hAnsi="宋体" w:cs="Arial" w:hint="eastAsia"/>
                <w:color w:val="000000"/>
                <w:kern w:val="0"/>
                <w:sz w:val="22"/>
                <w:szCs w:val="22"/>
              </w:rPr>
              <w:t>万</w:t>
            </w:r>
            <w:r w:rsidRPr="00593CFE">
              <w:rPr>
                <w:rFonts w:ascii="宋体" w:hAnsi="宋体" w:cs="Arial" w:hint="eastAsia"/>
                <w:color w:val="000000"/>
                <w:kern w:val="0"/>
                <w:sz w:val="22"/>
                <w:szCs w:val="22"/>
              </w:rPr>
              <w:t>元</w:t>
            </w:r>
          </w:p>
        </w:tc>
      </w:tr>
      <w:tr w:rsidR="00593CFE" w:rsidRPr="00593CFE" w:rsidTr="00593CFE">
        <w:tblPrEx>
          <w:tblLook w:val="04A0" w:firstRow="1" w:lastRow="0" w:firstColumn="1" w:lastColumn="0" w:noHBand="0" w:noVBand="1"/>
        </w:tblPrEx>
        <w:trPr>
          <w:gridAfter w:val="1"/>
          <w:wAfter w:w="1307" w:type="dxa"/>
          <w:trHeight w:val="300"/>
        </w:trPr>
        <w:tc>
          <w:tcPr>
            <w:tcW w:w="4080" w:type="dxa"/>
            <w:gridSpan w:val="4"/>
            <w:tcBorders>
              <w:top w:val="nil"/>
              <w:left w:val="nil"/>
              <w:bottom w:val="single" w:sz="4" w:space="0" w:color="808080"/>
              <w:right w:val="nil"/>
            </w:tcBorders>
            <w:shd w:val="clear" w:color="000000" w:fill="FFFFFF"/>
            <w:noWrap/>
            <w:vAlign w:val="center"/>
            <w:hideMark/>
          </w:tcPr>
          <w:p w:rsidR="00593CFE" w:rsidRPr="00593CFE" w:rsidRDefault="00593CFE" w:rsidP="00593CFE">
            <w:pPr>
              <w:widowControl/>
              <w:jc w:val="left"/>
              <w:rPr>
                <w:rFonts w:ascii="宋体" w:hAnsi="宋体" w:cs="Arial"/>
                <w:color w:val="000000"/>
                <w:kern w:val="0"/>
                <w:sz w:val="22"/>
                <w:szCs w:val="22"/>
              </w:rPr>
            </w:pPr>
            <w:r w:rsidRPr="00593CFE">
              <w:rPr>
                <w:rFonts w:ascii="宋体" w:hAnsi="宋体" w:cs="Arial" w:hint="eastAsia"/>
                <w:color w:val="000000"/>
                <w:kern w:val="0"/>
                <w:sz w:val="22"/>
                <w:szCs w:val="22"/>
              </w:rPr>
              <w:t>部门：青岛市科学技术协会（汇总）</w:t>
            </w:r>
          </w:p>
        </w:tc>
        <w:tc>
          <w:tcPr>
            <w:tcW w:w="1020" w:type="dxa"/>
            <w:tcBorders>
              <w:top w:val="nil"/>
              <w:left w:val="nil"/>
              <w:bottom w:val="single" w:sz="4" w:space="0" w:color="808080"/>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50" w:type="dxa"/>
            <w:tcBorders>
              <w:top w:val="nil"/>
              <w:left w:val="nil"/>
              <w:bottom w:val="single" w:sz="4" w:space="0" w:color="808080"/>
              <w:right w:val="nil"/>
            </w:tcBorders>
            <w:shd w:val="clear" w:color="000000" w:fill="FFFFFF"/>
            <w:noWrap/>
            <w:vAlign w:val="center"/>
            <w:hideMark/>
          </w:tcPr>
          <w:p w:rsidR="00593CFE" w:rsidRPr="00593CFE" w:rsidRDefault="00593CFE" w:rsidP="00593CFE">
            <w:pPr>
              <w:widowControl/>
              <w:jc w:val="center"/>
              <w:rPr>
                <w:rFonts w:ascii="宋体" w:hAnsi="宋体" w:cs="Arial"/>
                <w:color w:val="000000"/>
                <w:kern w:val="0"/>
                <w:sz w:val="24"/>
              </w:rPr>
            </w:pPr>
            <w:r w:rsidRPr="00593CFE">
              <w:rPr>
                <w:rFonts w:ascii="宋体" w:hAnsi="宋体" w:cs="Arial" w:hint="eastAsia"/>
                <w:color w:val="000000"/>
                <w:kern w:val="0"/>
                <w:sz w:val="24"/>
              </w:rPr>
              <w:t>2016年</w:t>
            </w:r>
            <w:r>
              <w:rPr>
                <w:rFonts w:ascii="宋体" w:hAnsi="宋体" w:cs="Arial" w:hint="eastAsia"/>
                <w:color w:val="000000"/>
                <w:kern w:val="0"/>
                <w:sz w:val="24"/>
              </w:rPr>
              <w:t>度</w:t>
            </w:r>
          </w:p>
        </w:tc>
        <w:tc>
          <w:tcPr>
            <w:tcW w:w="1020" w:type="dxa"/>
            <w:tcBorders>
              <w:top w:val="nil"/>
              <w:left w:val="nil"/>
              <w:bottom w:val="single" w:sz="4" w:space="0" w:color="808080"/>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single" w:sz="4" w:space="0" w:color="808080"/>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single" w:sz="4" w:space="0" w:color="808080"/>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single" w:sz="4" w:space="0" w:color="808080"/>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020" w:type="dxa"/>
            <w:tcBorders>
              <w:top w:val="nil"/>
              <w:left w:val="nil"/>
              <w:bottom w:val="single" w:sz="4" w:space="0" w:color="808080"/>
              <w:right w:val="nil"/>
            </w:tcBorders>
            <w:shd w:val="clear" w:color="000000" w:fill="FFFFFF"/>
            <w:noWrap/>
            <w:vAlign w:val="center"/>
            <w:hideMark/>
          </w:tcPr>
          <w:p w:rsidR="00593CFE" w:rsidRPr="00593CFE" w:rsidRDefault="00593CFE" w:rsidP="00593CFE">
            <w:pPr>
              <w:widowControl/>
              <w:jc w:val="left"/>
              <w:rPr>
                <w:rFonts w:ascii="宋体" w:hAnsi="宋体" w:cs="Arial"/>
                <w:kern w:val="0"/>
                <w:sz w:val="18"/>
                <w:szCs w:val="18"/>
              </w:rPr>
            </w:pPr>
            <w:r w:rsidRPr="00593CFE">
              <w:rPr>
                <w:rFonts w:ascii="宋体" w:hAnsi="宋体" w:cs="Arial" w:hint="eastAsia"/>
                <w:kern w:val="0"/>
                <w:sz w:val="18"/>
                <w:szCs w:val="18"/>
              </w:rPr>
              <w:t xml:space="preserve">　</w:t>
            </w:r>
          </w:p>
        </w:tc>
        <w:tc>
          <w:tcPr>
            <w:tcW w:w="1523" w:type="dxa"/>
            <w:tcBorders>
              <w:top w:val="nil"/>
              <w:left w:val="nil"/>
              <w:bottom w:val="single" w:sz="4" w:space="0" w:color="808080"/>
              <w:right w:val="single" w:sz="4" w:space="0" w:color="808080"/>
            </w:tcBorders>
            <w:shd w:val="clear" w:color="000000" w:fill="FFFFFF"/>
            <w:noWrap/>
            <w:vAlign w:val="center"/>
            <w:hideMark/>
          </w:tcPr>
          <w:p w:rsidR="00593CFE" w:rsidRPr="00593CFE" w:rsidRDefault="00593CFE" w:rsidP="00593CFE">
            <w:pPr>
              <w:widowControl/>
              <w:jc w:val="right"/>
              <w:rPr>
                <w:rFonts w:ascii="宋体" w:hAnsi="宋体" w:cs="Arial"/>
                <w:color w:val="000000"/>
                <w:kern w:val="0"/>
                <w:sz w:val="22"/>
                <w:szCs w:val="22"/>
              </w:rPr>
            </w:pPr>
            <w:r w:rsidRPr="00593CFE">
              <w:rPr>
                <w:rFonts w:ascii="宋体" w:hAnsi="宋体" w:cs="Arial" w:hint="eastAsia"/>
                <w:color w:val="000000"/>
                <w:kern w:val="0"/>
                <w:sz w:val="22"/>
                <w:szCs w:val="22"/>
              </w:rPr>
              <w:t>公开08表</w:t>
            </w:r>
          </w:p>
        </w:tc>
      </w:tr>
      <w:tr w:rsidR="00593CFE" w:rsidRPr="00593CFE" w:rsidTr="00593CFE">
        <w:tblPrEx>
          <w:tblLook w:val="04A0" w:firstRow="1" w:lastRow="0" w:firstColumn="1" w:lastColumn="0" w:noHBand="0" w:noVBand="1"/>
        </w:tblPrEx>
        <w:trPr>
          <w:gridAfter w:val="1"/>
          <w:wAfter w:w="1307" w:type="dxa"/>
          <w:trHeight w:val="450"/>
        </w:trPr>
        <w:tc>
          <w:tcPr>
            <w:tcW w:w="6150" w:type="dxa"/>
            <w:gridSpan w:val="6"/>
            <w:tcBorders>
              <w:top w:val="nil"/>
              <w:left w:val="single" w:sz="12" w:space="0" w:color="000000"/>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2016年度预算数</w:t>
            </w:r>
          </w:p>
        </w:tc>
        <w:tc>
          <w:tcPr>
            <w:tcW w:w="6623" w:type="dxa"/>
            <w:gridSpan w:val="6"/>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2016年度决算数</w:t>
            </w:r>
          </w:p>
        </w:tc>
      </w:tr>
      <w:tr w:rsidR="00593CFE" w:rsidRPr="00593CFE" w:rsidTr="00593CFE">
        <w:tblPrEx>
          <w:tblLook w:val="04A0" w:firstRow="1" w:lastRow="0" w:firstColumn="1" w:lastColumn="0" w:noHBand="0" w:noVBand="1"/>
        </w:tblPrEx>
        <w:trPr>
          <w:gridAfter w:val="1"/>
          <w:wAfter w:w="1307" w:type="dxa"/>
          <w:trHeight w:val="450"/>
        </w:trPr>
        <w:tc>
          <w:tcPr>
            <w:tcW w:w="1020" w:type="dxa"/>
            <w:vMerge w:val="restart"/>
            <w:tcBorders>
              <w:top w:val="nil"/>
              <w:left w:val="single" w:sz="12" w:space="0" w:color="000000"/>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合计</w:t>
            </w: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因公出国（境）费</w:t>
            </w:r>
          </w:p>
        </w:tc>
        <w:tc>
          <w:tcPr>
            <w:tcW w:w="3060" w:type="dxa"/>
            <w:gridSpan w:val="3"/>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公务用车购置及运行费</w:t>
            </w:r>
          </w:p>
        </w:tc>
        <w:tc>
          <w:tcPr>
            <w:tcW w:w="105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公务接待费</w:t>
            </w: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合计</w:t>
            </w: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因公出国（境）费</w:t>
            </w:r>
          </w:p>
        </w:tc>
        <w:tc>
          <w:tcPr>
            <w:tcW w:w="3060" w:type="dxa"/>
            <w:gridSpan w:val="3"/>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公务用车购置及运行费</w:t>
            </w:r>
          </w:p>
        </w:tc>
        <w:tc>
          <w:tcPr>
            <w:tcW w:w="1523" w:type="dxa"/>
            <w:vMerge w:val="restart"/>
            <w:tcBorders>
              <w:top w:val="nil"/>
              <w:left w:val="nil"/>
              <w:bottom w:val="single" w:sz="4" w:space="0" w:color="000000"/>
              <w:right w:val="single" w:sz="12"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公务接待费</w:t>
            </w:r>
          </w:p>
        </w:tc>
      </w:tr>
      <w:tr w:rsidR="00593CFE" w:rsidRPr="00593CFE" w:rsidTr="00593CFE">
        <w:tblPrEx>
          <w:tblLook w:val="04A0" w:firstRow="1" w:lastRow="0" w:firstColumn="1" w:lastColumn="0" w:noHBand="0" w:noVBand="1"/>
        </w:tblPrEx>
        <w:trPr>
          <w:gridAfter w:val="1"/>
          <w:wAfter w:w="1307" w:type="dxa"/>
          <w:trHeight w:val="450"/>
        </w:trPr>
        <w:tc>
          <w:tcPr>
            <w:tcW w:w="1020" w:type="dxa"/>
            <w:vMerge/>
            <w:tcBorders>
              <w:top w:val="nil"/>
              <w:left w:val="single" w:sz="12" w:space="0" w:color="000000"/>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小计</w:t>
            </w: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公务用车购置费</w:t>
            </w: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公务用车运行费</w:t>
            </w:r>
          </w:p>
        </w:tc>
        <w:tc>
          <w:tcPr>
            <w:tcW w:w="105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小计</w:t>
            </w: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公务用车购置费</w:t>
            </w:r>
          </w:p>
        </w:tc>
        <w:tc>
          <w:tcPr>
            <w:tcW w:w="1020" w:type="dxa"/>
            <w:vMerge w:val="restart"/>
            <w:tcBorders>
              <w:top w:val="nil"/>
              <w:left w:val="nil"/>
              <w:bottom w:val="single" w:sz="4" w:space="0" w:color="000000"/>
              <w:right w:val="single" w:sz="4" w:space="0" w:color="000000"/>
            </w:tcBorders>
            <w:shd w:val="clear" w:color="000000" w:fill="C0C0C0"/>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公务用车运行费</w:t>
            </w:r>
          </w:p>
        </w:tc>
        <w:tc>
          <w:tcPr>
            <w:tcW w:w="1523" w:type="dxa"/>
            <w:vMerge/>
            <w:tcBorders>
              <w:top w:val="nil"/>
              <w:left w:val="nil"/>
              <w:bottom w:val="single" w:sz="4" w:space="0" w:color="000000"/>
              <w:right w:val="single" w:sz="12" w:space="0" w:color="000000"/>
            </w:tcBorders>
            <w:vAlign w:val="center"/>
            <w:hideMark/>
          </w:tcPr>
          <w:p w:rsidR="00593CFE" w:rsidRPr="00593CFE" w:rsidRDefault="00593CFE" w:rsidP="00593CFE">
            <w:pPr>
              <w:widowControl/>
              <w:jc w:val="left"/>
              <w:rPr>
                <w:rFonts w:ascii="宋体" w:hAnsi="宋体" w:cs="Arial"/>
                <w:kern w:val="0"/>
                <w:sz w:val="20"/>
                <w:szCs w:val="20"/>
              </w:rPr>
            </w:pPr>
          </w:p>
        </w:tc>
      </w:tr>
      <w:tr w:rsidR="00593CFE" w:rsidRPr="00593CFE" w:rsidTr="00593CFE">
        <w:tblPrEx>
          <w:tblLook w:val="04A0" w:firstRow="1" w:lastRow="0" w:firstColumn="1" w:lastColumn="0" w:noHBand="0" w:noVBand="1"/>
        </w:tblPrEx>
        <w:trPr>
          <w:gridAfter w:val="1"/>
          <w:wAfter w:w="1307" w:type="dxa"/>
          <w:trHeight w:val="450"/>
        </w:trPr>
        <w:tc>
          <w:tcPr>
            <w:tcW w:w="1020" w:type="dxa"/>
            <w:vMerge/>
            <w:tcBorders>
              <w:top w:val="nil"/>
              <w:left w:val="single" w:sz="12" w:space="0" w:color="000000"/>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5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020" w:type="dxa"/>
            <w:vMerge/>
            <w:tcBorders>
              <w:top w:val="nil"/>
              <w:left w:val="nil"/>
              <w:bottom w:val="single" w:sz="4" w:space="0" w:color="000000"/>
              <w:right w:val="single" w:sz="4" w:space="0" w:color="000000"/>
            </w:tcBorders>
            <w:vAlign w:val="center"/>
            <w:hideMark/>
          </w:tcPr>
          <w:p w:rsidR="00593CFE" w:rsidRPr="00593CFE" w:rsidRDefault="00593CFE" w:rsidP="00593CFE">
            <w:pPr>
              <w:widowControl/>
              <w:jc w:val="left"/>
              <w:rPr>
                <w:rFonts w:ascii="宋体" w:hAnsi="宋体" w:cs="Arial"/>
                <w:kern w:val="0"/>
                <w:sz w:val="20"/>
                <w:szCs w:val="20"/>
              </w:rPr>
            </w:pPr>
          </w:p>
        </w:tc>
        <w:tc>
          <w:tcPr>
            <w:tcW w:w="1523" w:type="dxa"/>
            <w:vMerge/>
            <w:tcBorders>
              <w:top w:val="nil"/>
              <w:left w:val="nil"/>
              <w:bottom w:val="single" w:sz="4" w:space="0" w:color="000000"/>
              <w:right w:val="single" w:sz="12" w:space="0" w:color="000000"/>
            </w:tcBorders>
            <w:vAlign w:val="center"/>
            <w:hideMark/>
          </w:tcPr>
          <w:p w:rsidR="00593CFE" w:rsidRPr="00593CFE" w:rsidRDefault="00593CFE" w:rsidP="00593CFE">
            <w:pPr>
              <w:widowControl/>
              <w:jc w:val="left"/>
              <w:rPr>
                <w:rFonts w:ascii="宋体" w:hAnsi="宋体" w:cs="Arial"/>
                <w:kern w:val="0"/>
                <w:sz w:val="20"/>
                <w:szCs w:val="20"/>
              </w:rPr>
            </w:pPr>
          </w:p>
        </w:tc>
      </w:tr>
      <w:tr w:rsidR="00593CFE" w:rsidRPr="00593CFE" w:rsidTr="00593CFE">
        <w:tblPrEx>
          <w:tblLook w:val="04A0" w:firstRow="1" w:lastRow="0" w:firstColumn="1" w:lastColumn="0" w:noHBand="0" w:noVBand="1"/>
        </w:tblPrEx>
        <w:trPr>
          <w:gridAfter w:val="1"/>
          <w:wAfter w:w="1307" w:type="dxa"/>
          <w:trHeight w:val="450"/>
        </w:trPr>
        <w:tc>
          <w:tcPr>
            <w:tcW w:w="1020" w:type="dxa"/>
            <w:tcBorders>
              <w:top w:val="nil"/>
              <w:left w:val="single" w:sz="12" w:space="0" w:color="000000"/>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1</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2</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3</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4</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5</w:t>
            </w:r>
          </w:p>
        </w:tc>
        <w:tc>
          <w:tcPr>
            <w:tcW w:w="105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6</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7</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8</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9</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10</w:t>
            </w:r>
          </w:p>
        </w:tc>
        <w:tc>
          <w:tcPr>
            <w:tcW w:w="1020" w:type="dxa"/>
            <w:tcBorders>
              <w:top w:val="nil"/>
              <w:left w:val="nil"/>
              <w:bottom w:val="single" w:sz="4" w:space="0" w:color="000000"/>
              <w:right w:val="single" w:sz="4"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11</w:t>
            </w:r>
          </w:p>
        </w:tc>
        <w:tc>
          <w:tcPr>
            <w:tcW w:w="1523" w:type="dxa"/>
            <w:tcBorders>
              <w:top w:val="nil"/>
              <w:left w:val="nil"/>
              <w:bottom w:val="single" w:sz="4" w:space="0" w:color="000000"/>
              <w:right w:val="single" w:sz="12" w:space="0" w:color="000000"/>
            </w:tcBorders>
            <w:shd w:val="clear" w:color="000000" w:fill="C0C0C0"/>
            <w:noWrap/>
            <w:vAlign w:val="center"/>
            <w:hideMark/>
          </w:tcPr>
          <w:p w:rsidR="00593CFE" w:rsidRPr="00593CFE" w:rsidRDefault="00593CFE" w:rsidP="00593CFE">
            <w:pPr>
              <w:widowControl/>
              <w:jc w:val="center"/>
              <w:rPr>
                <w:rFonts w:ascii="宋体" w:hAnsi="宋体" w:cs="Arial"/>
                <w:kern w:val="0"/>
                <w:sz w:val="20"/>
                <w:szCs w:val="20"/>
              </w:rPr>
            </w:pPr>
            <w:r w:rsidRPr="00593CFE">
              <w:rPr>
                <w:rFonts w:ascii="宋体" w:hAnsi="宋体" w:cs="Arial" w:hint="eastAsia"/>
                <w:kern w:val="0"/>
                <w:sz w:val="20"/>
                <w:szCs w:val="20"/>
              </w:rPr>
              <w:t>12</w:t>
            </w:r>
          </w:p>
        </w:tc>
      </w:tr>
      <w:tr w:rsidR="00593CFE" w:rsidRPr="00593CFE" w:rsidTr="00593CFE">
        <w:tblPrEx>
          <w:tblLook w:val="04A0" w:firstRow="1" w:lastRow="0" w:firstColumn="1" w:lastColumn="0" w:noHBand="0" w:noVBand="1"/>
        </w:tblPrEx>
        <w:trPr>
          <w:gridAfter w:val="1"/>
          <w:wAfter w:w="1307" w:type="dxa"/>
          <w:trHeight w:val="450"/>
        </w:trPr>
        <w:tc>
          <w:tcPr>
            <w:tcW w:w="1020" w:type="dxa"/>
            <w:tcBorders>
              <w:top w:val="nil"/>
              <w:left w:val="single" w:sz="12" w:space="0" w:color="000000"/>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50.87</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7.69</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33.00</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0.00</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33.00</w:t>
            </w:r>
          </w:p>
        </w:tc>
        <w:tc>
          <w:tcPr>
            <w:tcW w:w="105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10.18</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19.10</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7.52</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8.63</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0.00</w:t>
            </w:r>
          </w:p>
        </w:tc>
        <w:tc>
          <w:tcPr>
            <w:tcW w:w="1020" w:type="dxa"/>
            <w:tcBorders>
              <w:top w:val="nil"/>
              <w:left w:val="nil"/>
              <w:bottom w:val="single" w:sz="12" w:space="0" w:color="000000"/>
              <w:right w:val="single" w:sz="4"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8.63</w:t>
            </w:r>
          </w:p>
        </w:tc>
        <w:tc>
          <w:tcPr>
            <w:tcW w:w="1523" w:type="dxa"/>
            <w:tcBorders>
              <w:top w:val="nil"/>
              <w:left w:val="nil"/>
              <w:bottom w:val="single" w:sz="12" w:space="0" w:color="000000"/>
              <w:right w:val="single" w:sz="12" w:space="0" w:color="000000"/>
            </w:tcBorders>
            <w:shd w:val="clear" w:color="000000" w:fill="FFFFFF"/>
            <w:noWrap/>
            <w:vAlign w:val="center"/>
            <w:hideMark/>
          </w:tcPr>
          <w:p w:rsidR="00593CFE" w:rsidRPr="00593CFE" w:rsidRDefault="00593CFE" w:rsidP="00593CFE">
            <w:pPr>
              <w:widowControl/>
              <w:jc w:val="right"/>
              <w:rPr>
                <w:rFonts w:ascii="宋体" w:hAnsi="宋体" w:cs="Arial"/>
                <w:kern w:val="0"/>
                <w:sz w:val="20"/>
                <w:szCs w:val="20"/>
              </w:rPr>
            </w:pPr>
            <w:r w:rsidRPr="00593CFE">
              <w:rPr>
                <w:rFonts w:ascii="宋体" w:hAnsi="宋体" w:cs="Arial" w:hint="eastAsia"/>
                <w:kern w:val="0"/>
                <w:sz w:val="20"/>
                <w:szCs w:val="20"/>
              </w:rPr>
              <w:t>2.96</w:t>
            </w:r>
          </w:p>
        </w:tc>
      </w:tr>
      <w:tr w:rsidR="00593CFE" w:rsidRPr="00593CFE" w:rsidTr="00593CFE">
        <w:tblPrEx>
          <w:tblLook w:val="04A0" w:firstRow="1" w:lastRow="0" w:firstColumn="1" w:lastColumn="0" w:noHBand="0" w:noVBand="1"/>
        </w:tblPrEx>
        <w:trPr>
          <w:gridAfter w:val="1"/>
          <w:wAfter w:w="1307" w:type="dxa"/>
          <w:trHeight w:val="780"/>
        </w:trPr>
        <w:tc>
          <w:tcPr>
            <w:tcW w:w="12773" w:type="dxa"/>
            <w:gridSpan w:val="12"/>
            <w:tcBorders>
              <w:top w:val="nil"/>
              <w:left w:val="nil"/>
              <w:bottom w:val="nil"/>
              <w:right w:val="nil"/>
            </w:tcBorders>
            <w:shd w:val="clear" w:color="000000" w:fill="FFFFFF"/>
            <w:vAlign w:val="center"/>
            <w:hideMark/>
          </w:tcPr>
          <w:tbl>
            <w:tblPr>
              <w:tblW w:w="0" w:type="auto"/>
              <w:tblInd w:w="93" w:type="dxa"/>
              <w:tblLayout w:type="fixed"/>
              <w:tblLook w:val="0000" w:firstRow="0" w:lastRow="0" w:firstColumn="0" w:lastColumn="0" w:noHBand="0" w:noVBand="0"/>
            </w:tblPr>
            <w:tblGrid>
              <w:gridCol w:w="14080"/>
            </w:tblGrid>
            <w:tr w:rsidR="00593CFE" w:rsidTr="0099067B">
              <w:trPr>
                <w:trHeight w:val="915"/>
              </w:trPr>
              <w:tc>
                <w:tcPr>
                  <w:tcW w:w="14080" w:type="dxa"/>
                  <w:tcBorders>
                    <w:top w:val="single" w:sz="8" w:space="0" w:color="auto"/>
                    <w:left w:val="nil"/>
                    <w:bottom w:val="nil"/>
                    <w:right w:val="nil"/>
                  </w:tcBorders>
                  <w:vAlign w:val="center"/>
                </w:tcPr>
                <w:p w:rsidR="00593CFE" w:rsidRDefault="00593CFE" w:rsidP="0099067B">
                  <w:pPr>
                    <w:widowControl/>
                    <w:spacing w:line="320" w:lineRule="exact"/>
                    <w:jc w:val="left"/>
                    <w:rPr>
                      <w:rFonts w:ascii="宋体" w:hAnsi="宋体" w:cs="宋体"/>
                      <w:kern w:val="0"/>
                      <w:sz w:val="22"/>
                      <w:szCs w:val="22"/>
                    </w:rPr>
                  </w:pPr>
                  <w:r>
                    <w:rPr>
                      <w:rFonts w:ascii="宋体" w:hAnsi="宋体" w:cs="宋体" w:hint="eastAsia"/>
                      <w:kern w:val="0"/>
                      <w:sz w:val="22"/>
                      <w:szCs w:val="22"/>
                    </w:rPr>
                    <w:t>注：本表反映部门本年度“三公”经费支出预决算情况。其中：2016年度预算数为“三公”经费年初预算数，决算数包括当年一般公共预算财政拨款和以前年度结转资金安排的实际支出。</w:t>
                  </w:r>
                </w:p>
                <w:p w:rsidR="00593CFE" w:rsidRDefault="00593CFE" w:rsidP="0099067B">
                  <w:pPr>
                    <w:widowControl/>
                    <w:spacing w:line="320" w:lineRule="exact"/>
                    <w:jc w:val="left"/>
                    <w:rPr>
                      <w:rFonts w:ascii="宋体" w:hAnsi="宋体" w:cs="宋体"/>
                      <w:kern w:val="0"/>
                      <w:sz w:val="22"/>
                      <w:szCs w:val="22"/>
                    </w:rPr>
                  </w:pPr>
                  <w:r w:rsidRPr="00DA2DBD">
                    <w:rPr>
                      <w:rFonts w:ascii="宋体" w:hAnsi="宋体" w:cs="宋体" w:hint="eastAsia"/>
                      <w:kern w:val="0"/>
                      <w:sz w:val="22"/>
                      <w:szCs w:val="22"/>
                    </w:rPr>
                    <w:t>(1) 2016年使用一般公共预算财政拨款安排因公出国(境)团组2个， 累计3人次。</w:t>
                  </w:r>
                </w:p>
                <w:p w:rsidR="00593CFE" w:rsidRDefault="00593CFE" w:rsidP="0099067B">
                  <w:pPr>
                    <w:widowControl/>
                    <w:spacing w:line="320" w:lineRule="exact"/>
                    <w:jc w:val="left"/>
                    <w:rPr>
                      <w:rFonts w:ascii="宋体" w:hAnsi="宋体" w:cs="宋体"/>
                      <w:kern w:val="0"/>
                      <w:sz w:val="22"/>
                      <w:szCs w:val="22"/>
                    </w:rPr>
                  </w:pPr>
                  <w:r w:rsidRPr="00DA2DBD">
                    <w:rPr>
                      <w:rFonts w:ascii="宋体" w:hAnsi="宋体" w:cs="宋体" w:hint="eastAsia"/>
                      <w:kern w:val="0"/>
                      <w:sz w:val="22"/>
                      <w:szCs w:val="22"/>
                    </w:rPr>
                    <w:t>(2) 2016年度没有新购车辆，无车辆购置费；公务用车运行维护费8.63万元。主要用于机关保留的机要通信和老干部两部车保险、维修和用油等。2016年单位开支财政拨款的公务用车保有量为2辆。</w:t>
                  </w:r>
                </w:p>
                <w:p w:rsidR="00593CFE" w:rsidRPr="00DA2DBD" w:rsidRDefault="00593CFE" w:rsidP="0099067B">
                  <w:pPr>
                    <w:widowControl/>
                    <w:spacing w:line="320" w:lineRule="exact"/>
                    <w:jc w:val="left"/>
                    <w:rPr>
                      <w:rFonts w:ascii="宋体" w:hAnsi="宋体" w:cs="宋体"/>
                      <w:kern w:val="0"/>
                      <w:sz w:val="22"/>
                      <w:szCs w:val="22"/>
                    </w:rPr>
                  </w:pPr>
                  <w:r w:rsidRPr="00DA2DBD">
                    <w:rPr>
                      <w:rFonts w:ascii="宋体" w:hAnsi="宋体" w:cs="宋体" w:hint="eastAsia"/>
                      <w:kern w:val="0"/>
                      <w:sz w:val="22"/>
                      <w:szCs w:val="22"/>
                    </w:rPr>
                    <w:t>(3) 2016年公务接待全部为国内公务接待，其中：国内接待费2.71万元。主要用于国际学术、科普活动调研等，共计接待23批次，234人次，其中外事接待4批次，17人次。其他0.25万元为2016年度加班餐费，按当年的支付口径，列在公务接待费中，特此说明</w:t>
                  </w:r>
                  <w:r>
                    <w:rPr>
                      <w:rFonts w:ascii="宋体" w:hAnsi="宋体" w:cs="宋体" w:hint="eastAsia"/>
                      <w:kern w:val="0"/>
                      <w:sz w:val="22"/>
                      <w:szCs w:val="22"/>
                    </w:rPr>
                    <w:t>。</w:t>
                  </w:r>
                </w:p>
              </w:tc>
            </w:tr>
          </w:tbl>
          <w:p w:rsidR="00593CFE" w:rsidRPr="00593CFE" w:rsidRDefault="00593CFE" w:rsidP="00593CFE">
            <w:pPr>
              <w:spacing w:line="320" w:lineRule="exact"/>
              <w:ind w:firstLine="600"/>
              <w:rPr>
                <w:rFonts w:ascii="宋体" w:hAnsi="宋体" w:cs="Arial"/>
                <w:kern w:val="0"/>
                <w:sz w:val="20"/>
                <w:szCs w:val="20"/>
              </w:rPr>
            </w:pPr>
            <w:r w:rsidRPr="009343A4">
              <w:rPr>
                <w:rFonts w:ascii="宋体" w:hAnsi="宋体" w:cs="宋体" w:hint="eastAsia"/>
                <w:kern w:val="0"/>
                <w:sz w:val="22"/>
                <w:szCs w:val="22"/>
              </w:rPr>
              <w:t>2016年度一般公共预算财政拨款“三公”经费决算数比2015年减少22.78万元，下降54.39 %，其中：因公出国（境）费支出决算增加1.36万元，增长22.08%，主要原因是国际学术交流地区不同导致；公务用车购置及运行费支出决算减少24.6万元，下降74.03 %，主要原因是机关公务用车改革所致；公务接待费支出决算增加0.47万元，增长18.88%，主要原因是来青人员略有增多所致。</w:t>
            </w:r>
            <w:bookmarkStart w:id="0" w:name="_GoBack"/>
            <w:bookmarkEnd w:id="0"/>
          </w:p>
        </w:tc>
      </w:tr>
    </w:tbl>
    <w:p w:rsidR="00593CFE" w:rsidRPr="00593CFE" w:rsidRDefault="00593CFE">
      <w:pPr>
        <w:rPr>
          <w:rFonts w:hint="eastAsia"/>
        </w:rPr>
      </w:pPr>
    </w:p>
    <w:sectPr w:rsidR="00593CFE" w:rsidRPr="00593CFE" w:rsidSect="005A6FB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252" w:rsidRDefault="006A1252" w:rsidP="005A6FBF">
      <w:r>
        <w:separator/>
      </w:r>
    </w:p>
  </w:endnote>
  <w:endnote w:type="continuationSeparator" w:id="0">
    <w:p w:rsidR="006A1252" w:rsidRDefault="006A1252" w:rsidP="005A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252" w:rsidRDefault="006A1252" w:rsidP="005A6FBF">
      <w:r>
        <w:separator/>
      </w:r>
    </w:p>
  </w:footnote>
  <w:footnote w:type="continuationSeparator" w:id="0">
    <w:p w:rsidR="006A1252" w:rsidRDefault="006A1252" w:rsidP="005A6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F3"/>
    <w:rsid w:val="00140376"/>
    <w:rsid w:val="00593CFE"/>
    <w:rsid w:val="005A6FBF"/>
    <w:rsid w:val="006A1252"/>
    <w:rsid w:val="009343A4"/>
    <w:rsid w:val="00AA57F3"/>
    <w:rsid w:val="00EF6AD5"/>
    <w:rsid w:val="00F8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F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6F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6FBF"/>
    <w:rPr>
      <w:sz w:val="18"/>
      <w:szCs w:val="18"/>
    </w:rPr>
  </w:style>
  <w:style w:type="paragraph" w:styleId="a4">
    <w:name w:val="footer"/>
    <w:basedOn w:val="a"/>
    <w:link w:val="Char0"/>
    <w:uiPriority w:val="99"/>
    <w:unhideWhenUsed/>
    <w:rsid w:val="005A6F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6F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F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6F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6FBF"/>
    <w:rPr>
      <w:sz w:val="18"/>
      <w:szCs w:val="18"/>
    </w:rPr>
  </w:style>
  <w:style w:type="paragraph" w:styleId="a4">
    <w:name w:val="footer"/>
    <w:basedOn w:val="a"/>
    <w:link w:val="Char0"/>
    <w:uiPriority w:val="99"/>
    <w:unhideWhenUsed/>
    <w:rsid w:val="005A6F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6F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72660">
      <w:bodyDiv w:val="1"/>
      <w:marLeft w:val="0"/>
      <w:marRight w:val="0"/>
      <w:marTop w:val="0"/>
      <w:marBottom w:val="0"/>
      <w:divBdr>
        <w:top w:val="none" w:sz="0" w:space="0" w:color="auto"/>
        <w:left w:val="none" w:sz="0" w:space="0" w:color="auto"/>
        <w:bottom w:val="none" w:sz="0" w:space="0" w:color="auto"/>
        <w:right w:val="none" w:sz="0" w:space="0" w:color="auto"/>
      </w:divBdr>
    </w:div>
    <w:div w:id="18246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747</Characters>
  <Application>Microsoft Office Word</Application>
  <DocSecurity>0</DocSecurity>
  <Lines>6</Lines>
  <Paragraphs>1</Paragraphs>
  <ScaleCrop>false</ScaleCrop>
  <Company>WwW.YlmF.CoM</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2017-09-11T01:38:00Z</dcterms:created>
  <dcterms:modified xsi:type="dcterms:W3CDTF">2017-09-12T06:57:00Z</dcterms:modified>
</cp:coreProperties>
</file>